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6" w:rsidRPr="00033E60" w:rsidRDefault="00166916" w:rsidP="00166916">
      <w:pPr>
        <w:rPr>
          <w:rFonts w:eastAsia="方正大标宋简体"/>
          <w:sz w:val="42"/>
          <w:szCs w:val="42"/>
        </w:rPr>
      </w:pPr>
      <w:r w:rsidRPr="00033E60">
        <w:rPr>
          <w:rFonts w:eastAsia="方正大标宋简体"/>
          <w:sz w:val="42"/>
          <w:szCs w:val="42"/>
        </w:rPr>
        <w:t>附件</w:t>
      </w:r>
      <w:r w:rsidRPr="00033E60">
        <w:rPr>
          <w:rFonts w:eastAsia="方正大标宋简体"/>
          <w:sz w:val="42"/>
          <w:szCs w:val="42"/>
        </w:rPr>
        <w:t>1</w:t>
      </w:r>
    </w:p>
    <w:p w:rsidR="00166916" w:rsidRPr="00657823" w:rsidRDefault="00166916" w:rsidP="00166916"/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bookmarkStart w:id="0" w:name="OLE_LINK30"/>
      <w:bookmarkStart w:id="1" w:name="OLE_LINK31"/>
      <w:bookmarkStart w:id="2" w:name="OLE_LINK32"/>
      <w:r w:rsidRPr="00033E60">
        <w:rPr>
          <w:rFonts w:eastAsia="方正大标宋简体"/>
          <w:sz w:val="42"/>
          <w:szCs w:val="42"/>
        </w:rPr>
        <w:t>《上海期货交易所螺纹钢期货标准合约》</w:t>
      </w:r>
      <w:bookmarkEnd w:id="0"/>
      <w:bookmarkEnd w:id="1"/>
      <w:bookmarkEnd w:id="2"/>
    </w:p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/>
          <w:sz w:val="42"/>
          <w:szCs w:val="42"/>
        </w:rPr>
        <w:t>修订案</w:t>
      </w:r>
    </w:p>
    <w:p w:rsidR="00166916" w:rsidRPr="00362234" w:rsidRDefault="00166916" w:rsidP="00166916"/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6102"/>
      </w:tblGrid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最小变动价位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846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±3%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上午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9:00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11:30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，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下午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1:30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3:00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和交易所规定的其他交易时间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日（遇法定假日顺延）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166916" w:rsidRPr="00657823" w:rsidTr="001B1A33">
        <w:trPr>
          <w:trHeight w:val="2315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GB1499.2-2007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《钢筋混凝土用钢第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部分：热轧带肋钢筋》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HRB400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或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HRBF400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16mm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18mm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20mm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22mm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25mm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螺纹钢。</w:t>
            </w:r>
          </w:p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替代品：符合国标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GB1499.2-2007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《钢筋混凝土用钢第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部分：热轧带肋钢筋》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HRB335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或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HRBF335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16mm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18mm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20mm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22mm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25mm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螺纹钢。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166916" w:rsidRPr="00657823" w:rsidTr="001B1A33">
        <w:trPr>
          <w:trHeight w:val="507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最小交割单位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RB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上市交易所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</w:tbl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r>
        <w:rPr>
          <w:rFonts w:eastAsia="方正仿宋简体"/>
          <w:sz w:val="28"/>
          <w:szCs w:val="28"/>
        </w:rPr>
        <w:br w:type="page"/>
      </w:r>
      <w:r w:rsidRPr="00033E60">
        <w:rPr>
          <w:rFonts w:eastAsia="方正大标宋简体" w:hint="eastAsia"/>
          <w:sz w:val="42"/>
          <w:szCs w:val="42"/>
        </w:rPr>
        <w:lastRenderedPageBreak/>
        <w:t>上海期货交易所螺纹钢期货标准合约附件</w:t>
      </w:r>
    </w:p>
    <w:p w:rsidR="00166916" w:rsidRPr="00362234" w:rsidRDefault="00166916" w:rsidP="00166916">
      <w:pPr>
        <w:jc w:val="center"/>
        <w:rPr>
          <w:b/>
          <w:sz w:val="44"/>
          <w:szCs w:val="44"/>
        </w:rPr>
      </w:pP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一、交割单位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螺纹钢期货标准合约的交易单位为每手</w:t>
      </w:r>
      <w:r w:rsidRPr="00657823">
        <w:rPr>
          <w:rFonts w:eastAsia="方正仿宋简体"/>
          <w:sz w:val="30"/>
          <w:szCs w:val="30"/>
        </w:rPr>
        <w:t>10</w:t>
      </w:r>
      <w:r w:rsidRPr="00657823">
        <w:rPr>
          <w:rFonts w:eastAsia="方正仿宋简体"/>
          <w:sz w:val="30"/>
          <w:szCs w:val="30"/>
        </w:rPr>
        <w:t>吨，交割单位为每一仓单</w:t>
      </w:r>
      <w:r w:rsidRPr="00657823">
        <w:rPr>
          <w:rFonts w:eastAsia="方正仿宋简体"/>
          <w:sz w:val="30"/>
          <w:szCs w:val="30"/>
        </w:rPr>
        <w:t>300</w:t>
      </w:r>
      <w:r w:rsidRPr="00657823">
        <w:rPr>
          <w:rFonts w:eastAsia="方正仿宋简体"/>
          <w:sz w:val="30"/>
          <w:szCs w:val="30"/>
        </w:rPr>
        <w:t>吨，交割应当以每一仓单的整数</w:t>
      </w:r>
      <w:proofErr w:type="gramStart"/>
      <w:r w:rsidRPr="00657823">
        <w:rPr>
          <w:rFonts w:eastAsia="方正仿宋简体"/>
          <w:sz w:val="30"/>
          <w:szCs w:val="30"/>
        </w:rPr>
        <w:t>倍</w:t>
      </w:r>
      <w:proofErr w:type="gramEnd"/>
      <w:r w:rsidRPr="00657823">
        <w:rPr>
          <w:rFonts w:eastAsia="方正仿宋简体"/>
          <w:sz w:val="30"/>
          <w:szCs w:val="30"/>
        </w:rPr>
        <w:t>交割。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二、质量规定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1</w:t>
      </w:r>
      <w:r w:rsidRPr="00657823">
        <w:rPr>
          <w:rFonts w:eastAsia="方正仿宋简体"/>
          <w:sz w:val="30"/>
          <w:szCs w:val="30"/>
        </w:rPr>
        <w:t>）用于实物交割的螺纹钢，质量应当符合</w:t>
      </w:r>
      <w:r w:rsidRPr="00657823">
        <w:rPr>
          <w:rFonts w:eastAsia="方正仿宋简体"/>
          <w:sz w:val="30"/>
          <w:szCs w:val="30"/>
        </w:rPr>
        <w:t>GB1499.2-2007</w:t>
      </w:r>
      <w:r w:rsidRPr="00657823">
        <w:rPr>
          <w:rFonts w:eastAsia="方正仿宋简体"/>
          <w:sz w:val="30"/>
          <w:szCs w:val="30"/>
        </w:rPr>
        <w:t>《钢筋混凝土用钢第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部分：热轧带肋钢筋》牌号为</w:t>
      </w:r>
      <w:r w:rsidRPr="00657823">
        <w:rPr>
          <w:rFonts w:eastAsia="方正仿宋简体"/>
          <w:sz w:val="30"/>
          <w:szCs w:val="30"/>
        </w:rPr>
        <w:t>HRB400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HRBF400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HRB335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HRBF335</w:t>
      </w:r>
      <w:r w:rsidRPr="00657823">
        <w:rPr>
          <w:rFonts w:eastAsia="方正仿宋简体"/>
          <w:sz w:val="30"/>
          <w:szCs w:val="30"/>
        </w:rPr>
        <w:t>的有关规定。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）交割螺纹钢的尺寸、外形、重量及允许偏差、包装、标志和质量证明书等应当符合国标</w:t>
      </w:r>
      <w:r w:rsidRPr="00657823">
        <w:rPr>
          <w:rFonts w:eastAsia="方正仿宋简体"/>
          <w:sz w:val="30"/>
          <w:szCs w:val="30"/>
        </w:rPr>
        <w:t>GB1499.2-2007</w:t>
      </w:r>
      <w:r w:rsidRPr="00657823">
        <w:rPr>
          <w:rFonts w:eastAsia="方正仿宋简体"/>
          <w:sz w:val="30"/>
          <w:szCs w:val="30"/>
        </w:rPr>
        <w:t>《钢筋混凝土用钢第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部分：热轧带肋钢筋》的规定。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3</w:t>
      </w:r>
      <w:r w:rsidRPr="00657823">
        <w:rPr>
          <w:rFonts w:eastAsia="方正仿宋简体"/>
          <w:sz w:val="30"/>
          <w:szCs w:val="30"/>
        </w:rPr>
        <w:t>）用于实物交割的螺纹钢其长度为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米"/>
        </w:smartTagPr>
        <w:r w:rsidRPr="00657823">
          <w:rPr>
            <w:rFonts w:eastAsia="方正仿宋简体"/>
            <w:sz w:val="30"/>
            <w:szCs w:val="30"/>
          </w:rPr>
          <w:t>9</w:t>
        </w:r>
        <w:r w:rsidRPr="00657823">
          <w:rPr>
            <w:rFonts w:eastAsia="方正仿宋简体"/>
            <w:sz w:val="30"/>
            <w:szCs w:val="30"/>
          </w:rPr>
          <w:t>米</w:t>
        </w:r>
      </w:smartTag>
      <w:r w:rsidRPr="00657823">
        <w:rPr>
          <w:rFonts w:eastAsia="方正仿宋简体"/>
          <w:sz w:val="30"/>
          <w:szCs w:val="30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米"/>
        </w:smartTagPr>
        <w:r w:rsidRPr="00657823">
          <w:rPr>
            <w:rFonts w:eastAsia="方正仿宋简体"/>
            <w:sz w:val="30"/>
            <w:szCs w:val="30"/>
          </w:rPr>
          <w:t>12</w:t>
        </w:r>
        <w:r w:rsidRPr="00657823">
          <w:rPr>
            <w:rFonts w:eastAsia="方正仿宋简体"/>
            <w:sz w:val="30"/>
            <w:szCs w:val="30"/>
          </w:rPr>
          <w:t>米</w:t>
        </w:r>
      </w:smartTag>
      <w:r w:rsidRPr="00657823">
        <w:rPr>
          <w:rFonts w:eastAsia="方正仿宋简体"/>
          <w:sz w:val="30"/>
          <w:szCs w:val="30"/>
        </w:rPr>
        <w:t>定尺。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4</w:t>
      </w:r>
      <w:r w:rsidRPr="00657823">
        <w:rPr>
          <w:rFonts w:eastAsia="方正仿宋简体"/>
          <w:sz w:val="30"/>
          <w:szCs w:val="30"/>
        </w:rPr>
        <w:t>）每一标准仓单的螺纹钢，应当是同一生产企业生产、同一牌号、同一注册商标、同一公称直径、同一长度的商品组成，并且组成每一仓单的螺纹钢的生产日期应当不超过连续十日，且以最早日期作为该仓单的生产日期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5</w:t>
      </w:r>
      <w:r w:rsidRPr="00657823">
        <w:rPr>
          <w:rFonts w:eastAsia="方正仿宋简体"/>
          <w:sz w:val="30"/>
          <w:szCs w:val="30"/>
        </w:rPr>
        <w:t>）每一标准仓单的螺纹钢，应当是交易所批准的注册品牌，应附有相应的质量证明书。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6</w:t>
      </w:r>
      <w:r w:rsidRPr="00657823">
        <w:rPr>
          <w:rFonts w:eastAsia="方正仿宋简体"/>
          <w:sz w:val="30"/>
          <w:szCs w:val="30"/>
        </w:rPr>
        <w:t>）螺纹钢交割以实际称重方式计量。每一仓单的实物溢短不超过</w:t>
      </w:r>
      <w:r w:rsidRPr="00657823">
        <w:rPr>
          <w:rFonts w:eastAsia="方正仿宋简体"/>
          <w:sz w:val="30"/>
          <w:szCs w:val="30"/>
        </w:rPr>
        <w:t>±3%</w:t>
      </w:r>
      <w:r w:rsidRPr="00657823">
        <w:rPr>
          <w:rFonts w:eastAsia="方正仿宋简体"/>
          <w:sz w:val="30"/>
          <w:szCs w:val="30"/>
        </w:rPr>
        <w:t>，磅差不超过</w:t>
      </w:r>
      <w:r w:rsidRPr="00657823">
        <w:rPr>
          <w:rFonts w:eastAsia="方正仿宋简体"/>
          <w:sz w:val="30"/>
          <w:szCs w:val="30"/>
        </w:rPr>
        <w:t>±0.3%</w:t>
      </w:r>
      <w:r w:rsidRPr="00657823">
        <w:rPr>
          <w:rFonts w:eastAsia="方正仿宋简体"/>
          <w:sz w:val="30"/>
          <w:szCs w:val="30"/>
        </w:rPr>
        <w:t>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7</w:t>
      </w:r>
      <w:r w:rsidRPr="00657823">
        <w:rPr>
          <w:rFonts w:eastAsia="方正仿宋简体"/>
          <w:sz w:val="30"/>
          <w:szCs w:val="30"/>
        </w:rPr>
        <w:t>）仓单应由本所指定交割仓库按规定验收合格后出具。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三、交易所认可的生产企业和注册品牌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lastRenderedPageBreak/>
        <w:t>用于实物交割的螺纹钢，应当是交易所注册的品牌。具体的注册品牌和升贴水标准，由交易所另行规定并公告。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四、指定交割仓库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注：灰色底纹且加粗部分为已作修订的内容。</w:t>
      </w:r>
    </w:p>
    <w:p w:rsidR="0076111E" w:rsidRPr="00166916" w:rsidRDefault="00166916"/>
    <w:sectPr w:rsidR="0076111E" w:rsidRPr="00166916" w:rsidSect="006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916"/>
    <w:rsid w:val="00155BE0"/>
    <w:rsid w:val="00166916"/>
    <w:rsid w:val="00485769"/>
    <w:rsid w:val="0069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949</Characters>
  <Application>Microsoft Office Word</Application>
  <DocSecurity>0</DocSecurity>
  <Lines>7</Lines>
  <Paragraphs>2</Paragraphs>
  <ScaleCrop>false</ScaleCrop>
  <Company>SHFE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2014-12-22T09:59:00Z</dcterms:created>
  <dcterms:modified xsi:type="dcterms:W3CDTF">2014-12-22T10:00:00Z</dcterms:modified>
</cp:coreProperties>
</file>