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B3" w:rsidRDefault="000D76B3" w:rsidP="000D76B3">
      <w:pPr>
        <w:spacing w:line="560" w:lineRule="exact"/>
        <w:rPr>
          <w:rFonts w:ascii="Times New Roman" w:eastAsia="方正大标宋简体" w:hAnsi="Times New Roman"/>
          <w:kern w:val="0"/>
          <w:sz w:val="42"/>
          <w:szCs w:val="42"/>
        </w:rPr>
      </w:pPr>
      <w:r w:rsidRPr="00D1414A">
        <w:rPr>
          <w:rFonts w:ascii="Times New Roman" w:eastAsia="方正大标宋简体" w:hAnsi="Times New Roman" w:hint="eastAsia"/>
          <w:kern w:val="0"/>
          <w:sz w:val="42"/>
          <w:szCs w:val="42"/>
        </w:rPr>
        <w:t>附件</w:t>
      </w:r>
      <w:r w:rsidRPr="00D1414A">
        <w:rPr>
          <w:rFonts w:ascii="Times New Roman" w:eastAsia="方正大标宋简体" w:hAnsi="Times New Roman"/>
          <w:kern w:val="0"/>
          <w:sz w:val="42"/>
          <w:szCs w:val="42"/>
        </w:rPr>
        <w:t>1</w:t>
      </w:r>
    </w:p>
    <w:p w:rsidR="000D76B3" w:rsidRPr="008B01A9" w:rsidRDefault="000D76B3" w:rsidP="000D76B3">
      <w:pPr>
        <w:spacing w:line="560" w:lineRule="exact"/>
        <w:rPr>
          <w:rFonts w:ascii="Times New Roman" w:eastAsia="方正大标宋简体" w:hAnsi="Times New Roman"/>
          <w:kern w:val="0"/>
          <w:sz w:val="42"/>
          <w:szCs w:val="42"/>
        </w:rPr>
      </w:pPr>
    </w:p>
    <w:p w:rsidR="000D76B3" w:rsidRPr="00D1414A" w:rsidRDefault="000D76B3" w:rsidP="000D76B3">
      <w:pPr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D1414A">
        <w:rPr>
          <w:rFonts w:ascii="方正大标宋简体" w:eastAsia="方正大标宋简体" w:hAnsi="Times New Roman" w:hint="eastAsia"/>
          <w:sz w:val="42"/>
          <w:szCs w:val="42"/>
        </w:rPr>
        <w:t>上海期货交易所黄金期货标准合约</w:t>
      </w:r>
    </w:p>
    <w:p w:rsidR="000D76B3" w:rsidRDefault="000D76B3" w:rsidP="000D76B3">
      <w:pPr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D1414A">
        <w:rPr>
          <w:rFonts w:ascii="方正大标宋简体" w:eastAsia="方正大标宋简体" w:hAnsi="Times New Roman" w:hint="eastAsia"/>
          <w:sz w:val="42"/>
          <w:szCs w:val="42"/>
        </w:rPr>
        <w:t>（修订案）</w:t>
      </w:r>
    </w:p>
    <w:p w:rsidR="000D76B3" w:rsidRPr="008B01A9" w:rsidRDefault="000D76B3" w:rsidP="000D76B3">
      <w:pPr>
        <w:jc w:val="center"/>
        <w:rPr>
          <w:rFonts w:ascii="方正大标宋简体" w:eastAsia="方正大标宋简体" w:hAnsi="Times New Roman"/>
          <w:sz w:val="42"/>
          <w:szCs w:val="42"/>
        </w:rPr>
      </w:pP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9"/>
        <w:gridCol w:w="5766"/>
      </w:tblGrid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交易品种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黄金</w:t>
            </w:r>
          </w:p>
        </w:tc>
      </w:tr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交易单位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01A9">
                <w:rPr>
                  <w:rFonts w:ascii="Times New Roman" w:eastAsia="方正仿宋简体" w:hAnsi="Times New Roman"/>
                  <w:color w:val="000000"/>
                  <w:kern w:val="0"/>
                  <w:sz w:val="30"/>
                  <w:szCs w:val="30"/>
                </w:rPr>
                <w:t>1000</w:t>
              </w:r>
              <w:r w:rsidRPr="008B01A9">
                <w:rPr>
                  <w:rFonts w:ascii="Times New Roman" w:eastAsia="方正仿宋简体" w:hAnsi="Times New Roman" w:hint="eastAsia"/>
                  <w:color w:val="000000"/>
                  <w:kern w:val="0"/>
                  <w:sz w:val="30"/>
                  <w:szCs w:val="30"/>
                </w:rPr>
                <w:t>克</w:t>
              </w:r>
            </w:smartTag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/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手</w:t>
            </w:r>
          </w:p>
        </w:tc>
      </w:tr>
      <w:tr w:rsidR="000D76B3" w:rsidRPr="008B01A9" w:rsidTr="00F23CDB">
        <w:trPr>
          <w:trHeight w:val="451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报价单位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元（人民币）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/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克</w:t>
            </w:r>
          </w:p>
        </w:tc>
      </w:tr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最小变动价位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0.05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元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/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克</w:t>
            </w:r>
          </w:p>
        </w:tc>
      </w:tr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每日价格最大波动限制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不超过上一交易日结算价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±3%</w:t>
            </w:r>
          </w:p>
        </w:tc>
      </w:tr>
      <w:tr w:rsidR="000D76B3" w:rsidRPr="008B01A9" w:rsidTr="00F23CDB">
        <w:trPr>
          <w:trHeight w:val="451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合约交割月份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最近三个连续月份的合约以及最近</w:t>
            </w:r>
            <w:r w:rsidRPr="008B01A9">
              <w:rPr>
                <w:rFonts w:ascii="Times New Roman" w:eastAsia="方正仿宋简体" w:hAnsi="Times New Roman"/>
                <w:dstrike/>
                <w:color w:val="000000"/>
                <w:kern w:val="0"/>
                <w:sz w:val="30"/>
                <w:szCs w:val="30"/>
              </w:rPr>
              <w:t>11</w:t>
            </w:r>
            <w:r w:rsidRPr="008B01A9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  <w:shd w:val="clear" w:color="auto" w:fill="C0C0C0"/>
              </w:rPr>
              <w:t>13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个月以内的双月合约</w:t>
            </w:r>
          </w:p>
        </w:tc>
      </w:tr>
      <w:tr w:rsidR="000D76B3" w:rsidRPr="008B01A9" w:rsidTr="00F23CDB">
        <w:trPr>
          <w:trHeight w:val="936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交易时间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上午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9:00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－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11:30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，下午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1:30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－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3:00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和交易所规定的其他交易时间</w:t>
            </w:r>
          </w:p>
        </w:tc>
      </w:tr>
      <w:tr w:rsidR="000D76B3" w:rsidRPr="008B01A9" w:rsidTr="00F23CDB">
        <w:trPr>
          <w:trHeight w:val="451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最后交易日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合约交割月份的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15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日（遇法定假日顺延）</w:t>
            </w:r>
          </w:p>
        </w:tc>
      </w:tr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交割日期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最后交易日后连续五个工作日</w:t>
            </w:r>
          </w:p>
        </w:tc>
      </w:tr>
      <w:tr w:rsidR="000D76B3" w:rsidRPr="008B01A9" w:rsidTr="00F23CDB">
        <w:trPr>
          <w:trHeight w:val="1855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交割品级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金含量不小于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99.95%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的国产金锭及经交易所认可的伦敦金银市场协会（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LBMA</w:t>
            </w: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）认定的合格供货商或精炼厂生产的标准金锭（具体质量规定见附件）。</w:t>
            </w:r>
          </w:p>
        </w:tc>
      </w:tr>
      <w:tr w:rsidR="000D76B3" w:rsidRPr="008B01A9" w:rsidTr="00F23CDB">
        <w:trPr>
          <w:trHeight w:val="451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交割地点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交易所指定交割金库</w:t>
            </w:r>
          </w:p>
        </w:tc>
      </w:tr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最低交易保证金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合约价值的</w:t>
            </w: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4%</w:t>
            </w:r>
          </w:p>
        </w:tc>
      </w:tr>
      <w:tr w:rsidR="000D76B3" w:rsidRPr="008B01A9" w:rsidTr="00F23CDB">
        <w:trPr>
          <w:trHeight w:val="451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交割方式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实物交割</w:t>
            </w:r>
          </w:p>
        </w:tc>
      </w:tr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交易代码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AU</w:t>
            </w:r>
          </w:p>
        </w:tc>
      </w:tr>
      <w:tr w:rsidR="000D76B3" w:rsidRPr="008B01A9" w:rsidTr="00F23CDB">
        <w:trPr>
          <w:trHeight w:val="468"/>
          <w:jc w:val="center"/>
        </w:trPr>
        <w:tc>
          <w:tcPr>
            <w:tcW w:w="3449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上市交易所</w:t>
            </w:r>
          </w:p>
        </w:tc>
        <w:tc>
          <w:tcPr>
            <w:tcW w:w="5766" w:type="dxa"/>
            <w:vAlign w:val="center"/>
          </w:tcPr>
          <w:p w:rsidR="000D76B3" w:rsidRPr="008B01A9" w:rsidRDefault="000D76B3" w:rsidP="00F23CDB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8B01A9">
              <w:rPr>
                <w:rFonts w:ascii="Times New Roman" w:eastAsia="方正仿宋简体" w:hAnsi="Times New Roman" w:hint="eastAsia"/>
                <w:color w:val="000000"/>
                <w:kern w:val="0"/>
                <w:sz w:val="30"/>
                <w:szCs w:val="30"/>
              </w:rPr>
              <w:t>上海期货交易所</w:t>
            </w:r>
          </w:p>
        </w:tc>
      </w:tr>
    </w:tbl>
    <w:p w:rsidR="000D76B3" w:rsidRDefault="000D76B3" w:rsidP="000D76B3">
      <w:pPr>
        <w:spacing w:line="56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>
        <w:rPr>
          <w:rFonts w:ascii="Times New Roman" w:eastAsia="仿宋_GB2312" w:hAnsi="Times New Roman"/>
          <w:color w:val="000000"/>
          <w:spacing w:val="8"/>
          <w:sz w:val="28"/>
          <w:szCs w:val="20"/>
        </w:rPr>
        <w:br w:type="page"/>
      </w:r>
      <w:r w:rsidRPr="00D1414A">
        <w:rPr>
          <w:rFonts w:ascii="方正大标宋简体" w:eastAsia="方正大标宋简体" w:hAnsi="Times New Roman" w:hint="eastAsia"/>
          <w:sz w:val="42"/>
          <w:szCs w:val="42"/>
        </w:rPr>
        <w:lastRenderedPageBreak/>
        <w:t>上海期货交易所黄金期货标准合约附件</w:t>
      </w:r>
    </w:p>
    <w:p w:rsidR="000D76B3" w:rsidRPr="008B01A9" w:rsidRDefault="000D76B3" w:rsidP="000D76B3"/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 w:rsidRPr="008B01A9">
        <w:rPr>
          <w:rFonts w:ascii="Times New Roman" w:eastAsia="方正黑体简体" w:hAnsi="Times New Roman" w:hint="eastAsia"/>
          <w:sz w:val="30"/>
          <w:szCs w:val="30"/>
        </w:rPr>
        <w:t>一、交割单位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黄金标准合约的交易单位为每手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1000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，交割单位为每一仓单标准重量（纯重）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3000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，交割应当以每一仓单的整数</w:t>
      </w:r>
      <w:proofErr w:type="gramStart"/>
      <w:r w:rsidRPr="008B01A9">
        <w:rPr>
          <w:rFonts w:ascii="Times New Roman" w:eastAsia="方正仿宋简体" w:hAnsi="Times New Roman" w:hint="eastAsia"/>
          <w:sz w:val="30"/>
          <w:szCs w:val="30"/>
        </w:rPr>
        <w:t>倍</w:t>
      </w:r>
      <w:proofErr w:type="gramEnd"/>
      <w:r w:rsidRPr="008B01A9">
        <w:rPr>
          <w:rFonts w:ascii="Times New Roman" w:eastAsia="方正仿宋简体" w:hAnsi="Times New Roman" w:hint="eastAsia"/>
          <w:sz w:val="30"/>
          <w:szCs w:val="30"/>
        </w:rPr>
        <w:t>交割。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 w:rsidRPr="008B01A9">
        <w:rPr>
          <w:rFonts w:ascii="Times New Roman" w:eastAsia="方正黑体简体" w:hAnsi="Times New Roman" w:hint="eastAsia"/>
          <w:sz w:val="30"/>
          <w:szCs w:val="30"/>
        </w:rPr>
        <w:t>二、质量规定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（</w:t>
      </w:r>
      <w:r w:rsidRPr="008B01A9">
        <w:rPr>
          <w:rFonts w:ascii="Times New Roman" w:eastAsia="方正仿宋简体" w:hAnsi="Times New Roman"/>
          <w:sz w:val="30"/>
          <w:szCs w:val="30"/>
        </w:rPr>
        <w:t>1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）用于本合约实物交割的金锭，金含量不低于</w:t>
      </w:r>
      <w:r w:rsidRPr="008B01A9">
        <w:rPr>
          <w:rFonts w:ascii="Times New Roman" w:eastAsia="方正仿宋简体" w:hAnsi="Times New Roman"/>
          <w:sz w:val="30"/>
          <w:szCs w:val="30"/>
        </w:rPr>
        <w:t>99.95%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。</w:t>
      </w:r>
    </w:p>
    <w:p w:rsidR="000D76B3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（</w:t>
      </w:r>
      <w:r w:rsidRPr="008B01A9">
        <w:rPr>
          <w:rFonts w:ascii="Times New Roman" w:eastAsia="方正仿宋简体" w:hAnsi="Times New Roman"/>
          <w:sz w:val="30"/>
          <w:szCs w:val="30"/>
        </w:rPr>
        <w:t>2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）国产金锭的化学成分还应符合下表规定：</w:t>
      </w:r>
    </w:p>
    <w:p w:rsidR="000D76B3" w:rsidRPr="008B01A9" w:rsidRDefault="000D76B3" w:rsidP="000D76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165"/>
        <w:gridCol w:w="916"/>
        <w:gridCol w:w="916"/>
        <w:gridCol w:w="916"/>
        <w:gridCol w:w="916"/>
        <w:gridCol w:w="916"/>
        <w:gridCol w:w="1050"/>
        <w:gridCol w:w="840"/>
      </w:tblGrid>
      <w:tr w:rsidR="000D76B3" w:rsidRPr="008B01A9" w:rsidTr="00F23CDB">
        <w:trPr>
          <w:jc w:val="center"/>
        </w:trPr>
        <w:tc>
          <w:tcPr>
            <w:tcW w:w="1368" w:type="dxa"/>
            <w:vMerge w:val="restart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 w:hint="eastAsia"/>
                <w:kern w:val="0"/>
                <w:sz w:val="28"/>
                <w:szCs w:val="20"/>
              </w:rPr>
              <w:t>牌号</w:t>
            </w:r>
          </w:p>
        </w:tc>
        <w:tc>
          <w:tcPr>
            <w:tcW w:w="7635" w:type="dxa"/>
            <w:gridSpan w:val="8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 w:hint="eastAsia"/>
                <w:kern w:val="0"/>
                <w:sz w:val="28"/>
                <w:szCs w:val="20"/>
              </w:rPr>
              <w:t>化学成分（质量分数）</w:t>
            </w: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/%</w:t>
            </w:r>
          </w:p>
        </w:tc>
      </w:tr>
      <w:tr w:rsidR="000D76B3" w:rsidRPr="008B01A9" w:rsidTr="00F23CDB">
        <w:trPr>
          <w:trHeight w:val="420"/>
          <w:jc w:val="center"/>
        </w:trPr>
        <w:tc>
          <w:tcPr>
            <w:tcW w:w="1368" w:type="dxa"/>
            <w:vMerge/>
            <w:vAlign w:val="center"/>
          </w:tcPr>
          <w:p w:rsidR="000D76B3" w:rsidRPr="008B01A9" w:rsidRDefault="000D76B3" w:rsidP="00F23CDB">
            <w:pPr>
              <w:widowControl/>
              <w:jc w:val="left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Au</w:t>
            </w:r>
          </w:p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 w:hint="eastAsia"/>
                <w:kern w:val="0"/>
                <w:sz w:val="28"/>
                <w:szCs w:val="20"/>
              </w:rPr>
              <w:t>不小于</w:t>
            </w:r>
          </w:p>
        </w:tc>
        <w:tc>
          <w:tcPr>
            <w:tcW w:w="6470" w:type="dxa"/>
            <w:gridSpan w:val="7"/>
            <w:tcBorders>
              <w:bottom w:val="nil"/>
            </w:tcBorders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 w:hint="eastAsia"/>
                <w:kern w:val="0"/>
                <w:sz w:val="28"/>
                <w:szCs w:val="20"/>
              </w:rPr>
              <w:t>杂质含量不大于</w:t>
            </w:r>
          </w:p>
        </w:tc>
      </w:tr>
      <w:tr w:rsidR="000D76B3" w:rsidRPr="008B01A9" w:rsidTr="00F23CDB">
        <w:trPr>
          <w:trHeight w:val="195"/>
          <w:jc w:val="center"/>
        </w:trPr>
        <w:tc>
          <w:tcPr>
            <w:tcW w:w="1368" w:type="dxa"/>
            <w:vMerge/>
            <w:vAlign w:val="center"/>
          </w:tcPr>
          <w:p w:rsidR="000D76B3" w:rsidRPr="008B01A9" w:rsidRDefault="000D76B3" w:rsidP="00F23CDB">
            <w:pPr>
              <w:widowControl/>
              <w:jc w:val="left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0D76B3" w:rsidRPr="008B01A9" w:rsidRDefault="000D76B3" w:rsidP="00F23CDB">
            <w:pPr>
              <w:widowControl/>
              <w:jc w:val="left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Ag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Cu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Fe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proofErr w:type="spellStart"/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Pb</w:t>
            </w:r>
            <w:proofErr w:type="spellEnd"/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Bi</w:t>
            </w:r>
          </w:p>
        </w:tc>
        <w:tc>
          <w:tcPr>
            <w:tcW w:w="1050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proofErr w:type="spellStart"/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Sb</w:t>
            </w:r>
            <w:proofErr w:type="spellEnd"/>
          </w:p>
        </w:tc>
        <w:tc>
          <w:tcPr>
            <w:tcW w:w="840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 w:hint="eastAsia"/>
                <w:kern w:val="0"/>
                <w:sz w:val="28"/>
                <w:szCs w:val="20"/>
              </w:rPr>
              <w:t>总和</w:t>
            </w:r>
          </w:p>
        </w:tc>
      </w:tr>
      <w:tr w:rsidR="000D76B3" w:rsidRPr="008B01A9" w:rsidTr="00F23CDB">
        <w:trPr>
          <w:trHeight w:val="857"/>
          <w:jc w:val="center"/>
        </w:trPr>
        <w:tc>
          <w:tcPr>
            <w:tcW w:w="1368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Au99.99</w:t>
            </w:r>
          </w:p>
        </w:tc>
        <w:tc>
          <w:tcPr>
            <w:tcW w:w="1165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99.99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0.005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0.002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0.002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0.001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0.002</w:t>
            </w:r>
          </w:p>
        </w:tc>
        <w:tc>
          <w:tcPr>
            <w:tcW w:w="1050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0.001</w:t>
            </w:r>
          </w:p>
        </w:tc>
        <w:tc>
          <w:tcPr>
            <w:tcW w:w="840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0.01</w:t>
            </w:r>
          </w:p>
        </w:tc>
      </w:tr>
      <w:tr w:rsidR="000D76B3" w:rsidRPr="008B01A9" w:rsidTr="00F23CDB">
        <w:trPr>
          <w:trHeight w:val="769"/>
          <w:jc w:val="center"/>
        </w:trPr>
        <w:tc>
          <w:tcPr>
            <w:tcW w:w="1368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Au99.95</w:t>
            </w:r>
          </w:p>
        </w:tc>
        <w:tc>
          <w:tcPr>
            <w:tcW w:w="1165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99.95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0.020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0.015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0.003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0.003</w:t>
            </w:r>
          </w:p>
        </w:tc>
        <w:tc>
          <w:tcPr>
            <w:tcW w:w="916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0.002</w:t>
            </w:r>
          </w:p>
        </w:tc>
        <w:tc>
          <w:tcPr>
            <w:tcW w:w="1050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0.002</w:t>
            </w:r>
          </w:p>
        </w:tc>
        <w:tc>
          <w:tcPr>
            <w:tcW w:w="840" w:type="dxa"/>
            <w:vAlign w:val="center"/>
          </w:tcPr>
          <w:p w:rsidR="000D76B3" w:rsidRPr="008B01A9" w:rsidRDefault="000D76B3" w:rsidP="00F23CDB">
            <w:pPr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0"/>
              </w:rPr>
            </w:pPr>
            <w:r w:rsidRPr="008B01A9">
              <w:rPr>
                <w:rFonts w:ascii="Times New Roman" w:eastAsia="方正仿宋简体" w:hAnsi="Times New Roman"/>
                <w:kern w:val="0"/>
                <w:sz w:val="28"/>
                <w:szCs w:val="20"/>
              </w:rPr>
              <w:t>0.05</w:t>
            </w:r>
          </w:p>
        </w:tc>
      </w:tr>
    </w:tbl>
    <w:p w:rsidR="000D76B3" w:rsidRPr="008B01A9" w:rsidRDefault="000D76B3" w:rsidP="000D76B3"/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其他规定按</w:t>
      </w:r>
      <w:r w:rsidRPr="008B01A9">
        <w:rPr>
          <w:rFonts w:ascii="Times New Roman" w:eastAsia="方正仿宋简体" w:hAnsi="Times New Roman"/>
          <w:sz w:val="30"/>
          <w:szCs w:val="30"/>
        </w:rPr>
        <w:t>GB/T4134-2003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标准要求。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（</w:t>
      </w:r>
      <w:r w:rsidRPr="008B01A9">
        <w:rPr>
          <w:rFonts w:ascii="Times New Roman" w:eastAsia="方正仿宋简体" w:hAnsi="Times New Roman"/>
          <w:sz w:val="30"/>
          <w:szCs w:val="30"/>
        </w:rPr>
        <w:t>3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）交割的金锭为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1000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规格的金锭（金含量不小于</w:t>
      </w:r>
      <w:r w:rsidRPr="008B01A9">
        <w:rPr>
          <w:rFonts w:ascii="Times New Roman" w:eastAsia="方正仿宋简体" w:hAnsi="Times New Roman"/>
          <w:sz w:val="30"/>
          <w:szCs w:val="30"/>
        </w:rPr>
        <w:t>99.99%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）或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3000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规格的金锭（金含量不小于</w:t>
      </w:r>
      <w:r w:rsidRPr="008B01A9">
        <w:rPr>
          <w:rFonts w:ascii="Times New Roman" w:eastAsia="方正仿宋简体" w:hAnsi="Times New Roman"/>
          <w:sz w:val="30"/>
          <w:szCs w:val="30"/>
        </w:rPr>
        <w:t>99.95%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（</w:t>
      </w:r>
      <w:r w:rsidRPr="008B01A9">
        <w:rPr>
          <w:rFonts w:ascii="Times New Roman" w:eastAsia="方正仿宋简体" w:hAnsi="Times New Roman"/>
          <w:sz w:val="30"/>
          <w:szCs w:val="30"/>
        </w:rPr>
        <w:t>4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3000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金锭，每块金锭重量（纯重）溢短不超过</w:t>
      </w:r>
      <w:r w:rsidRPr="008B01A9">
        <w:rPr>
          <w:rFonts w:ascii="Times New Roman" w:eastAsia="方正仿宋简体" w:hAnsi="Times New Roman"/>
          <w:sz w:val="30"/>
          <w:szCs w:val="30"/>
        </w:rPr>
        <w:t>±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50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。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1000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金锭，每块金锭重量（毛重）不得小于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1000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，超过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1000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的按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1000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计。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每块金锭磅差不超过</w:t>
      </w:r>
      <w:r w:rsidRPr="008B01A9">
        <w:rPr>
          <w:rFonts w:ascii="Times New Roman" w:eastAsia="方正仿宋简体" w:hAnsi="Times New Roman"/>
          <w:sz w:val="30"/>
          <w:szCs w:val="30"/>
        </w:rPr>
        <w:t>±</w:t>
      </w:r>
      <w:smartTag w:uri="urn:schemas-microsoft-com:office:smarttags" w:element="chmetcnv">
        <w:smartTagPr>
          <w:attr w:name="UnitName" w:val="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B01A9">
          <w:rPr>
            <w:rFonts w:ascii="Times New Roman" w:eastAsia="方正仿宋简体" w:hAnsi="Times New Roman"/>
            <w:sz w:val="30"/>
            <w:szCs w:val="30"/>
          </w:rPr>
          <w:t>0.1</w:t>
        </w:r>
        <w:r w:rsidRPr="008B01A9">
          <w:rPr>
            <w:rFonts w:ascii="Times New Roman" w:eastAsia="方正仿宋简体" w:hAnsi="Times New Roman" w:hint="eastAsia"/>
            <w:sz w:val="30"/>
            <w:szCs w:val="30"/>
          </w:rPr>
          <w:t>克</w:t>
        </w:r>
      </w:smartTag>
      <w:r w:rsidRPr="008B01A9">
        <w:rPr>
          <w:rFonts w:ascii="Times New Roman" w:eastAsia="方正仿宋简体" w:hAnsi="Times New Roman" w:hint="eastAsia"/>
          <w:sz w:val="30"/>
          <w:szCs w:val="30"/>
        </w:rPr>
        <w:t>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（</w:t>
      </w:r>
      <w:r w:rsidRPr="008B01A9">
        <w:rPr>
          <w:rFonts w:ascii="Times New Roman" w:eastAsia="方正仿宋简体" w:hAnsi="Times New Roman"/>
          <w:sz w:val="30"/>
          <w:szCs w:val="30"/>
        </w:rPr>
        <w:t>5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）每一仓单的黄金，必须是同一生产企业生产、同一牌号、同一注册商标、同一质量品级、同一块形的金锭组成。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（</w:t>
      </w:r>
      <w:r w:rsidRPr="008B01A9">
        <w:rPr>
          <w:rFonts w:ascii="Times New Roman" w:eastAsia="方正仿宋简体" w:hAnsi="Times New Roman"/>
          <w:sz w:val="30"/>
          <w:szCs w:val="30"/>
        </w:rPr>
        <w:t>6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）每一仓单的金锭，必须是交易所批准或认可的注册品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lastRenderedPageBreak/>
        <w:t>牌，须附有相应的质量证明。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 w:rsidRPr="008B01A9">
        <w:rPr>
          <w:rFonts w:ascii="Times New Roman" w:eastAsia="方正黑体简体" w:hAnsi="Times New Roman" w:hint="eastAsia"/>
          <w:sz w:val="30"/>
          <w:szCs w:val="30"/>
        </w:rPr>
        <w:t>三、交易所认可的生产企业和注册品牌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用于实物交割的金锭，必须是交易所注册的品牌或交易所认可的伦敦金银市场协会（</w:t>
      </w:r>
      <w:r w:rsidRPr="008B01A9">
        <w:rPr>
          <w:rFonts w:ascii="Times New Roman" w:eastAsia="方正仿宋简体" w:hAnsi="Times New Roman"/>
          <w:sz w:val="30"/>
          <w:szCs w:val="30"/>
        </w:rPr>
        <w:t>LBMA</w:t>
      </w:r>
      <w:r w:rsidRPr="008B01A9">
        <w:rPr>
          <w:rFonts w:ascii="Times New Roman" w:eastAsia="方正仿宋简体" w:hAnsi="Times New Roman" w:hint="eastAsia"/>
          <w:sz w:val="30"/>
          <w:szCs w:val="30"/>
        </w:rPr>
        <w:t>）认定的合格供货商或精炼厂生产的标准金锭。具体的注册品牌和升贴水标准，由交易所另行规定并公告。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 w:rsidRPr="008B01A9">
        <w:rPr>
          <w:rFonts w:ascii="Times New Roman" w:eastAsia="方正黑体简体" w:hAnsi="Times New Roman" w:hint="eastAsia"/>
          <w:sz w:val="30"/>
          <w:szCs w:val="30"/>
        </w:rPr>
        <w:t>四、指定交割金库</w:t>
      </w:r>
    </w:p>
    <w:p w:rsidR="000D76B3" w:rsidRPr="008B01A9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指定交割金库由交易所指定并另行公告。</w:t>
      </w:r>
    </w:p>
    <w:p w:rsidR="000D76B3" w:rsidRPr="008B01A9" w:rsidRDefault="000D76B3" w:rsidP="000D76B3">
      <w:pPr>
        <w:spacing w:line="560" w:lineRule="exact"/>
        <w:rPr>
          <w:rFonts w:ascii="Times New Roman" w:eastAsia="方正仿宋简体" w:hAnsi="Times New Roman"/>
          <w:color w:val="000000"/>
          <w:spacing w:val="8"/>
          <w:sz w:val="30"/>
          <w:szCs w:val="30"/>
        </w:rPr>
      </w:pPr>
    </w:p>
    <w:p w:rsidR="000D76B3" w:rsidRDefault="000D76B3" w:rsidP="000D76B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B01A9">
        <w:rPr>
          <w:rFonts w:ascii="Times New Roman" w:eastAsia="方正仿宋简体" w:hAnsi="Times New Roman" w:hint="eastAsia"/>
          <w:sz w:val="30"/>
          <w:szCs w:val="30"/>
        </w:rPr>
        <w:t>注：双删除线部分为已删除的内容，灰色底纹且加粗部分为已作修订的内容。</w:t>
      </w:r>
    </w:p>
    <w:p w:rsidR="0076111E" w:rsidRDefault="000D76B3" w:rsidP="000D76B3"/>
    <w:sectPr w:rsidR="0076111E" w:rsidSect="00D7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6B3"/>
    <w:rsid w:val="000D76B3"/>
    <w:rsid w:val="00155BE0"/>
    <w:rsid w:val="00485769"/>
    <w:rsid w:val="00D7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>SHFE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2015-04-02T08:33:00Z</dcterms:created>
  <dcterms:modified xsi:type="dcterms:W3CDTF">2015-04-02T08:34:00Z</dcterms:modified>
</cp:coreProperties>
</file>