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A" w:rsidRDefault="00D5136A" w:rsidP="00D5136A">
      <w:pPr>
        <w:pStyle w:val="CM11"/>
        <w:spacing w:line="520" w:lineRule="exact"/>
        <w:jc w:val="both"/>
        <w:rPr>
          <w:rFonts w:ascii="Times New Roman" w:eastAsia="仿宋_GB2312"/>
          <w:color w:val="000000"/>
          <w:kern w:val="2"/>
          <w:sz w:val="21"/>
          <w:szCs w:val="21"/>
        </w:rPr>
      </w:pPr>
      <w:r>
        <w:rPr>
          <w:rFonts w:ascii="Times New Roman" w:eastAsia="仿宋_GB2312" w:cs="仿宋_GB2312" w:hint="eastAsia"/>
          <w:color w:val="000000"/>
          <w:kern w:val="2"/>
          <w:sz w:val="21"/>
          <w:szCs w:val="21"/>
        </w:rPr>
        <w:t>附件三</w:t>
      </w:r>
      <w:r>
        <w:rPr>
          <w:rFonts w:ascii="Times New Roman" w:eastAsia="仿宋_GB2312"/>
          <w:color w:val="000000"/>
          <w:kern w:val="2"/>
          <w:sz w:val="21"/>
          <w:szCs w:val="21"/>
        </w:rPr>
        <w:t>：</w:t>
      </w:r>
    </w:p>
    <w:p w:rsidR="00D5136A" w:rsidRPr="00AE48EC" w:rsidRDefault="00D5136A" w:rsidP="00D5136A">
      <w:pPr>
        <w:autoSpaceDE w:val="0"/>
        <w:autoSpaceDN w:val="0"/>
        <w:adjustRightInd w:val="0"/>
        <w:spacing w:line="520" w:lineRule="exact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</w:rPr>
      </w:pPr>
      <w:r w:rsidRPr="00AE48EC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</w:rPr>
        <w:t>上海期货交易所燃料油期货过驳交割操作流程指引</w:t>
      </w:r>
    </w:p>
    <w:p w:rsidR="00D5136A" w:rsidRDefault="00D5136A" w:rsidP="00D5136A">
      <w:pPr>
        <w:pStyle w:val="CM1"/>
      </w:pPr>
    </w:p>
    <w:p w:rsidR="00D5136A" w:rsidRPr="00AE48EC" w:rsidRDefault="00D5136A" w:rsidP="00D5136A">
      <w:pPr>
        <w:pStyle w:val="CM16"/>
        <w:spacing w:line="520" w:lineRule="exact"/>
        <w:ind w:firstLineChars="200" w:firstLine="422"/>
        <w:jc w:val="both"/>
        <w:rPr>
          <w:rFonts w:ascii="仿宋" w:eastAsia="仿宋" w:hAnsi="仿宋"/>
          <w:color w:val="000000"/>
          <w:kern w:val="2"/>
          <w:sz w:val="21"/>
          <w:szCs w:val="21"/>
        </w:rPr>
      </w:pPr>
      <w:r w:rsidRPr="00AE48EC">
        <w:rPr>
          <w:rFonts w:ascii="仿宋" w:eastAsia="仿宋" w:hAnsi="仿宋" w:cs="仿宋_GB2312" w:hint="eastAsia"/>
          <w:b/>
          <w:color w:val="000000"/>
          <w:kern w:val="2"/>
          <w:sz w:val="21"/>
          <w:szCs w:val="21"/>
        </w:rPr>
        <w:t>第一条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 xml:space="preserve"> 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过驳交割是指买卖双方以船对船直接过驳形式履行油品交</w:t>
      </w:r>
      <w:proofErr w:type="gramStart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收义务</w:t>
      </w:r>
      <w:proofErr w:type="gramEnd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的交割方式，采用过驳交割方式应当符合国家及地方政府有关管理规定。采用过驳交割方式，买卖双方应当填写交易所统一印制的</w:t>
      </w:r>
      <w:proofErr w:type="gramStart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期转现</w:t>
      </w:r>
      <w:proofErr w:type="gramEnd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申请单，办理</w:t>
      </w:r>
      <w:proofErr w:type="gramStart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期转现手续</w:t>
      </w:r>
      <w:proofErr w:type="gramEnd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，并签署有关买卖协议。</w:t>
      </w:r>
    </w:p>
    <w:p w:rsidR="00D5136A" w:rsidRPr="00AE48EC" w:rsidRDefault="00D5136A" w:rsidP="00D5136A">
      <w:pPr>
        <w:pStyle w:val="CM8"/>
        <w:spacing w:line="520" w:lineRule="exact"/>
        <w:ind w:firstLineChars="200" w:firstLine="422"/>
        <w:jc w:val="both"/>
        <w:rPr>
          <w:rFonts w:ascii="仿宋" w:eastAsia="仿宋" w:hAnsi="仿宋"/>
          <w:color w:val="000000"/>
          <w:kern w:val="2"/>
          <w:sz w:val="21"/>
          <w:szCs w:val="21"/>
        </w:rPr>
      </w:pPr>
      <w:r w:rsidRPr="00AE48EC">
        <w:rPr>
          <w:rFonts w:ascii="仿宋" w:eastAsia="仿宋" w:hAnsi="仿宋" w:cs="仿宋_GB2312" w:hint="eastAsia"/>
          <w:b/>
          <w:color w:val="000000"/>
          <w:kern w:val="2"/>
          <w:sz w:val="21"/>
          <w:szCs w:val="21"/>
        </w:rPr>
        <w:t>第二条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 xml:space="preserve"> 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过驳交割过程中，买卖双方的风险和责任以大船和驳船的法兰对接处为界。买卖双方应当相互配合，使油品的过驳交割顺利进行。</w:t>
      </w:r>
    </w:p>
    <w:p w:rsidR="00D5136A" w:rsidRPr="00AE48EC" w:rsidRDefault="00D5136A" w:rsidP="00D5136A">
      <w:pPr>
        <w:pStyle w:val="CM8"/>
        <w:spacing w:line="520" w:lineRule="exact"/>
        <w:ind w:firstLineChars="200" w:firstLine="422"/>
        <w:jc w:val="both"/>
        <w:rPr>
          <w:rFonts w:ascii="仿宋" w:eastAsia="仿宋" w:hAnsi="仿宋"/>
          <w:color w:val="000000"/>
          <w:kern w:val="2"/>
          <w:sz w:val="21"/>
          <w:szCs w:val="21"/>
        </w:rPr>
      </w:pPr>
      <w:r w:rsidRPr="00AE48EC">
        <w:rPr>
          <w:rFonts w:ascii="仿宋" w:eastAsia="仿宋" w:hAnsi="仿宋" w:cs="仿宋_GB2312" w:hint="eastAsia"/>
          <w:b/>
          <w:color w:val="000000"/>
          <w:kern w:val="2"/>
          <w:sz w:val="21"/>
          <w:szCs w:val="21"/>
        </w:rPr>
        <w:t>第三条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 xml:space="preserve"> 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卖方有权选择过驳交割锚地。卖方应当在船舶到港前至少提前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>7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天向买方预报船期，在船舶到港前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>4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天将准确的船舶动态通知买方。</w:t>
      </w:r>
    </w:p>
    <w:p w:rsidR="00D5136A" w:rsidRPr="00AE48EC" w:rsidRDefault="00D5136A" w:rsidP="00D5136A">
      <w:pPr>
        <w:pStyle w:val="CM16"/>
        <w:spacing w:line="520" w:lineRule="exact"/>
        <w:ind w:firstLineChars="200" w:firstLine="422"/>
        <w:jc w:val="both"/>
        <w:rPr>
          <w:rFonts w:ascii="仿宋" w:eastAsia="仿宋" w:hAnsi="仿宋"/>
          <w:color w:val="000000"/>
          <w:kern w:val="2"/>
          <w:sz w:val="21"/>
          <w:szCs w:val="21"/>
        </w:rPr>
      </w:pPr>
      <w:r w:rsidRPr="00AE48EC">
        <w:rPr>
          <w:rFonts w:ascii="仿宋" w:eastAsia="仿宋" w:hAnsi="仿宋" w:cs="仿宋_GB2312" w:hint="eastAsia"/>
          <w:b/>
          <w:color w:val="000000"/>
          <w:kern w:val="2"/>
          <w:sz w:val="21"/>
          <w:szCs w:val="21"/>
        </w:rPr>
        <w:t>第四条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 xml:space="preserve"> 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卖方责任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>：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卖方应当完成油品的报关、报港、报验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>；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将船舶动态（如船名、到港时间、抵达锚地、锚位等）通知买方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>；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向买方提供相关证明文件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>；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承担报关、报港、报验等所发生的费用。</w:t>
      </w:r>
    </w:p>
    <w:p w:rsidR="00D5136A" w:rsidRPr="00AE48EC" w:rsidRDefault="00D5136A" w:rsidP="00D5136A">
      <w:pPr>
        <w:pStyle w:val="CM16"/>
        <w:spacing w:line="520" w:lineRule="exact"/>
        <w:ind w:firstLineChars="200" w:firstLine="422"/>
        <w:jc w:val="both"/>
        <w:rPr>
          <w:rFonts w:ascii="仿宋" w:eastAsia="仿宋" w:hAnsi="仿宋"/>
          <w:color w:val="000000"/>
          <w:kern w:val="2"/>
          <w:sz w:val="21"/>
          <w:szCs w:val="21"/>
        </w:rPr>
      </w:pPr>
      <w:r w:rsidRPr="00AE48EC">
        <w:rPr>
          <w:rFonts w:ascii="仿宋" w:eastAsia="仿宋" w:hAnsi="仿宋" w:cs="仿宋_GB2312" w:hint="eastAsia"/>
          <w:b/>
          <w:color w:val="000000"/>
          <w:kern w:val="2"/>
          <w:sz w:val="21"/>
          <w:szCs w:val="21"/>
        </w:rPr>
        <w:t>第五条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 xml:space="preserve"> 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买方责任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>：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买方应当备齐所需驳船，将船名在过驳作业前书面通知卖方，并配合卖方尽快完成过驳交割作业。</w:t>
      </w:r>
    </w:p>
    <w:p w:rsidR="00D5136A" w:rsidRPr="00AE48EC" w:rsidRDefault="00D5136A" w:rsidP="00D5136A">
      <w:pPr>
        <w:pStyle w:val="CM8"/>
        <w:spacing w:line="520" w:lineRule="exact"/>
        <w:ind w:firstLineChars="200" w:firstLine="422"/>
        <w:jc w:val="both"/>
        <w:rPr>
          <w:rFonts w:ascii="仿宋" w:eastAsia="仿宋" w:hAnsi="仿宋"/>
          <w:color w:val="000000"/>
          <w:kern w:val="2"/>
          <w:sz w:val="21"/>
          <w:szCs w:val="21"/>
        </w:rPr>
      </w:pPr>
      <w:r w:rsidRPr="00AE48EC">
        <w:rPr>
          <w:rFonts w:ascii="仿宋" w:eastAsia="仿宋" w:hAnsi="仿宋" w:cs="仿宋_GB2312" w:hint="eastAsia"/>
          <w:b/>
          <w:color w:val="000000"/>
          <w:kern w:val="2"/>
          <w:sz w:val="21"/>
          <w:szCs w:val="21"/>
        </w:rPr>
        <w:t>第六条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 xml:space="preserve"> 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过驳交割的检验机构由卖方选定，检验费用由卖方承担。检验分为质量检验和数量检验两部分，过驳作业完成后，检验机构应当向卖方出具质检证书</w:t>
      </w:r>
      <w:proofErr w:type="gramStart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和量检证书</w:t>
      </w:r>
      <w:proofErr w:type="gramEnd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（驳船计量证书），买方持有上述证书的复印件。</w:t>
      </w:r>
    </w:p>
    <w:p w:rsidR="00D5136A" w:rsidRPr="00AE48EC" w:rsidRDefault="00D5136A" w:rsidP="00D5136A">
      <w:pPr>
        <w:pStyle w:val="CM16"/>
        <w:spacing w:line="520" w:lineRule="exact"/>
        <w:ind w:firstLineChars="200" w:firstLine="422"/>
        <w:jc w:val="both"/>
        <w:rPr>
          <w:rFonts w:ascii="仿宋" w:eastAsia="仿宋" w:hAnsi="仿宋"/>
          <w:color w:val="000000"/>
          <w:kern w:val="2"/>
          <w:sz w:val="21"/>
          <w:szCs w:val="21"/>
        </w:rPr>
      </w:pPr>
      <w:r w:rsidRPr="00AE48EC">
        <w:rPr>
          <w:rFonts w:ascii="仿宋" w:eastAsia="仿宋" w:hAnsi="仿宋" w:cs="仿宋_GB2312" w:hint="eastAsia"/>
          <w:b/>
          <w:color w:val="000000"/>
          <w:kern w:val="2"/>
          <w:sz w:val="21"/>
          <w:szCs w:val="21"/>
        </w:rPr>
        <w:t>第七条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 xml:space="preserve"> 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过驳交割的质量检验以大船取样检验为准，数量检验以驳船计量为准。</w:t>
      </w:r>
    </w:p>
    <w:p w:rsidR="00D5136A" w:rsidRPr="00AE48EC" w:rsidRDefault="00D5136A" w:rsidP="00D5136A">
      <w:pPr>
        <w:pStyle w:val="CM16"/>
        <w:spacing w:line="480" w:lineRule="exact"/>
        <w:ind w:firstLineChars="200" w:firstLine="422"/>
        <w:jc w:val="both"/>
        <w:rPr>
          <w:rFonts w:ascii="仿宋" w:eastAsia="仿宋" w:hAnsi="仿宋" w:cs="仿宋_GB2312"/>
          <w:color w:val="000000"/>
          <w:kern w:val="2"/>
          <w:sz w:val="21"/>
          <w:szCs w:val="21"/>
        </w:rPr>
      </w:pPr>
      <w:r w:rsidRPr="00AE48EC">
        <w:rPr>
          <w:rFonts w:ascii="仿宋" w:eastAsia="仿宋" w:hAnsi="仿宋" w:cs="仿宋_GB2312" w:hint="eastAsia"/>
          <w:b/>
          <w:color w:val="000000"/>
          <w:kern w:val="2"/>
          <w:sz w:val="21"/>
          <w:szCs w:val="21"/>
        </w:rPr>
        <w:t>第八条</w:t>
      </w:r>
      <w:r w:rsidRPr="00AE48EC">
        <w:rPr>
          <w:rFonts w:ascii="仿宋" w:eastAsia="仿宋" w:hAnsi="仿宋"/>
          <w:color w:val="000000"/>
          <w:kern w:val="2"/>
          <w:sz w:val="21"/>
          <w:szCs w:val="21"/>
        </w:rPr>
        <w:t xml:space="preserve"> </w:t>
      </w:r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过驳交割完成后驳船船长应当在接油签收单上签字，接油签收单上列明的实际过驳数量应当</w:t>
      </w:r>
      <w:proofErr w:type="gramStart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与量检证书</w:t>
      </w:r>
      <w:proofErr w:type="gramEnd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完全一致。买卖双方</w:t>
      </w:r>
      <w:proofErr w:type="gramStart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以量检证书</w:t>
      </w:r>
      <w:proofErr w:type="gramEnd"/>
      <w:r w:rsidRPr="00AE48EC">
        <w:rPr>
          <w:rFonts w:ascii="仿宋" w:eastAsia="仿宋" w:hAnsi="仿宋" w:cs="仿宋_GB2312" w:hint="eastAsia"/>
          <w:color w:val="000000"/>
          <w:kern w:val="2"/>
          <w:sz w:val="21"/>
          <w:szCs w:val="21"/>
        </w:rPr>
        <w:t>上记载的过驳数量作为结算货款的依据。</w:t>
      </w:r>
    </w:p>
    <w:p w:rsidR="00D5136A" w:rsidRPr="00AC5294" w:rsidRDefault="00D5136A" w:rsidP="00D5136A">
      <w:pPr>
        <w:pStyle w:val="CM16"/>
        <w:spacing w:line="480" w:lineRule="exact"/>
        <w:jc w:val="both"/>
      </w:pPr>
    </w:p>
    <w:p w:rsidR="00D5136A" w:rsidRPr="00AE48EC" w:rsidRDefault="00D5136A" w:rsidP="00D5136A"/>
    <w:p w:rsidR="00DD34D7" w:rsidRPr="00D5136A" w:rsidRDefault="00DD34D7"/>
    <w:sectPr w:rsidR="00DD34D7" w:rsidRPr="00D5136A" w:rsidSect="001712C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1433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E48EC" w:rsidRDefault="00D5136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48EC" w:rsidRDefault="00D5136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36A"/>
    <w:rsid w:val="00355624"/>
    <w:rsid w:val="008D7951"/>
    <w:rsid w:val="00D5136A"/>
    <w:rsid w:val="00D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6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D5136A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8">
    <w:name w:val="CM8"/>
    <w:basedOn w:val="a"/>
    <w:next w:val="a"/>
    <w:rsid w:val="00D5136A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11">
    <w:name w:val="CM11"/>
    <w:basedOn w:val="a"/>
    <w:next w:val="a"/>
    <w:rsid w:val="00D5136A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16">
    <w:name w:val="CM16"/>
    <w:basedOn w:val="a"/>
    <w:next w:val="a"/>
    <w:rsid w:val="00D5136A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D51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13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SHFE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孙易之</dc:creator>
  <cp:lastModifiedBy>孙易之</cp:lastModifiedBy>
  <cp:revision>1</cp:revision>
  <dcterms:created xsi:type="dcterms:W3CDTF">2017-04-10T00:49:00Z</dcterms:created>
  <dcterms:modified xsi:type="dcterms:W3CDTF">2017-04-10T00:49:00Z</dcterms:modified>
</cp:coreProperties>
</file>