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A4" w:rsidRPr="00407917" w:rsidRDefault="002F2697" w:rsidP="007F5166">
      <w:pPr>
        <w:widowControl/>
        <w:spacing w:line="360" w:lineRule="auto"/>
        <w:rPr>
          <w:rFonts w:ascii="Times New Roman" w:eastAsia="黑体" w:hAnsi="Times New Roman" w:cs="Times New Roman"/>
          <w:bCs/>
          <w:kern w:val="44"/>
          <w:sz w:val="28"/>
          <w:szCs w:val="28"/>
        </w:rPr>
      </w:pPr>
      <w:bookmarkStart w:id="0" w:name="_Toc381903401"/>
      <w:r w:rsidRPr="00407917">
        <w:rPr>
          <w:rFonts w:ascii="Times New Roman" w:eastAsia="黑体" w:hAnsi="Times New Roman" w:cs="Times New Roman"/>
          <w:bCs/>
          <w:kern w:val="44"/>
          <w:sz w:val="28"/>
          <w:szCs w:val="28"/>
        </w:rPr>
        <w:t>Appendix 9</w:t>
      </w:r>
    </w:p>
    <w:p w:rsidR="00245FA6" w:rsidRPr="00FA28F9" w:rsidRDefault="00245FA6" w:rsidP="007F5166">
      <w:pPr>
        <w:widowControl/>
        <w:spacing w:line="360" w:lineRule="auto"/>
        <w:rPr>
          <w:rFonts w:ascii="Times New Roman" w:eastAsia="黑体" w:hAnsi="Times New Roman" w:cs="Times New Roman"/>
          <w:b/>
          <w:bCs/>
          <w:kern w:val="44"/>
          <w:sz w:val="36"/>
          <w:szCs w:val="36"/>
        </w:rPr>
      </w:pPr>
    </w:p>
    <w:p w:rsidR="009F54A4" w:rsidRPr="00FA28F9" w:rsidRDefault="002F2697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bCs/>
          <w:kern w:val="44"/>
          <w:sz w:val="36"/>
          <w:szCs w:val="36"/>
        </w:rPr>
      </w:pPr>
      <w:r w:rsidRPr="00FA28F9">
        <w:rPr>
          <w:rFonts w:ascii="Times New Roman" w:eastAsia="黑体" w:hAnsi="Times New Roman" w:cs="Times New Roman"/>
          <w:b/>
          <w:bCs/>
          <w:kern w:val="44"/>
          <w:sz w:val="36"/>
          <w:szCs w:val="36"/>
        </w:rPr>
        <w:t>Futures Trading Participant Eligibility Management Rules of the Shanghai International Energy Exchange</w:t>
      </w:r>
      <w:bookmarkEnd w:id="0"/>
    </w:p>
    <w:p w:rsidR="009F54A4" w:rsidRPr="00470545" w:rsidRDefault="009F54A4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0000"/>
        </w:rPr>
      </w:pPr>
    </w:p>
    <w:p w:rsidR="009F54A4" w:rsidRPr="00470545" w:rsidRDefault="009F54A4">
      <w:pPr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0000"/>
        </w:rPr>
      </w:pPr>
    </w:p>
    <w:p w:rsidR="009F54A4" w:rsidRPr="00FA28F9" w:rsidRDefault="002F2697">
      <w:pPr>
        <w:pStyle w:val="TOC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A28F9">
        <w:rPr>
          <w:rFonts w:ascii="Times New Roman" w:hAnsi="Times New Roman" w:cs="Times New Roman"/>
          <w:color w:val="auto"/>
          <w:sz w:val="30"/>
          <w:szCs w:val="30"/>
        </w:rPr>
        <w:t>Table of Contents</w:t>
      </w:r>
    </w:p>
    <w:p w:rsidR="009F2A8B" w:rsidRPr="00FA28F9" w:rsidRDefault="009F2A8B" w:rsidP="001038C9">
      <w:pPr>
        <w:rPr>
          <w:rFonts w:ascii="Times New Roman" w:hAnsi="Times New Roman" w:cs="Times New Roman"/>
        </w:rPr>
      </w:pPr>
    </w:p>
    <w:p w:rsidR="009F54A4" w:rsidRPr="00FA28F9" w:rsidRDefault="002F776E" w:rsidP="00A44FD2">
      <w:pPr>
        <w:pStyle w:val="10"/>
        <w:tabs>
          <w:tab w:val="right" w:leader="dot" w:pos="8296"/>
        </w:tabs>
        <w:spacing w:line="560" w:lineRule="exact"/>
        <w:rPr>
          <w:rFonts w:ascii="Times New Roman" w:hAnsi="Times New Roman" w:cs="Times New Roman"/>
          <w:noProof/>
          <w:sz w:val="24"/>
          <w:szCs w:val="24"/>
        </w:rPr>
      </w:pPr>
      <w:r w:rsidRPr="00FA28F9">
        <w:rPr>
          <w:rFonts w:ascii="Times New Roman" w:hAnsi="Times New Roman" w:cs="Times New Roman"/>
          <w:b/>
          <w:bCs/>
          <w:sz w:val="22"/>
          <w:szCs w:val="22"/>
        </w:rPr>
        <w:fldChar w:fldCharType="begin"/>
      </w:r>
      <w:r w:rsidR="002F2697" w:rsidRPr="00FA28F9">
        <w:rPr>
          <w:rFonts w:ascii="Times New Roman" w:hAnsi="Times New Roman" w:cs="Times New Roman"/>
          <w:b/>
          <w:bCs/>
          <w:sz w:val="22"/>
          <w:szCs w:val="22"/>
        </w:rPr>
        <w:instrText xml:space="preserve"> TOC \o "1-3" \h \z \u </w:instrText>
      </w:r>
      <w:r w:rsidRPr="00FA28F9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hyperlink w:anchor="_Toc422836531" w:history="1">
        <w:r w:rsidR="002F2697" w:rsidRPr="00FA28F9">
          <w:rPr>
            <w:rStyle w:val="a8"/>
            <w:rFonts w:ascii="Times New Roman" w:hAnsi="Times New Roman" w:cs="Times New Roman"/>
            <w:noProof/>
            <w:sz w:val="24"/>
            <w:szCs w:val="24"/>
          </w:rPr>
          <w:t>Chapter 1 General Provisions</w:t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_Toc422836531 \h </w:instrTex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7392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529D" w:rsidRDefault="002F776E">
      <w:pPr>
        <w:pStyle w:val="10"/>
        <w:tabs>
          <w:tab w:val="right" w:leader="dot" w:pos="8296"/>
        </w:tabs>
        <w:spacing w:line="560" w:lineRule="exact"/>
        <w:rPr>
          <w:rFonts w:ascii="Times New Roman" w:hAnsi="Times New Roman" w:cs="Times New Roman"/>
          <w:noProof/>
          <w:sz w:val="24"/>
          <w:szCs w:val="24"/>
        </w:rPr>
      </w:pPr>
      <w:hyperlink w:anchor="_Toc422836532" w:history="1">
        <w:r w:rsidR="002F2697" w:rsidRPr="00FA28F9">
          <w:rPr>
            <w:rStyle w:val="a8"/>
            <w:rFonts w:ascii="Times New Roman" w:hAnsi="Times New Roman" w:cs="Times New Roman"/>
            <w:noProof/>
            <w:sz w:val="24"/>
            <w:szCs w:val="24"/>
          </w:rPr>
          <w:t>Chapter 2 Trader’s Eligibility Management Standard</w:t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_Toc422836532 \h </w:instrTex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739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529D" w:rsidRDefault="002F776E">
      <w:pPr>
        <w:pStyle w:val="10"/>
        <w:tabs>
          <w:tab w:val="right" w:leader="dot" w:pos="8296"/>
        </w:tabs>
        <w:spacing w:line="560" w:lineRule="exact"/>
        <w:rPr>
          <w:rFonts w:ascii="Times New Roman" w:hAnsi="Times New Roman" w:cs="Times New Roman"/>
          <w:noProof/>
          <w:sz w:val="24"/>
          <w:szCs w:val="24"/>
        </w:rPr>
      </w:pPr>
      <w:hyperlink w:anchor="_Toc422836533" w:history="1">
        <w:r w:rsidR="002F2697" w:rsidRPr="00FA28F9">
          <w:rPr>
            <w:rStyle w:val="a8"/>
            <w:rFonts w:ascii="Times New Roman" w:hAnsi="Times New Roman" w:cs="Times New Roman"/>
            <w:noProof/>
            <w:sz w:val="24"/>
            <w:szCs w:val="24"/>
          </w:rPr>
          <w:t>Chapter 3 Implementation of the Trader’s Eligibility Management</w:t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_Toc422836533 \h </w:instrTex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739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529D" w:rsidRDefault="002F776E">
      <w:pPr>
        <w:pStyle w:val="10"/>
        <w:tabs>
          <w:tab w:val="right" w:leader="dot" w:pos="8296"/>
        </w:tabs>
        <w:spacing w:line="560" w:lineRule="exact"/>
        <w:rPr>
          <w:rFonts w:ascii="Times New Roman" w:hAnsi="Times New Roman" w:cs="Times New Roman"/>
          <w:noProof/>
          <w:sz w:val="24"/>
          <w:szCs w:val="24"/>
        </w:rPr>
      </w:pPr>
      <w:hyperlink w:anchor="_Toc422836534" w:history="1">
        <w:r w:rsidR="002F2697" w:rsidRPr="00FA28F9">
          <w:rPr>
            <w:rStyle w:val="a8"/>
            <w:rFonts w:ascii="Times New Roman" w:hAnsi="Times New Roman" w:cs="Times New Roman"/>
            <w:noProof/>
            <w:sz w:val="24"/>
            <w:szCs w:val="24"/>
          </w:rPr>
          <w:t>Chapter 4 Supervision on Trader’s Eligibility Management</w:t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_Toc422836534 \h </w:instrTex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7392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529D" w:rsidRDefault="002F776E">
      <w:pPr>
        <w:pStyle w:val="10"/>
        <w:tabs>
          <w:tab w:val="right" w:leader="dot" w:pos="8296"/>
        </w:tabs>
        <w:spacing w:line="560" w:lineRule="exact"/>
        <w:rPr>
          <w:rFonts w:ascii="Times New Roman" w:hAnsi="Times New Roman" w:cs="Times New Roman"/>
          <w:noProof/>
        </w:rPr>
      </w:pPr>
      <w:hyperlink w:anchor="_Toc422836535" w:history="1">
        <w:r w:rsidR="002F2697" w:rsidRPr="00FA28F9">
          <w:rPr>
            <w:rStyle w:val="a8"/>
            <w:rFonts w:ascii="Times New Roman" w:hAnsi="Times New Roman" w:cs="Times New Roman"/>
            <w:noProof/>
            <w:sz w:val="24"/>
            <w:szCs w:val="24"/>
          </w:rPr>
          <w:t>Chapter 5 Miscellaneous</w:t>
        </w:r>
        <w:r w:rsidR="002F2697" w:rsidRPr="00FA28F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10</w:t>
        </w:r>
      </w:hyperlink>
    </w:p>
    <w:p w:rsidR="0055529D" w:rsidRDefault="002F776E">
      <w:pPr>
        <w:spacing w:line="5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FA28F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</w:p>
    <w:p w:rsidR="009F54A4" w:rsidRPr="00FA28F9" w:rsidRDefault="002F2697">
      <w:pPr>
        <w:widowControl/>
        <w:jc w:val="left"/>
        <w:rPr>
          <w:rFonts w:ascii="Times New Roman" w:hAnsi="Times New Roman" w:cs="Times New Roman"/>
          <w:b/>
          <w:bCs/>
          <w:kern w:val="44"/>
          <w:sz w:val="32"/>
          <w:szCs w:val="32"/>
        </w:rPr>
      </w:pPr>
      <w:r w:rsidRPr="00FA28F9">
        <w:rPr>
          <w:rFonts w:ascii="Times New Roman" w:hAnsi="Times New Roman" w:cs="Times New Roman"/>
          <w:sz w:val="32"/>
          <w:szCs w:val="32"/>
        </w:rPr>
        <w:br w:type="page"/>
      </w:r>
    </w:p>
    <w:p w:rsidR="00BB3982" w:rsidRPr="00FA28F9" w:rsidRDefault="00BB3982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Toc422836531"/>
    </w:p>
    <w:p w:rsidR="009F54A4" w:rsidRPr="00470545" w:rsidRDefault="002F2697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70545">
        <w:rPr>
          <w:rFonts w:ascii="Times New Roman" w:hAnsi="Times New Roman" w:cs="Times New Roman"/>
          <w:sz w:val="30"/>
          <w:szCs w:val="30"/>
        </w:rPr>
        <w:t xml:space="preserve">Chapter 1 </w:t>
      </w:r>
      <w:r w:rsidR="00470545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470545">
        <w:rPr>
          <w:rFonts w:ascii="Times New Roman" w:hAnsi="Times New Roman" w:cs="Times New Roman"/>
          <w:sz w:val="30"/>
          <w:szCs w:val="30"/>
        </w:rPr>
        <w:t>General Provisions</w:t>
      </w:r>
      <w:bookmarkEnd w:id="1"/>
    </w:p>
    <w:p w:rsidR="00BB3982" w:rsidRPr="00FA28F9" w:rsidRDefault="00BB3982" w:rsidP="001038C9">
      <w:pPr>
        <w:rPr>
          <w:rFonts w:ascii="Times New Roman" w:hAnsi="Times New Roman" w:cs="Times New Roman"/>
        </w:rPr>
      </w:pP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1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The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se Eligibility R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ules are formulated, pursuant to the </w:t>
      </w:r>
      <w:r w:rsidRPr="00FA28F9">
        <w:rPr>
          <w:rFonts w:ascii="Times New Roman" w:eastAsia="Times New Roman" w:hAnsi="Times New Roman" w:cs="Times New Roman"/>
          <w:i/>
          <w:iCs/>
          <w:kern w:val="0"/>
          <w:sz w:val="30"/>
          <w:szCs w:val="30"/>
        </w:rPr>
        <w:t>Regulations on the Administration of Futures Trading,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rel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evant</w:t>
      </w:r>
      <w:r w:rsidR="00FA28F9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laws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and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regulations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 the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business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rules of the Shanghai International Energy Exchange (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“the Exchange”),</w:t>
      </w:r>
      <w:r w:rsidRPr="00FA28F9">
        <w:rPr>
          <w:rFonts w:ascii="Times New Roman" w:hAnsi="Times New Roman" w:cs="Times New Roman"/>
          <w:kern w:val="0"/>
          <w:sz w:val="30"/>
          <w:szCs w:val="30"/>
        </w:rPr>
        <w:t xml:space="preserve"> to promote rational participation by futures trading participants (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FA28F9">
        <w:rPr>
          <w:rFonts w:ascii="Times New Roman" w:hAnsi="Times New Roman" w:cs="Times New Roman"/>
          <w:kern w:val="0"/>
          <w:sz w:val="30"/>
          <w:szCs w:val="30"/>
        </w:rPr>
        <w:t>the “trader”) in the futures market, protect all traders’ legitimate rights and interests, and ensure stable, legalized and healthy development of the futures market.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1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 trader refers to a natural person, a legal person or any other organization that engages in futures trading and assumes the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trading results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.</w:t>
      </w:r>
      <w:bookmarkStart w:id="2" w:name="_GoBack"/>
      <w:bookmarkEnd w:id="2"/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1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 Trader shall perform comprehensive self-assessment of its knowledge of the market and products, risk control and tolerance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 its financial capabilities in accordance with the requirements of these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Eligibility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Rules, and prudently decide whether to engage in the futures trading.</w:t>
      </w:r>
    </w:p>
    <w:p w:rsidR="00227F26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1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Futures Firm Member (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the “FF Member”)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, an Overseas Special Brokerage Participant (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the “OSBP”), an Overseas Intermediary, or any other institution (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hereinafter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collectively 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referred to as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the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lastRenderedPageBreak/>
        <w:t>“Account Opening Institution”) that engages in futures trading on or through the Exchange shall assess traders’ futures literacy and risk tolerance in conformity with the requirements of these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Eligibility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Rules, and only accept those eligible traders to prudently engage in futures trading.</w:t>
      </w:r>
    </w:p>
    <w:p w:rsidR="00EB5B16" w:rsidRPr="00FA28F9" w:rsidRDefault="00EB5B16" w:rsidP="001038C9">
      <w:pPr>
        <w:widowControl/>
        <w:tabs>
          <w:tab w:val="left" w:pos="0"/>
          <w:tab w:val="left" w:pos="709"/>
        </w:tabs>
        <w:ind w:left="600"/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p w:rsidR="009F54A4" w:rsidRPr="00470545" w:rsidRDefault="002F2697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_Toc422836532"/>
      <w:r w:rsidRPr="00470545">
        <w:rPr>
          <w:rFonts w:ascii="Times New Roman" w:hAnsi="Times New Roman" w:cs="Times New Roman"/>
          <w:sz w:val="30"/>
          <w:szCs w:val="30"/>
        </w:rPr>
        <w:t>Chapter 2</w:t>
      </w:r>
      <w:r w:rsidR="00470545" w:rsidRPr="00470545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470545">
        <w:rPr>
          <w:rFonts w:ascii="Times New Roman" w:hAnsi="Times New Roman" w:cs="Times New Roman"/>
          <w:sz w:val="30"/>
          <w:szCs w:val="30"/>
        </w:rPr>
        <w:t xml:space="preserve"> Trader’s Eligibility Management Standard</w:t>
      </w:r>
      <w:bookmarkEnd w:id="3"/>
    </w:p>
    <w:p w:rsidR="00BB3982" w:rsidRPr="00FA28F9" w:rsidRDefault="00BB3982" w:rsidP="001038C9">
      <w:pPr>
        <w:rPr>
          <w:rFonts w:ascii="Times New Roman" w:hAnsi="Times New Roman" w:cs="Times New Roman"/>
        </w:rPr>
      </w:pP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1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When an Account Opening Institution applies to the Exchange for a trading code on behalf of an institutional Client, such institutional Client shall meet the following criteria: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hav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ing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related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personnel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with basic knowledge of futures trading and understanding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 of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the relevant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business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rules of the Exchange, and having passed relevant tests; 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ing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records of no less than ten (10)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executed</w:t>
      </w:r>
      <w:r w:rsidR="00B154DD" w:rsidRPr="0013268B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orders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and of </w:t>
      </w:r>
      <w:r w:rsidR="0052173A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more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than ten (10) days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of simulated futures trading in domestic market, or records of </w:t>
      </w:r>
      <w:r w:rsidR="00227B59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more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than ten (10)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execut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ed orders within the past three (3) years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on any of the domestic futures exchanges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or records of </w:t>
      </w:r>
      <w:r w:rsidR="00D54F21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more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than ten (10)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execut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ed orders within the past three (3) years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on any of those overseas futures exchanges regulated by its competent f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utures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regulatory authority that has a memorandum of understanding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on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regulatory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cooperation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with the China Securities Regulatory Commission (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the “CSRC”);</w:t>
      </w:r>
    </w:p>
    <w:p w:rsidR="00DE1C78" w:rsidRPr="00FA28F9" w:rsidRDefault="002F2697" w:rsidP="004E3366">
      <w:pPr>
        <w:spacing w:line="360" w:lineRule="auto"/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3.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having a balance of no less than RMB one million (</w:t>
      </w:r>
      <w:r w:rsidRPr="00FA28F9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￥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1,000,000.00) </w:t>
      </w:r>
      <w:r w:rsidR="00F662BC" w:rsidRPr="0013268B">
        <w:rPr>
          <w:rFonts w:ascii="Times New Roman" w:eastAsia="仿宋" w:hAnsi="Times New Roman" w:cs="Times New Roman"/>
          <w:kern w:val="0"/>
          <w:sz w:val="30"/>
          <w:szCs w:val="30"/>
        </w:rPr>
        <w:t xml:space="preserve">or </w:t>
      </w:r>
      <w:r w:rsidRPr="00FA28F9">
        <w:rPr>
          <w:rFonts w:ascii="Times New Roman" w:eastAsia="仿宋" w:hAnsi="Times New Roman" w:cs="Times New Roman"/>
          <w:kern w:val="0"/>
          <w:sz w:val="30"/>
          <w:szCs w:val="30"/>
        </w:rPr>
        <w:t xml:space="preserve">its </w:t>
      </w:r>
      <w:r w:rsidR="00F662BC" w:rsidRPr="0013268B">
        <w:rPr>
          <w:rFonts w:ascii="Times New Roman" w:eastAsia="仿宋" w:hAnsi="Times New Roman" w:cs="Times New Roman"/>
          <w:kern w:val="0"/>
          <w:sz w:val="30"/>
          <w:szCs w:val="30"/>
        </w:rPr>
        <w:t>equivalent in foreign currency</w:t>
      </w:r>
      <w:r w:rsidRPr="00FA28F9">
        <w:rPr>
          <w:rFonts w:ascii="Times New Roman" w:eastAsia="仿宋" w:hAnsi="Times New Roman" w:cs="Times New Roman"/>
          <w:kern w:val="0"/>
          <w:sz w:val="30"/>
          <w:szCs w:val="30"/>
        </w:rPr>
        <w:t xml:space="preserve"> in each of its margin accounts five (5) business days before applying for the trading code;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sz w:val="30"/>
          <w:szCs w:val="30"/>
        </w:rPr>
      </w:pP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4.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hav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ing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sound futures trading management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rules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including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futures trading decision-making, order placement, funds transfer, physical delivery and other business management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rule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s, as well as appropriate risk control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rules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for futures trading;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sz w:val="30"/>
          <w:szCs w:val="30"/>
        </w:rPr>
      </w:pPr>
      <w:r w:rsidRPr="00FA28F9">
        <w:rPr>
          <w:rFonts w:ascii="Times New Roman" w:eastAsiaTheme="minorEastAsia" w:hAnsi="Times New Roman" w:cs="Times New Roman"/>
          <w:sz w:val="30"/>
          <w:szCs w:val="30"/>
        </w:rPr>
        <w:t>5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. hav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ing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a sound information communication mechanism, including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 xml:space="preserve">providing and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timely updat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ing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its head of futures trading and related business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personnel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to 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the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Account Opening Institutions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sz w:val="30"/>
          <w:szCs w:val="30"/>
        </w:rPr>
      </w:pPr>
      <w:r w:rsidRPr="00FA28F9">
        <w:rPr>
          <w:rFonts w:ascii="Times New Roman" w:eastAsiaTheme="minorEastAsia" w:hAnsi="Times New Roman" w:cs="Times New Roman"/>
          <w:sz w:val="30"/>
          <w:szCs w:val="30"/>
        </w:rPr>
        <w:t>6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. hav</w:t>
      </w:r>
      <w:r w:rsidRPr="00FA28F9">
        <w:rPr>
          <w:rFonts w:ascii="Times New Roman" w:eastAsiaTheme="minorEastAsia" w:hAnsi="Times New Roman" w:cs="Times New Roman"/>
          <w:sz w:val="30"/>
          <w:szCs w:val="30"/>
        </w:rPr>
        <w:t>ing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 no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material adverse credit record or have never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been subjected to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 ban from the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futures market by any competent regulatory authority; 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>and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Theme="minorEastAsia" w:hAnsi="Times New Roman" w:cs="Times New Roman"/>
          <w:sz w:val="30"/>
          <w:szCs w:val="30"/>
        </w:rPr>
        <w:t>7</w:t>
      </w:r>
      <w:r w:rsidRPr="00FA28F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ing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never been prohibited or banned from engaging in futures trading pursuant to any laws,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rules and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regulations,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or the business rules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of the Exchange.</w:t>
      </w:r>
    </w:p>
    <w:p w:rsidR="00B22087" w:rsidRPr="00FA28F9" w:rsidRDefault="002F2697" w:rsidP="004E3366">
      <w:pPr>
        <w:spacing w:line="360" w:lineRule="auto"/>
        <w:ind w:firstLineChars="200" w:firstLine="600"/>
        <w:rPr>
          <w:rFonts w:ascii="Times New Roman" w:eastAsiaTheme="minorEastAsia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Unless otherwise prescribed by the PRC laws, </w:t>
      </w:r>
      <w:r w:rsidR="004F0886" w:rsidRPr="006723D6">
        <w:rPr>
          <w:rFonts w:ascii="Times New Roman" w:eastAsia="仿宋" w:hAnsi="Times New Roman"/>
          <w:sz w:val="30"/>
          <w:szCs w:val="30"/>
        </w:rPr>
        <w:t xml:space="preserve">administrative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regulations</w:t>
      </w:r>
      <w:r w:rsidR="004F0886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rules and </w:t>
      </w:r>
      <w:r w:rsidR="004F0886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 xml:space="preserve">provisions </w:t>
      </w:r>
      <w:r w:rsidR="009D49DD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of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the CSRC, the first three items of this Article may not apply to the Account Opening Institution that applies for a trading code on behalf of a special institutional Client. 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1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lastRenderedPageBreak/>
        <w:t>When an Account Opening Institution applies to the Exchange for a trading code on behalf of an individual</w:t>
      </w:r>
      <w:r w:rsidR="009F54A4" w:rsidRPr="004F0886">
        <w:rPr>
          <w:rFonts w:asciiTheme="minorHAnsi" w:eastAsia="Times New Roman" w:hAnsiTheme="minorHAnsi" w:cstheme="minorHAnsi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Client, such individual Client shall meet the following criteria: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1. </w:t>
      </w:r>
      <w:bookmarkStart w:id="4" w:name="OLE_LINK2"/>
      <w:bookmarkStart w:id="5" w:name="OLE_LINK3"/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ing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full capacity</w:t>
      </w:r>
      <w:bookmarkEnd w:id="4"/>
      <w:bookmarkEnd w:id="5"/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for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civil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conduct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;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2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.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ing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basic knowledge of futures trading and understanding of the relevant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business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rules of the Exchange, and having passed relevant tests;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Theme="minorEastAsia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3. 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ing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records of </w:t>
      </w:r>
      <w:r w:rsidR="008A5902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more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than ten (10) execut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ed orders of simulated futures trading in China’s domestic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futures exchanges in no less than </w:t>
      </w:r>
      <w:r w:rsidR="00C179CE" w:rsidRPr="0013268B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ten (10)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trading </w:t>
      </w:r>
      <w:r w:rsidR="00C179CE" w:rsidRPr="0013268B">
        <w:rPr>
          <w:rFonts w:ascii="Times New Roman" w:eastAsia="Times New Roman" w:hAnsi="Times New Roman" w:cs="Times New Roman"/>
          <w:kern w:val="0"/>
          <w:sz w:val="30"/>
          <w:szCs w:val="30"/>
        </w:rPr>
        <w:t>days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; or 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ing accounts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on any Chin</w:t>
      </w:r>
      <w:r w:rsidR="004F0886" w:rsidRPr="00FA28F9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a</w:t>
      </w:r>
      <w:r w:rsidR="00C662BD"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’</w:t>
      </w:r>
      <w:r w:rsidR="00C662BD" w:rsidRPr="00FA28F9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s</w:t>
      </w:r>
      <w:r w:rsidR="004F0886" w:rsidRPr="00FA28F9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domestic futures exchanges or any overseas futures exchange regulated by its f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utures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regulatory authority that has a memorandum of understanding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on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regulatory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cooperation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with the CSRC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with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records of </w:t>
      </w:r>
      <w:r w:rsidR="00877346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more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than ten (10)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executed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futures trading orders within the past three (3) years; </w:t>
      </w:r>
    </w:p>
    <w:p w:rsidR="00657EA5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4.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having a balance of no less than RMB one million (</w:t>
      </w:r>
      <w:r w:rsidRPr="00FA28F9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￥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1,000,000.00) </w:t>
      </w:r>
      <w:r w:rsidR="00513057" w:rsidRPr="0013268B">
        <w:rPr>
          <w:rFonts w:ascii="Times New Roman" w:eastAsia="仿宋" w:hAnsi="Times New Roman" w:cs="Times New Roman"/>
          <w:kern w:val="0"/>
          <w:sz w:val="30"/>
          <w:szCs w:val="30"/>
        </w:rPr>
        <w:t xml:space="preserve">or </w:t>
      </w:r>
      <w:r w:rsidRPr="00FA28F9">
        <w:rPr>
          <w:rFonts w:ascii="Times New Roman" w:eastAsia="仿宋" w:hAnsi="Times New Roman" w:cs="Times New Roman"/>
          <w:kern w:val="0"/>
          <w:sz w:val="30"/>
          <w:szCs w:val="30"/>
        </w:rPr>
        <w:t xml:space="preserve">its </w:t>
      </w:r>
      <w:r w:rsidR="00513057" w:rsidRPr="0013268B">
        <w:rPr>
          <w:rFonts w:ascii="Times New Roman" w:eastAsia="仿宋" w:hAnsi="Times New Roman" w:cs="Times New Roman"/>
          <w:kern w:val="0"/>
          <w:sz w:val="30"/>
          <w:szCs w:val="30"/>
        </w:rPr>
        <w:t>equivalent in foreign currency</w:t>
      </w:r>
      <w:r w:rsidRPr="00FA28F9">
        <w:rPr>
          <w:rFonts w:ascii="Times New Roman" w:eastAsia="仿宋" w:hAnsi="Times New Roman" w:cs="Times New Roman"/>
          <w:kern w:val="0"/>
          <w:sz w:val="30"/>
          <w:szCs w:val="30"/>
        </w:rPr>
        <w:t xml:space="preserve"> in </w:t>
      </w:r>
      <w:r w:rsidR="004F0886">
        <w:rPr>
          <w:rFonts w:ascii="Times New Roman" w:eastAsia="仿宋" w:hAnsi="Times New Roman" w:cs="Times New Roman" w:hint="eastAsia"/>
          <w:kern w:val="0"/>
          <w:sz w:val="30"/>
          <w:szCs w:val="30"/>
        </w:rPr>
        <w:t xml:space="preserve">each of </w:t>
      </w:r>
      <w:r w:rsidRPr="00FA28F9">
        <w:rPr>
          <w:rFonts w:ascii="Times New Roman" w:eastAsia="仿宋" w:hAnsi="Times New Roman" w:cs="Times New Roman"/>
          <w:kern w:val="0"/>
          <w:sz w:val="30"/>
          <w:szCs w:val="30"/>
        </w:rPr>
        <w:t>its margin account five (5) business days before applying for the trading code;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5. 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ing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no material adverse credit record or 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ing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never been subject to a ban from the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futures market by any competent regulatory authority; and</w:t>
      </w:r>
    </w:p>
    <w:p w:rsidR="009F54A4" w:rsidRPr="00FA28F9" w:rsidDel="006609D7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lastRenderedPageBreak/>
        <w:t>6. hav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ing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never been prohibited or banned from engaging in futures trading, pursuant to any laws,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rules and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regulations,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or the business rules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of the Exchange.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1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The Exchange may adjust the criteria of trader’s eligibility in accordance with market conditions.</w:t>
      </w:r>
    </w:p>
    <w:p w:rsidR="009F54A4" w:rsidRPr="00FA28F9" w:rsidRDefault="009F54A4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sz w:val="30"/>
          <w:szCs w:val="30"/>
        </w:rPr>
      </w:pPr>
    </w:p>
    <w:p w:rsidR="00EB5B16" w:rsidRPr="00470545" w:rsidRDefault="002F2697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_Toc422836533"/>
      <w:r w:rsidRPr="00470545">
        <w:rPr>
          <w:rFonts w:ascii="Times New Roman" w:hAnsi="Times New Roman" w:cs="Times New Roman"/>
          <w:sz w:val="30"/>
          <w:szCs w:val="30"/>
        </w:rPr>
        <w:t xml:space="preserve">Chapter 3 </w:t>
      </w:r>
    </w:p>
    <w:p w:rsidR="009F54A4" w:rsidRPr="00470545" w:rsidRDefault="002F2697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70545">
        <w:rPr>
          <w:rFonts w:ascii="Times New Roman" w:hAnsi="Times New Roman" w:cs="Times New Roman"/>
          <w:sz w:val="30"/>
          <w:szCs w:val="30"/>
        </w:rPr>
        <w:t>Implementation of the Trader’s Eligibility Management</w:t>
      </w:r>
      <w:bookmarkEnd w:id="6"/>
    </w:p>
    <w:p w:rsidR="00BB3982" w:rsidRPr="00FA28F9" w:rsidRDefault="00BB3982" w:rsidP="001038C9">
      <w:pPr>
        <w:rPr>
          <w:rFonts w:ascii="Times New Roman" w:hAnsi="Times New Roman" w:cs="Times New Roman"/>
        </w:rPr>
      </w:pP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An Account Opening Institution shall establish sound business rules and implement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ation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plan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for managing Client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s’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eligibility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 specify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its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internal division of responsibilities and business procedures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to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comprehensive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ly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assess the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Client’s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background, related investment experience, financial capabilities and credit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in accordance with</w:t>
      </w:r>
      <w:r w:rsidR="00FF7AB4" w:rsidRPr="0013268B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the guidance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formulated by the Exchange on traders</w:t>
      </w:r>
      <w:r w:rsidR="006E4166" w:rsidRPr="0013268B">
        <w:rPr>
          <w:rFonts w:ascii="Times New Roman" w:eastAsiaTheme="minorEastAsia" w:hAnsi="Times New Roman" w:cs="Times New Roman"/>
          <w:kern w:val="0"/>
          <w:sz w:val="30"/>
          <w:szCs w:val="30"/>
        </w:rPr>
        <w:t>’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eligibility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An Account Opening Institution shall establish and effectively implement an accountability mechanism for Client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development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in which the responsibilities of senior manage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rs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, head of business operations, head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of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business branches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, appraisal reviewer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, account opening operator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 Client development personnel shall be specified.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lastRenderedPageBreak/>
        <w:t xml:space="preserve">An Account Opening Institution shall fully disclose the futures trading risks, </w:t>
      </w:r>
      <w:r w:rsidR="00D80E65">
        <w:rPr>
          <w:rFonts w:ascii="Times New Roman" w:eastAsiaTheme="minorEastAsia" w:hAnsi="Times New Roman" w:cs="Times New Roman"/>
          <w:kern w:val="0"/>
          <w:sz w:val="30"/>
          <w:szCs w:val="30"/>
        </w:rPr>
        <w:t>objectively</w:t>
      </w:r>
      <w:r w:rsidR="00D80E65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 xml:space="preserve">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describe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the applicable futures laws, regulations,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and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relevant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business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rules, provisions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and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decisions of the Exchange to each Client, strictly verify each trader’s funds and experience in real and simulated futures trading, prudently assess each Client’s credit and risk tolerance, and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carefully review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each Client’s application materials for trading codes.</w:t>
      </w:r>
    </w:p>
    <w:p w:rsidR="00FE2F8B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The test on a Client’s knowledge about futures trading shall meet the following requirements:</w:t>
      </w:r>
    </w:p>
    <w:p w:rsidR="00C367A1" w:rsidRPr="00FA28F9" w:rsidRDefault="00D80E65" w:rsidP="004E3366">
      <w:pPr>
        <w:widowControl/>
        <w:tabs>
          <w:tab w:val="left" w:pos="0"/>
          <w:tab w:val="left" w:pos="709"/>
        </w:tabs>
        <w:spacing w:line="360" w:lineRule="auto"/>
        <w:rPr>
          <w:rFonts w:ascii="Times New Roman" w:eastAsia="Times New Roman" w:hAnsi="Times New Roman" w:cs="Times New Roman"/>
          <w:kern w:val="0"/>
          <w:sz w:val="30"/>
          <w:szCs w:val="30"/>
        </w:rPr>
      </w:pPr>
      <w:r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ab/>
      </w:r>
      <w:r w:rsidR="002F2697"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1. The Client shall participate in a knowledge test recognized by the Exchange, with a test score no lower than the standard released by the Exchange; </w:t>
      </w:r>
    </w:p>
    <w:p w:rsidR="00C367A1" w:rsidRPr="00FA28F9" w:rsidRDefault="002F2697" w:rsidP="004E3366">
      <w:pPr>
        <w:widowControl/>
        <w:tabs>
          <w:tab w:val="left" w:pos="0"/>
          <w:tab w:val="left" w:pos="709"/>
        </w:tabs>
        <w:spacing w:line="360" w:lineRule="auto"/>
        <w:ind w:firstLine="52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2. The individual Client and the </w:t>
      </w:r>
      <w:r w:rsidR="00D80E65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 xml:space="preserve">authorized trader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of an institutional Client shall attend the test in person rather than </w:t>
      </w:r>
      <w:r w:rsidR="0013268B"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hav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ing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ot</w:t>
      </w:r>
      <w:r w:rsidR="0013268B" w:rsidRPr="00832D62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he</w:t>
      </w:r>
      <w:r w:rsidR="0013268B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rs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to attend the test; </w:t>
      </w:r>
    </w:p>
    <w:p w:rsidR="00C367A1" w:rsidRPr="00FA28F9" w:rsidRDefault="002F2697" w:rsidP="004E3366">
      <w:pPr>
        <w:widowControl/>
        <w:tabs>
          <w:tab w:val="left" w:pos="0"/>
          <w:tab w:val="left" w:pos="709"/>
        </w:tabs>
        <w:spacing w:line="360" w:lineRule="auto"/>
        <w:ind w:firstLine="52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3. The Client developer of an Account Opening Institution shall not concurrently act as a supervisor of a knowledge test. </w:t>
      </w:r>
    </w:p>
    <w:p w:rsidR="00C367A1" w:rsidRPr="00FA28F9" w:rsidRDefault="002F2697" w:rsidP="004E3366">
      <w:pPr>
        <w:widowControl/>
        <w:tabs>
          <w:tab w:val="left" w:pos="0"/>
          <w:tab w:val="left" w:pos="709"/>
        </w:tabs>
        <w:spacing w:line="360" w:lineRule="auto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   An Account Opening Institution shall provide guidance to Clients, urge them to comply with the relevant laws, regulations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and rules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applicable to futures trading,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and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the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business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rules, relevant provisions and decisions of the Exchange, conduct ongoing education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lastRenderedPageBreak/>
        <w:t xml:space="preserve">on risk management, and strengthen compliance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of laws and regulations by Clients in their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trading activities.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An Account Opening Institution shall establish a profile archive for each</w:t>
      </w:r>
      <w:r w:rsidR="009F54A4" w:rsidRPr="0013268B">
        <w:rPr>
          <w:rFonts w:asciiTheme="minorHAnsi" w:eastAsia="Times New Roman" w:hAnsiTheme="minorHAnsi" w:cstheme="minorHAnsi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Client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 keep Clients’ information in strict confiden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tiality in accordance with relevant laws, regulations and rules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An Account Opening Institution shall provide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Clients with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reasonable channels, methods and procedures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to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fil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complaints, properly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resolve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disputes, and urge Clients to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lawfully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protect their rights and interests.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 Trader shall truthfully submit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relevant </w:t>
      </w:r>
      <w:r w:rsidR="0013268B" w:rsidRPr="00624F9F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application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materials for the trading code, and shall not evade the requirements prescribed in these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Eligibility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Rules by submitting fraudulent materials or information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 etc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 Trader shall adhere to the principle that </w:t>
      </w:r>
      <w:bookmarkStart w:id="7" w:name="OLE_LINK1"/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buyers and sellers are responsible for their own futures trades</w:t>
      </w:r>
      <w:bookmarkEnd w:id="7"/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, undertake the obligations thereof, and shall not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refuse to assume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such obligations on account of not meeting the trader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’s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eligibility criteria.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All traders shall abide by the following: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1. trading code rules, under which trading with aggregated or netted multi-Clients’ positions are prohibited; </w:t>
      </w:r>
    </w:p>
    <w:p w:rsidR="009F54A4" w:rsidRPr="00FA28F9" w:rsidRDefault="002F2697" w:rsidP="004E3366">
      <w:pPr>
        <w:spacing w:line="360" w:lineRule="auto"/>
        <w:ind w:firstLineChars="20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2. proactive declaration of accounts with affiliat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ed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relationships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lastRenderedPageBreak/>
        <w:t xml:space="preserve">in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accord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ance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with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the relevant provisions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of the Exchange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, and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being subject to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the corresponding supervision.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 Trader shall,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in accordance with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relevant laws and regulations, protect their legitimate rights and interests with appropriate means, and shall not harm the legitimate rights or interests of the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tate, the society, the community or any others, or disrupt public order or work order of the Exchange and relevant institutions.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If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 FF Member or an OSBP has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an authorized clearing agreement or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 carrying-brokerage agreement with an Overseas Intermediary, such FF member or OSBP shall establish on-boarding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rules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 implement relevant requirements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prescribed in these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Eligibility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Rules. Such FF Member or OSBP shall review the relevant business of the Overseas Intermediary.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Prior to accepting an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introducing broker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to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assist the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Client in applying for a trading code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, an FF Member shall establish on-boarding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practices for such business,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implement relevant requirements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prescribed in these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Eligibility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Rules, and shall review the relevant business of such company.</w:t>
      </w:r>
    </w:p>
    <w:p w:rsidR="004F0D3D" w:rsidRPr="00FA28F9" w:rsidRDefault="004F0D3D" w:rsidP="001038C9">
      <w:pPr>
        <w:widowControl/>
        <w:tabs>
          <w:tab w:val="left" w:pos="0"/>
          <w:tab w:val="left" w:pos="709"/>
        </w:tabs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p w:rsidR="00EB5B16" w:rsidRPr="00470545" w:rsidRDefault="002F2697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_Toc422836534"/>
      <w:r w:rsidRPr="00470545">
        <w:rPr>
          <w:rFonts w:ascii="Times New Roman" w:hAnsi="Times New Roman" w:cs="Times New Roman"/>
          <w:sz w:val="30"/>
          <w:szCs w:val="30"/>
        </w:rPr>
        <w:t>Chapter 4</w:t>
      </w:r>
    </w:p>
    <w:p w:rsidR="009F54A4" w:rsidRPr="00470545" w:rsidRDefault="002F2697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70545">
        <w:rPr>
          <w:rFonts w:ascii="Times New Roman" w:hAnsi="Times New Roman" w:cs="Times New Roman"/>
          <w:sz w:val="30"/>
          <w:szCs w:val="30"/>
        </w:rPr>
        <w:t>Supervision on Trader’s Eligibility Management</w:t>
      </w:r>
      <w:bookmarkEnd w:id="8"/>
    </w:p>
    <w:p w:rsidR="008F4E69" w:rsidRPr="00FA28F9" w:rsidRDefault="008F4E69" w:rsidP="001038C9">
      <w:pPr>
        <w:rPr>
          <w:rFonts w:ascii="Times New Roman" w:hAnsi="Times New Roman" w:cs="Times New Roman"/>
        </w:rPr>
      </w:pP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lastRenderedPageBreak/>
        <w:t xml:space="preserve"> The Exchange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sha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ll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conduct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inspection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s on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Account Opening Institutions to confirm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their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implementation of these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Eligibility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Rules. Account Opening Institutions shall cooperate with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such inspections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and provide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accurate and true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account opening materials, breakdowns of account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transactions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 other relevant materials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requested by the Exchange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, and shall not conceal any information, obstruct or refuse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the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inspection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2268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If an Account Opening Institution violates any of these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Eligibility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Rules, the Exchange may take measures including but not limited to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requiring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rectification, warning, </w:t>
      </w:r>
      <w:r w:rsidRPr="00FA28F9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reprimand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, suspension of opening new positions, suspension of futures business, and/or revocation of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its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membership or qualification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to conduct futures business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. In case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of serious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violations, the Exchange may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report to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the CSRC, the China Futures Association (</w:t>
      </w:r>
      <w:r w:rsidR="007B4A63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the “CFA”) and/or the competent futures regulatory authorities in the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country (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region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)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where the overseas Account Opening Institution is established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, and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recommend the imposition of administrative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sanction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s or disciplinary actions.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If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 employee of an Account Opening Institution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is deemed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responsible for any violation, the Exchange may take measures including but not limited to warning, </w:t>
      </w:r>
      <w:r w:rsidRPr="00FA28F9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reprimand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, suspension of futures business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,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and/or revocation of the qualification to conduct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lastRenderedPageBreak/>
        <w:t>futures business on the Exchange. In case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 of serious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violations, the Exchange may recommend the imposition of administrative penalties or disciplinary sanctions, such as revoking the qualification of </w:t>
      </w:r>
      <w:r w:rsidR="00CD36F5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>employment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or the practitioner’s qualification, to the CSRC, the CFA and/or the futures regulatory authorities in the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country (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region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)</w:t>
      </w:r>
      <w:r w:rsidR="00016883">
        <w:rPr>
          <w:rFonts w:ascii="Times New Roman" w:eastAsiaTheme="minorEastAsia" w:hAnsi="Times New Roman" w:cs="Times New Roman" w:hint="eastAsia"/>
          <w:kern w:val="0"/>
          <w:sz w:val="30"/>
          <w:szCs w:val="30"/>
        </w:rPr>
        <w:t xml:space="preserve">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where the employing overseas Account Opening Institution is established.</w:t>
      </w:r>
    </w:p>
    <w:p w:rsidR="00EB5B16" w:rsidRPr="00FA28F9" w:rsidRDefault="00EB5B16" w:rsidP="00976270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9" w:name="_Toc422836535"/>
    </w:p>
    <w:p w:rsidR="009F54A4" w:rsidRPr="00470545" w:rsidRDefault="002F2697" w:rsidP="001038C9">
      <w:pPr>
        <w:pStyle w:val="1"/>
        <w:spacing w:before="120" w:after="12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70545">
        <w:rPr>
          <w:rFonts w:ascii="Times New Roman" w:hAnsi="Times New Roman" w:cs="Times New Roman"/>
          <w:sz w:val="30"/>
          <w:szCs w:val="30"/>
        </w:rPr>
        <w:t xml:space="preserve">Chapter 5 </w:t>
      </w:r>
      <w:r w:rsidR="00470545" w:rsidRPr="00470545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470545">
        <w:rPr>
          <w:rFonts w:ascii="Times New Roman" w:hAnsi="Times New Roman" w:cs="Times New Roman"/>
          <w:sz w:val="30"/>
          <w:szCs w:val="30"/>
        </w:rPr>
        <w:t>Miscellaneous</w:t>
      </w:r>
      <w:bookmarkEnd w:id="9"/>
    </w:p>
    <w:p w:rsidR="00243515" w:rsidRPr="00FA28F9" w:rsidDel="00385939" w:rsidRDefault="00243515" w:rsidP="001038C9">
      <w:pPr>
        <w:rPr>
          <w:rFonts w:ascii="Times New Roman" w:hAnsi="Times New Roman" w:cs="Times New Roman"/>
        </w:rPr>
      </w:pP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The Exchange reserves the right to interpret these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Eligibility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>Rules.</w:t>
      </w:r>
    </w:p>
    <w:p w:rsidR="009F54A4" w:rsidRPr="00FA28F9" w:rsidRDefault="002F2697" w:rsidP="004E3366">
      <w:pPr>
        <w:widowControl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600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These 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 xml:space="preserve">Eligibility </w:t>
      </w:r>
      <w:r w:rsidRPr="00FA28F9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Rules shall be effective as of </w:t>
      </w:r>
      <w:r w:rsidR="00AE0EBD">
        <w:rPr>
          <w:rFonts w:ascii="Times New Roman" w:eastAsia="仿宋" w:hAnsi="Times New Roman" w:hint="eastAsia"/>
          <w:sz w:val="30"/>
          <w:szCs w:val="30"/>
        </w:rPr>
        <w:t>May 11</w:t>
      </w:r>
      <w:r w:rsidR="00AE0EBD" w:rsidRPr="00E4449A">
        <w:rPr>
          <w:rFonts w:ascii="Times New Roman" w:eastAsia="仿宋" w:hAnsi="Times New Roman" w:hint="eastAsia"/>
          <w:sz w:val="30"/>
          <w:szCs w:val="30"/>
          <w:vertAlign w:val="superscript"/>
        </w:rPr>
        <w:t>th</w:t>
      </w:r>
      <w:r w:rsidR="00AE0EBD">
        <w:rPr>
          <w:rFonts w:ascii="Times New Roman" w:eastAsia="仿宋" w:hAnsi="Times New Roman" w:hint="eastAsia"/>
          <w:sz w:val="30"/>
          <w:szCs w:val="30"/>
        </w:rPr>
        <w:t>, 2017</w:t>
      </w:r>
      <w:r w:rsidRPr="00FA28F9">
        <w:rPr>
          <w:rFonts w:ascii="Times New Roman" w:eastAsiaTheme="minorEastAsia" w:hAnsi="Times New Roman" w:cs="Times New Roman"/>
          <w:kern w:val="0"/>
          <w:sz w:val="30"/>
          <w:szCs w:val="30"/>
        </w:rPr>
        <w:t>.</w:t>
      </w:r>
    </w:p>
    <w:p w:rsidR="009F54A4" w:rsidRPr="00FA28F9" w:rsidRDefault="009F54A4" w:rsidP="004E3366">
      <w:pPr>
        <w:spacing w:line="360" w:lineRule="auto"/>
        <w:rPr>
          <w:rFonts w:ascii="Times New Roman" w:hAnsi="Times New Roman" w:cs="Times New Roman"/>
        </w:rPr>
      </w:pPr>
    </w:p>
    <w:sectPr w:rsidR="009F54A4" w:rsidRPr="00FA28F9" w:rsidSect="001038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3C5ADA" w15:done="0"/>
  <w15:commentEx w15:paraId="4A7662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BF" w:rsidRDefault="000D51BF" w:rsidP="004A0F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51BF" w:rsidRDefault="000D51BF" w:rsidP="004A0F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76332546"/>
      <w:docPartObj>
        <w:docPartGallery w:val="Page Numbers (Bottom of Page)"/>
        <w:docPartUnique/>
      </w:docPartObj>
    </w:sdtPr>
    <w:sdtContent>
      <w:p w:rsidR="007522F3" w:rsidRPr="00A8053E" w:rsidRDefault="002F776E">
        <w:pPr>
          <w:pStyle w:val="a6"/>
          <w:jc w:val="center"/>
          <w:rPr>
            <w:rFonts w:ascii="Times New Roman" w:hAnsi="Times New Roman" w:cs="Times New Roman"/>
          </w:rPr>
        </w:pPr>
        <w:r w:rsidRPr="00A142A0">
          <w:rPr>
            <w:rFonts w:ascii="Times New Roman" w:hAnsi="Times New Roman" w:cs="Times New Roman"/>
          </w:rPr>
          <w:fldChar w:fldCharType="begin"/>
        </w:r>
        <w:r w:rsidR="00A142A0" w:rsidRPr="00A142A0">
          <w:rPr>
            <w:rFonts w:ascii="Times New Roman" w:hAnsi="Times New Roman" w:cs="Times New Roman"/>
          </w:rPr>
          <w:instrText>PAGE   \* MERGEFORMAT</w:instrText>
        </w:r>
        <w:r w:rsidRPr="00A142A0">
          <w:rPr>
            <w:rFonts w:ascii="Times New Roman" w:hAnsi="Times New Roman" w:cs="Times New Roman"/>
          </w:rPr>
          <w:fldChar w:fldCharType="separate"/>
        </w:r>
        <w:r w:rsidR="007B7392" w:rsidRPr="007B7392">
          <w:rPr>
            <w:rFonts w:ascii="Times New Roman" w:hAnsi="Times New Roman" w:cs="Times New Roman"/>
            <w:noProof/>
            <w:lang w:val="zh-CN"/>
          </w:rPr>
          <w:t>2</w:t>
        </w:r>
        <w:r w:rsidRPr="00A142A0">
          <w:rPr>
            <w:rFonts w:ascii="Times New Roman" w:hAnsi="Times New Roman" w:cs="Times New Roman"/>
          </w:rPr>
          <w:fldChar w:fldCharType="end"/>
        </w:r>
      </w:p>
    </w:sdtContent>
  </w:sdt>
  <w:p w:rsidR="007522F3" w:rsidRDefault="007522F3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BF" w:rsidRDefault="000D51BF" w:rsidP="004A0F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51BF" w:rsidRDefault="000D51BF" w:rsidP="004A0F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029"/>
    <w:multiLevelType w:val="multilevel"/>
    <w:tmpl w:val="09176029"/>
    <w:lvl w:ilvl="0">
      <w:start w:val="1"/>
      <w:numFmt w:val="decimal"/>
      <w:lvlText w:val="Article %1"/>
      <w:lvlJc w:val="left"/>
      <w:pPr>
        <w:ind w:left="2014" w:hanging="454"/>
      </w:pPr>
      <w:rPr>
        <w:rFonts w:eastAsia="Times New Roman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200" w:hanging="420"/>
      </w:pPr>
    </w:lvl>
    <w:lvl w:ilvl="2">
      <w:start w:val="1"/>
      <w:numFmt w:val="lowerRoman"/>
      <w:lvlText w:val="%3."/>
      <w:lvlJc w:val="right"/>
      <w:pPr>
        <w:ind w:left="620" w:hanging="420"/>
      </w:pPr>
    </w:lvl>
    <w:lvl w:ilvl="3">
      <w:start w:val="1"/>
      <w:numFmt w:val="decimal"/>
      <w:lvlText w:val="%4."/>
      <w:lvlJc w:val="left"/>
      <w:pPr>
        <w:ind w:left="1040" w:hanging="420"/>
      </w:pPr>
    </w:lvl>
    <w:lvl w:ilvl="4">
      <w:start w:val="1"/>
      <w:numFmt w:val="lowerLetter"/>
      <w:lvlText w:val="%5)"/>
      <w:lvlJc w:val="left"/>
      <w:pPr>
        <w:ind w:left="1460" w:hanging="420"/>
      </w:pPr>
    </w:lvl>
    <w:lvl w:ilvl="5">
      <w:start w:val="1"/>
      <w:numFmt w:val="lowerRoman"/>
      <w:lvlText w:val="%6."/>
      <w:lvlJc w:val="right"/>
      <w:pPr>
        <w:ind w:left="1880" w:hanging="420"/>
      </w:pPr>
    </w:lvl>
    <w:lvl w:ilvl="6">
      <w:start w:val="1"/>
      <w:numFmt w:val="decimal"/>
      <w:lvlText w:val="%7."/>
      <w:lvlJc w:val="left"/>
      <w:pPr>
        <w:ind w:left="2300" w:hanging="420"/>
      </w:pPr>
    </w:lvl>
    <w:lvl w:ilvl="7">
      <w:start w:val="1"/>
      <w:numFmt w:val="lowerLetter"/>
      <w:lvlText w:val="%8)"/>
      <w:lvlJc w:val="left"/>
      <w:pPr>
        <w:ind w:left="2720" w:hanging="420"/>
      </w:pPr>
    </w:lvl>
    <w:lvl w:ilvl="8">
      <w:start w:val="1"/>
      <w:numFmt w:val="lowerRoman"/>
      <w:lvlText w:val="%9."/>
      <w:lvlJc w:val="right"/>
      <w:pPr>
        <w:ind w:left="3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1FC"/>
    <w:rsid w:val="00000BE2"/>
    <w:rsid w:val="00002575"/>
    <w:rsid w:val="000104DF"/>
    <w:rsid w:val="00012C5D"/>
    <w:rsid w:val="000143E9"/>
    <w:rsid w:val="00016883"/>
    <w:rsid w:val="0002039B"/>
    <w:rsid w:val="00020529"/>
    <w:rsid w:val="00025540"/>
    <w:rsid w:val="00037338"/>
    <w:rsid w:val="0004244A"/>
    <w:rsid w:val="000470E7"/>
    <w:rsid w:val="00051A8C"/>
    <w:rsid w:val="00053361"/>
    <w:rsid w:val="00061B9D"/>
    <w:rsid w:val="00062132"/>
    <w:rsid w:val="0006326C"/>
    <w:rsid w:val="000650A7"/>
    <w:rsid w:val="00077B04"/>
    <w:rsid w:val="0008067F"/>
    <w:rsid w:val="00080B01"/>
    <w:rsid w:val="00081886"/>
    <w:rsid w:val="0008289A"/>
    <w:rsid w:val="000946C1"/>
    <w:rsid w:val="000954B4"/>
    <w:rsid w:val="0009552E"/>
    <w:rsid w:val="000A1902"/>
    <w:rsid w:val="000A661A"/>
    <w:rsid w:val="000A71C9"/>
    <w:rsid w:val="000B1409"/>
    <w:rsid w:val="000C3FFE"/>
    <w:rsid w:val="000D2287"/>
    <w:rsid w:val="000D3C86"/>
    <w:rsid w:val="000D51BF"/>
    <w:rsid w:val="000E1F6B"/>
    <w:rsid w:val="000E6806"/>
    <w:rsid w:val="000F3866"/>
    <w:rsid w:val="000F64F8"/>
    <w:rsid w:val="000F68C6"/>
    <w:rsid w:val="000F6A9D"/>
    <w:rsid w:val="00100335"/>
    <w:rsid w:val="00101D62"/>
    <w:rsid w:val="001029D5"/>
    <w:rsid w:val="001038C9"/>
    <w:rsid w:val="00103E0E"/>
    <w:rsid w:val="00106816"/>
    <w:rsid w:val="00107B11"/>
    <w:rsid w:val="00107EAC"/>
    <w:rsid w:val="00110751"/>
    <w:rsid w:val="00111B1B"/>
    <w:rsid w:val="00112C89"/>
    <w:rsid w:val="00113601"/>
    <w:rsid w:val="00114007"/>
    <w:rsid w:val="0011557B"/>
    <w:rsid w:val="00117941"/>
    <w:rsid w:val="00121A5F"/>
    <w:rsid w:val="00130727"/>
    <w:rsid w:val="0013268B"/>
    <w:rsid w:val="0013745C"/>
    <w:rsid w:val="00140AEB"/>
    <w:rsid w:val="00143627"/>
    <w:rsid w:val="001437FA"/>
    <w:rsid w:val="001458C1"/>
    <w:rsid w:val="001462DE"/>
    <w:rsid w:val="001612EA"/>
    <w:rsid w:val="001614B9"/>
    <w:rsid w:val="00161584"/>
    <w:rsid w:val="0017452A"/>
    <w:rsid w:val="00177BEB"/>
    <w:rsid w:val="00180FDA"/>
    <w:rsid w:val="0018328F"/>
    <w:rsid w:val="00185EAE"/>
    <w:rsid w:val="001931CF"/>
    <w:rsid w:val="001A056D"/>
    <w:rsid w:val="001A0EA1"/>
    <w:rsid w:val="001A16E8"/>
    <w:rsid w:val="001A5C69"/>
    <w:rsid w:val="001B404A"/>
    <w:rsid w:val="001B5032"/>
    <w:rsid w:val="001B7ABC"/>
    <w:rsid w:val="001C14A1"/>
    <w:rsid w:val="001D13B3"/>
    <w:rsid w:val="001D141D"/>
    <w:rsid w:val="001D2966"/>
    <w:rsid w:val="001D64D4"/>
    <w:rsid w:val="001E04CC"/>
    <w:rsid w:val="001E0D23"/>
    <w:rsid w:val="001E5A79"/>
    <w:rsid w:val="001E63BF"/>
    <w:rsid w:val="001E64E0"/>
    <w:rsid w:val="001F2031"/>
    <w:rsid w:val="001F2E97"/>
    <w:rsid w:val="00200B50"/>
    <w:rsid w:val="00207577"/>
    <w:rsid w:val="0021193D"/>
    <w:rsid w:val="00214C7D"/>
    <w:rsid w:val="00214CF3"/>
    <w:rsid w:val="00215DB4"/>
    <w:rsid w:val="00215ECA"/>
    <w:rsid w:val="002161D6"/>
    <w:rsid w:val="00227B59"/>
    <w:rsid w:val="00227F26"/>
    <w:rsid w:val="00233953"/>
    <w:rsid w:val="002370BD"/>
    <w:rsid w:val="00241578"/>
    <w:rsid w:val="00241705"/>
    <w:rsid w:val="00243515"/>
    <w:rsid w:val="00245FA6"/>
    <w:rsid w:val="002465A0"/>
    <w:rsid w:val="00247ED8"/>
    <w:rsid w:val="00251239"/>
    <w:rsid w:val="00251645"/>
    <w:rsid w:val="00255BD8"/>
    <w:rsid w:val="00260C78"/>
    <w:rsid w:val="00261567"/>
    <w:rsid w:val="00263ACC"/>
    <w:rsid w:val="0026420E"/>
    <w:rsid w:val="00266B50"/>
    <w:rsid w:val="00267417"/>
    <w:rsid w:val="0027171B"/>
    <w:rsid w:val="00271F33"/>
    <w:rsid w:val="002777A2"/>
    <w:rsid w:val="00277C28"/>
    <w:rsid w:val="00280132"/>
    <w:rsid w:val="00280363"/>
    <w:rsid w:val="00280493"/>
    <w:rsid w:val="00282E25"/>
    <w:rsid w:val="00286F09"/>
    <w:rsid w:val="00292303"/>
    <w:rsid w:val="002937B7"/>
    <w:rsid w:val="002A07B8"/>
    <w:rsid w:val="002A7552"/>
    <w:rsid w:val="002B1374"/>
    <w:rsid w:val="002B1451"/>
    <w:rsid w:val="002B2DBC"/>
    <w:rsid w:val="002B6DD8"/>
    <w:rsid w:val="002C0E17"/>
    <w:rsid w:val="002C58B2"/>
    <w:rsid w:val="002C642B"/>
    <w:rsid w:val="002C6BD4"/>
    <w:rsid w:val="002D1001"/>
    <w:rsid w:val="002D1ED0"/>
    <w:rsid w:val="002E1A04"/>
    <w:rsid w:val="002E429A"/>
    <w:rsid w:val="002F0540"/>
    <w:rsid w:val="002F1AB7"/>
    <w:rsid w:val="002F2697"/>
    <w:rsid w:val="002F2789"/>
    <w:rsid w:val="002F2DB4"/>
    <w:rsid w:val="002F3956"/>
    <w:rsid w:val="002F5652"/>
    <w:rsid w:val="002F6CF8"/>
    <w:rsid w:val="002F776E"/>
    <w:rsid w:val="00303D8A"/>
    <w:rsid w:val="0030684C"/>
    <w:rsid w:val="00307C10"/>
    <w:rsid w:val="00313501"/>
    <w:rsid w:val="003167ED"/>
    <w:rsid w:val="00316AA1"/>
    <w:rsid w:val="00316CD9"/>
    <w:rsid w:val="00317A1D"/>
    <w:rsid w:val="003274AA"/>
    <w:rsid w:val="00332338"/>
    <w:rsid w:val="00336B38"/>
    <w:rsid w:val="00337DD5"/>
    <w:rsid w:val="003434DD"/>
    <w:rsid w:val="00346891"/>
    <w:rsid w:val="00346CF9"/>
    <w:rsid w:val="0035294F"/>
    <w:rsid w:val="00356613"/>
    <w:rsid w:val="00356703"/>
    <w:rsid w:val="0035686F"/>
    <w:rsid w:val="00361131"/>
    <w:rsid w:val="00361599"/>
    <w:rsid w:val="00363884"/>
    <w:rsid w:val="003666DE"/>
    <w:rsid w:val="00367001"/>
    <w:rsid w:val="003677D2"/>
    <w:rsid w:val="00371BE3"/>
    <w:rsid w:val="00385939"/>
    <w:rsid w:val="00385AE0"/>
    <w:rsid w:val="00391A34"/>
    <w:rsid w:val="003945B6"/>
    <w:rsid w:val="003A2162"/>
    <w:rsid w:val="003A5D33"/>
    <w:rsid w:val="003B0BD1"/>
    <w:rsid w:val="003B0ECD"/>
    <w:rsid w:val="003B25DF"/>
    <w:rsid w:val="003B6B3D"/>
    <w:rsid w:val="003B7AEB"/>
    <w:rsid w:val="003C0E6F"/>
    <w:rsid w:val="003C3B42"/>
    <w:rsid w:val="003C6D61"/>
    <w:rsid w:val="003C78AC"/>
    <w:rsid w:val="003D32FB"/>
    <w:rsid w:val="003D443A"/>
    <w:rsid w:val="003E1C98"/>
    <w:rsid w:val="003E365F"/>
    <w:rsid w:val="003F04D3"/>
    <w:rsid w:val="003F6109"/>
    <w:rsid w:val="003F6124"/>
    <w:rsid w:val="00401852"/>
    <w:rsid w:val="004058B0"/>
    <w:rsid w:val="00406F3C"/>
    <w:rsid w:val="00407917"/>
    <w:rsid w:val="004147A3"/>
    <w:rsid w:val="00416A7B"/>
    <w:rsid w:val="00416B3D"/>
    <w:rsid w:val="00420F8A"/>
    <w:rsid w:val="004227A5"/>
    <w:rsid w:val="004252E1"/>
    <w:rsid w:val="00427483"/>
    <w:rsid w:val="00430DA9"/>
    <w:rsid w:val="00442309"/>
    <w:rsid w:val="00442C07"/>
    <w:rsid w:val="00444FFD"/>
    <w:rsid w:val="004451CE"/>
    <w:rsid w:val="00450688"/>
    <w:rsid w:val="00451739"/>
    <w:rsid w:val="00452377"/>
    <w:rsid w:val="00454AE5"/>
    <w:rsid w:val="00460F37"/>
    <w:rsid w:val="00463509"/>
    <w:rsid w:val="00463AFC"/>
    <w:rsid w:val="00470545"/>
    <w:rsid w:val="00470593"/>
    <w:rsid w:val="0047150D"/>
    <w:rsid w:val="004731F1"/>
    <w:rsid w:val="004768B9"/>
    <w:rsid w:val="00476E2E"/>
    <w:rsid w:val="00477FAA"/>
    <w:rsid w:val="0048010E"/>
    <w:rsid w:val="0048085E"/>
    <w:rsid w:val="004861FA"/>
    <w:rsid w:val="004871BD"/>
    <w:rsid w:val="004909C5"/>
    <w:rsid w:val="00490D25"/>
    <w:rsid w:val="004A01D7"/>
    <w:rsid w:val="004A0F17"/>
    <w:rsid w:val="004A11B6"/>
    <w:rsid w:val="004A3011"/>
    <w:rsid w:val="004B08C6"/>
    <w:rsid w:val="004B13D4"/>
    <w:rsid w:val="004B6AF5"/>
    <w:rsid w:val="004B7031"/>
    <w:rsid w:val="004C0751"/>
    <w:rsid w:val="004C5FF6"/>
    <w:rsid w:val="004D5C55"/>
    <w:rsid w:val="004D6F5F"/>
    <w:rsid w:val="004E3366"/>
    <w:rsid w:val="004F0886"/>
    <w:rsid w:val="004F0D3D"/>
    <w:rsid w:val="004F30AD"/>
    <w:rsid w:val="004F3B0B"/>
    <w:rsid w:val="00506D8D"/>
    <w:rsid w:val="0050753A"/>
    <w:rsid w:val="00507C0F"/>
    <w:rsid w:val="005113D0"/>
    <w:rsid w:val="005114F8"/>
    <w:rsid w:val="00512B95"/>
    <w:rsid w:val="00513057"/>
    <w:rsid w:val="00515927"/>
    <w:rsid w:val="0052173A"/>
    <w:rsid w:val="00523292"/>
    <w:rsid w:val="00532972"/>
    <w:rsid w:val="00533354"/>
    <w:rsid w:val="00533467"/>
    <w:rsid w:val="00533BCB"/>
    <w:rsid w:val="00533BFF"/>
    <w:rsid w:val="00541BDC"/>
    <w:rsid w:val="00542DF5"/>
    <w:rsid w:val="005439B6"/>
    <w:rsid w:val="00545EB8"/>
    <w:rsid w:val="0055369D"/>
    <w:rsid w:val="00554B56"/>
    <w:rsid w:val="0055529D"/>
    <w:rsid w:val="00557951"/>
    <w:rsid w:val="00563010"/>
    <w:rsid w:val="00566162"/>
    <w:rsid w:val="00567F70"/>
    <w:rsid w:val="00571479"/>
    <w:rsid w:val="00571684"/>
    <w:rsid w:val="00581393"/>
    <w:rsid w:val="00583463"/>
    <w:rsid w:val="0058413B"/>
    <w:rsid w:val="0059426F"/>
    <w:rsid w:val="0059638A"/>
    <w:rsid w:val="005B0356"/>
    <w:rsid w:val="005B0DE5"/>
    <w:rsid w:val="005B2D56"/>
    <w:rsid w:val="005C0263"/>
    <w:rsid w:val="005C32F2"/>
    <w:rsid w:val="005C35EE"/>
    <w:rsid w:val="005C38A2"/>
    <w:rsid w:val="005C6165"/>
    <w:rsid w:val="005C6B97"/>
    <w:rsid w:val="005C6F74"/>
    <w:rsid w:val="005C6F85"/>
    <w:rsid w:val="005C762E"/>
    <w:rsid w:val="005D131E"/>
    <w:rsid w:val="005D3161"/>
    <w:rsid w:val="005E08BC"/>
    <w:rsid w:val="005E4C04"/>
    <w:rsid w:val="005F0E06"/>
    <w:rsid w:val="005F53DF"/>
    <w:rsid w:val="00605508"/>
    <w:rsid w:val="00605F2E"/>
    <w:rsid w:val="00606E64"/>
    <w:rsid w:val="0061041B"/>
    <w:rsid w:val="00620A07"/>
    <w:rsid w:val="0062107E"/>
    <w:rsid w:val="00631972"/>
    <w:rsid w:val="00632CC2"/>
    <w:rsid w:val="00632CE9"/>
    <w:rsid w:val="00644B7F"/>
    <w:rsid w:val="00646CB2"/>
    <w:rsid w:val="00647F6A"/>
    <w:rsid w:val="00654F4F"/>
    <w:rsid w:val="006566E6"/>
    <w:rsid w:val="00657EA5"/>
    <w:rsid w:val="006609D7"/>
    <w:rsid w:val="00662E07"/>
    <w:rsid w:val="0066690B"/>
    <w:rsid w:val="006714C0"/>
    <w:rsid w:val="00672A4E"/>
    <w:rsid w:val="0067396C"/>
    <w:rsid w:val="00674118"/>
    <w:rsid w:val="006743EC"/>
    <w:rsid w:val="00677B78"/>
    <w:rsid w:val="006806D7"/>
    <w:rsid w:val="00682DEC"/>
    <w:rsid w:val="006844BF"/>
    <w:rsid w:val="00686D74"/>
    <w:rsid w:val="00687D9B"/>
    <w:rsid w:val="006A2AE8"/>
    <w:rsid w:val="006A6620"/>
    <w:rsid w:val="006B2791"/>
    <w:rsid w:val="006B32FA"/>
    <w:rsid w:val="006B57A7"/>
    <w:rsid w:val="006B6D30"/>
    <w:rsid w:val="006C146E"/>
    <w:rsid w:val="006C4F78"/>
    <w:rsid w:val="006C56F4"/>
    <w:rsid w:val="006C59EE"/>
    <w:rsid w:val="006C6446"/>
    <w:rsid w:val="006C79FF"/>
    <w:rsid w:val="006D0E30"/>
    <w:rsid w:val="006D5D42"/>
    <w:rsid w:val="006E2B60"/>
    <w:rsid w:val="006E4166"/>
    <w:rsid w:val="006E5C80"/>
    <w:rsid w:val="006F6E27"/>
    <w:rsid w:val="00702D59"/>
    <w:rsid w:val="00704708"/>
    <w:rsid w:val="0070641E"/>
    <w:rsid w:val="00710F45"/>
    <w:rsid w:val="007116EA"/>
    <w:rsid w:val="007176B2"/>
    <w:rsid w:val="00724C15"/>
    <w:rsid w:val="00726C8C"/>
    <w:rsid w:val="00730AFA"/>
    <w:rsid w:val="00733E96"/>
    <w:rsid w:val="00736726"/>
    <w:rsid w:val="00736D02"/>
    <w:rsid w:val="0074296A"/>
    <w:rsid w:val="00742D65"/>
    <w:rsid w:val="00746836"/>
    <w:rsid w:val="00751209"/>
    <w:rsid w:val="007522F3"/>
    <w:rsid w:val="00756DF4"/>
    <w:rsid w:val="00762C16"/>
    <w:rsid w:val="00762DFF"/>
    <w:rsid w:val="007643A4"/>
    <w:rsid w:val="007656E6"/>
    <w:rsid w:val="00771549"/>
    <w:rsid w:val="007724FB"/>
    <w:rsid w:val="0078321F"/>
    <w:rsid w:val="007A4514"/>
    <w:rsid w:val="007A741E"/>
    <w:rsid w:val="007A7E6F"/>
    <w:rsid w:val="007B4A63"/>
    <w:rsid w:val="007B71C8"/>
    <w:rsid w:val="007B7392"/>
    <w:rsid w:val="007C1BD0"/>
    <w:rsid w:val="007C71A1"/>
    <w:rsid w:val="007D2962"/>
    <w:rsid w:val="007D3676"/>
    <w:rsid w:val="007D44F7"/>
    <w:rsid w:val="007D5C1F"/>
    <w:rsid w:val="007F480F"/>
    <w:rsid w:val="007F5166"/>
    <w:rsid w:val="00803D20"/>
    <w:rsid w:val="00805F1D"/>
    <w:rsid w:val="00805F5D"/>
    <w:rsid w:val="0080799A"/>
    <w:rsid w:val="0081086C"/>
    <w:rsid w:val="0081286E"/>
    <w:rsid w:val="00817718"/>
    <w:rsid w:val="00820E97"/>
    <w:rsid w:val="00821102"/>
    <w:rsid w:val="00824963"/>
    <w:rsid w:val="008266B6"/>
    <w:rsid w:val="008328A6"/>
    <w:rsid w:val="00832D62"/>
    <w:rsid w:val="00834C43"/>
    <w:rsid w:val="00835ECD"/>
    <w:rsid w:val="00842701"/>
    <w:rsid w:val="00843367"/>
    <w:rsid w:val="00857FA0"/>
    <w:rsid w:val="00860E88"/>
    <w:rsid w:val="008611EC"/>
    <w:rsid w:val="008626DB"/>
    <w:rsid w:val="00864ABE"/>
    <w:rsid w:val="00865F30"/>
    <w:rsid w:val="008660D8"/>
    <w:rsid w:val="008669E5"/>
    <w:rsid w:val="00870E0B"/>
    <w:rsid w:val="00877346"/>
    <w:rsid w:val="00884114"/>
    <w:rsid w:val="0088418F"/>
    <w:rsid w:val="00891A19"/>
    <w:rsid w:val="00894873"/>
    <w:rsid w:val="0089625C"/>
    <w:rsid w:val="008A059E"/>
    <w:rsid w:val="008A5902"/>
    <w:rsid w:val="008A67E5"/>
    <w:rsid w:val="008A7DAF"/>
    <w:rsid w:val="008B1BB8"/>
    <w:rsid w:val="008B48C7"/>
    <w:rsid w:val="008B4C0F"/>
    <w:rsid w:val="008B6828"/>
    <w:rsid w:val="008C2345"/>
    <w:rsid w:val="008D3FC1"/>
    <w:rsid w:val="008D5931"/>
    <w:rsid w:val="008D7121"/>
    <w:rsid w:val="008E289C"/>
    <w:rsid w:val="008E45A3"/>
    <w:rsid w:val="008F092D"/>
    <w:rsid w:val="008F4B21"/>
    <w:rsid w:val="008F4E26"/>
    <w:rsid w:val="008F4E69"/>
    <w:rsid w:val="008F7C76"/>
    <w:rsid w:val="0090031F"/>
    <w:rsid w:val="00906023"/>
    <w:rsid w:val="0090753C"/>
    <w:rsid w:val="00913F2C"/>
    <w:rsid w:val="00916034"/>
    <w:rsid w:val="00920565"/>
    <w:rsid w:val="00926337"/>
    <w:rsid w:val="009353A0"/>
    <w:rsid w:val="00943D81"/>
    <w:rsid w:val="00952758"/>
    <w:rsid w:val="00955322"/>
    <w:rsid w:val="0095728D"/>
    <w:rsid w:val="00957ED0"/>
    <w:rsid w:val="009624D3"/>
    <w:rsid w:val="009668B2"/>
    <w:rsid w:val="00970091"/>
    <w:rsid w:val="00970A81"/>
    <w:rsid w:val="00972CD7"/>
    <w:rsid w:val="00976270"/>
    <w:rsid w:val="00977D4E"/>
    <w:rsid w:val="0098017E"/>
    <w:rsid w:val="00982D09"/>
    <w:rsid w:val="0098338C"/>
    <w:rsid w:val="00985DDF"/>
    <w:rsid w:val="0098611E"/>
    <w:rsid w:val="00986A67"/>
    <w:rsid w:val="009873D0"/>
    <w:rsid w:val="0099021B"/>
    <w:rsid w:val="00990CFA"/>
    <w:rsid w:val="00991F6A"/>
    <w:rsid w:val="009956E2"/>
    <w:rsid w:val="009A0CC7"/>
    <w:rsid w:val="009A2FDF"/>
    <w:rsid w:val="009A6510"/>
    <w:rsid w:val="009A7E9B"/>
    <w:rsid w:val="009B0123"/>
    <w:rsid w:val="009B761F"/>
    <w:rsid w:val="009B78E8"/>
    <w:rsid w:val="009C0C2C"/>
    <w:rsid w:val="009C6200"/>
    <w:rsid w:val="009D49DD"/>
    <w:rsid w:val="009D642D"/>
    <w:rsid w:val="009D67E9"/>
    <w:rsid w:val="009E5420"/>
    <w:rsid w:val="009F08AF"/>
    <w:rsid w:val="009F21C5"/>
    <w:rsid w:val="009F2A8B"/>
    <w:rsid w:val="009F3F38"/>
    <w:rsid w:val="009F54A4"/>
    <w:rsid w:val="009F6250"/>
    <w:rsid w:val="00A00E05"/>
    <w:rsid w:val="00A01BAD"/>
    <w:rsid w:val="00A04EE2"/>
    <w:rsid w:val="00A05D30"/>
    <w:rsid w:val="00A06318"/>
    <w:rsid w:val="00A142A0"/>
    <w:rsid w:val="00A16CA3"/>
    <w:rsid w:val="00A204C5"/>
    <w:rsid w:val="00A2551C"/>
    <w:rsid w:val="00A30F15"/>
    <w:rsid w:val="00A312C0"/>
    <w:rsid w:val="00A43590"/>
    <w:rsid w:val="00A44D31"/>
    <w:rsid w:val="00A44FD2"/>
    <w:rsid w:val="00A506F4"/>
    <w:rsid w:val="00A51C59"/>
    <w:rsid w:val="00A51D64"/>
    <w:rsid w:val="00A51E62"/>
    <w:rsid w:val="00A629F5"/>
    <w:rsid w:val="00A6328F"/>
    <w:rsid w:val="00A650AA"/>
    <w:rsid w:val="00A67AA6"/>
    <w:rsid w:val="00A7137C"/>
    <w:rsid w:val="00A72686"/>
    <w:rsid w:val="00A72ACA"/>
    <w:rsid w:val="00A73041"/>
    <w:rsid w:val="00A744F6"/>
    <w:rsid w:val="00A757AE"/>
    <w:rsid w:val="00A759F0"/>
    <w:rsid w:val="00A8053E"/>
    <w:rsid w:val="00A82D08"/>
    <w:rsid w:val="00A84994"/>
    <w:rsid w:val="00A8588F"/>
    <w:rsid w:val="00A874CD"/>
    <w:rsid w:val="00A92FF2"/>
    <w:rsid w:val="00A93348"/>
    <w:rsid w:val="00A9353A"/>
    <w:rsid w:val="00A94F9E"/>
    <w:rsid w:val="00A96C07"/>
    <w:rsid w:val="00A97EFB"/>
    <w:rsid w:val="00AA1007"/>
    <w:rsid w:val="00AA2C3A"/>
    <w:rsid w:val="00AA31A4"/>
    <w:rsid w:val="00AB0429"/>
    <w:rsid w:val="00AB34C5"/>
    <w:rsid w:val="00AB711B"/>
    <w:rsid w:val="00AC1625"/>
    <w:rsid w:val="00AC3648"/>
    <w:rsid w:val="00AC5BAB"/>
    <w:rsid w:val="00AD19E5"/>
    <w:rsid w:val="00AD5114"/>
    <w:rsid w:val="00AD5422"/>
    <w:rsid w:val="00AD6CA1"/>
    <w:rsid w:val="00AE09F1"/>
    <w:rsid w:val="00AE0EBD"/>
    <w:rsid w:val="00AE3624"/>
    <w:rsid w:val="00AE5A5C"/>
    <w:rsid w:val="00AF6B9D"/>
    <w:rsid w:val="00AF6DB9"/>
    <w:rsid w:val="00B037D4"/>
    <w:rsid w:val="00B12691"/>
    <w:rsid w:val="00B154DD"/>
    <w:rsid w:val="00B1631D"/>
    <w:rsid w:val="00B16ED2"/>
    <w:rsid w:val="00B20F6D"/>
    <w:rsid w:val="00B21E76"/>
    <w:rsid w:val="00B22087"/>
    <w:rsid w:val="00B23DB5"/>
    <w:rsid w:val="00B33443"/>
    <w:rsid w:val="00B33B5A"/>
    <w:rsid w:val="00B347CA"/>
    <w:rsid w:val="00B35143"/>
    <w:rsid w:val="00B35847"/>
    <w:rsid w:val="00B53023"/>
    <w:rsid w:val="00B564D7"/>
    <w:rsid w:val="00B57746"/>
    <w:rsid w:val="00B606D7"/>
    <w:rsid w:val="00B60F59"/>
    <w:rsid w:val="00B62132"/>
    <w:rsid w:val="00B629D9"/>
    <w:rsid w:val="00B676BC"/>
    <w:rsid w:val="00B67855"/>
    <w:rsid w:val="00B721A7"/>
    <w:rsid w:val="00B74257"/>
    <w:rsid w:val="00B75CC4"/>
    <w:rsid w:val="00B826CE"/>
    <w:rsid w:val="00B83773"/>
    <w:rsid w:val="00B8772C"/>
    <w:rsid w:val="00B8793E"/>
    <w:rsid w:val="00B93D2D"/>
    <w:rsid w:val="00BA77D4"/>
    <w:rsid w:val="00BB0D85"/>
    <w:rsid w:val="00BB1947"/>
    <w:rsid w:val="00BB3982"/>
    <w:rsid w:val="00BB4428"/>
    <w:rsid w:val="00BC26FA"/>
    <w:rsid w:val="00BC2B2C"/>
    <w:rsid w:val="00BC3D14"/>
    <w:rsid w:val="00BE3A17"/>
    <w:rsid w:val="00BE4BC8"/>
    <w:rsid w:val="00BE72D8"/>
    <w:rsid w:val="00BF11E0"/>
    <w:rsid w:val="00C00EF9"/>
    <w:rsid w:val="00C042A1"/>
    <w:rsid w:val="00C179CE"/>
    <w:rsid w:val="00C22F45"/>
    <w:rsid w:val="00C23020"/>
    <w:rsid w:val="00C314B3"/>
    <w:rsid w:val="00C33196"/>
    <w:rsid w:val="00C3424F"/>
    <w:rsid w:val="00C34E61"/>
    <w:rsid w:val="00C367A1"/>
    <w:rsid w:val="00C36F3E"/>
    <w:rsid w:val="00C41AB9"/>
    <w:rsid w:val="00C41F9F"/>
    <w:rsid w:val="00C43B43"/>
    <w:rsid w:val="00C4707B"/>
    <w:rsid w:val="00C5156F"/>
    <w:rsid w:val="00C51D25"/>
    <w:rsid w:val="00C55D72"/>
    <w:rsid w:val="00C62F04"/>
    <w:rsid w:val="00C647A9"/>
    <w:rsid w:val="00C662BD"/>
    <w:rsid w:val="00C7500A"/>
    <w:rsid w:val="00C76A61"/>
    <w:rsid w:val="00C84545"/>
    <w:rsid w:val="00C87FB2"/>
    <w:rsid w:val="00C94C01"/>
    <w:rsid w:val="00C970A8"/>
    <w:rsid w:val="00C974DC"/>
    <w:rsid w:val="00CA4C1C"/>
    <w:rsid w:val="00CA5A31"/>
    <w:rsid w:val="00CA5D56"/>
    <w:rsid w:val="00CA646B"/>
    <w:rsid w:val="00CA6C2C"/>
    <w:rsid w:val="00CB2E57"/>
    <w:rsid w:val="00CB3125"/>
    <w:rsid w:val="00CB3248"/>
    <w:rsid w:val="00CC0329"/>
    <w:rsid w:val="00CC07F7"/>
    <w:rsid w:val="00CC1096"/>
    <w:rsid w:val="00CC48BE"/>
    <w:rsid w:val="00CC65E6"/>
    <w:rsid w:val="00CD300B"/>
    <w:rsid w:val="00CD36F5"/>
    <w:rsid w:val="00CD3B86"/>
    <w:rsid w:val="00CE19D7"/>
    <w:rsid w:val="00CE617E"/>
    <w:rsid w:val="00CF1365"/>
    <w:rsid w:val="00CF4E58"/>
    <w:rsid w:val="00CF5EFC"/>
    <w:rsid w:val="00CF5F7C"/>
    <w:rsid w:val="00CF6C79"/>
    <w:rsid w:val="00CF700C"/>
    <w:rsid w:val="00D03198"/>
    <w:rsid w:val="00D044B1"/>
    <w:rsid w:val="00D06B4C"/>
    <w:rsid w:val="00D07B67"/>
    <w:rsid w:val="00D20A34"/>
    <w:rsid w:val="00D238AF"/>
    <w:rsid w:val="00D30628"/>
    <w:rsid w:val="00D4038A"/>
    <w:rsid w:val="00D41332"/>
    <w:rsid w:val="00D429F1"/>
    <w:rsid w:val="00D52608"/>
    <w:rsid w:val="00D54F21"/>
    <w:rsid w:val="00D6091C"/>
    <w:rsid w:val="00D647EC"/>
    <w:rsid w:val="00D64B5B"/>
    <w:rsid w:val="00D7054B"/>
    <w:rsid w:val="00D706E2"/>
    <w:rsid w:val="00D80E65"/>
    <w:rsid w:val="00D82785"/>
    <w:rsid w:val="00D83608"/>
    <w:rsid w:val="00D86B65"/>
    <w:rsid w:val="00D87F9B"/>
    <w:rsid w:val="00D93D3D"/>
    <w:rsid w:val="00D943CE"/>
    <w:rsid w:val="00D950EC"/>
    <w:rsid w:val="00D963BA"/>
    <w:rsid w:val="00DA4D6E"/>
    <w:rsid w:val="00DB3A42"/>
    <w:rsid w:val="00DC0D17"/>
    <w:rsid w:val="00DD0D33"/>
    <w:rsid w:val="00DD6C77"/>
    <w:rsid w:val="00DE1C78"/>
    <w:rsid w:val="00DE5426"/>
    <w:rsid w:val="00DF264C"/>
    <w:rsid w:val="00DF6B50"/>
    <w:rsid w:val="00E009A4"/>
    <w:rsid w:val="00E00F10"/>
    <w:rsid w:val="00E01657"/>
    <w:rsid w:val="00E01D92"/>
    <w:rsid w:val="00E05445"/>
    <w:rsid w:val="00E06C9C"/>
    <w:rsid w:val="00E12B65"/>
    <w:rsid w:val="00E172D5"/>
    <w:rsid w:val="00E2080B"/>
    <w:rsid w:val="00E211FC"/>
    <w:rsid w:val="00E23B4E"/>
    <w:rsid w:val="00E243F9"/>
    <w:rsid w:val="00E25BA4"/>
    <w:rsid w:val="00E300CB"/>
    <w:rsid w:val="00E31285"/>
    <w:rsid w:val="00E4582D"/>
    <w:rsid w:val="00E50848"/>
    <w:rsid w:val="00E51C67"/>
    <w:rsid w:val="00E51F43"/>
    <w:rsid w:val="00E54C2F"/>
    <w:rsid w:val="00E63048"/>
    <w:rsid w:val="00E64895"/>
    <w:rsid w:val="00E66772"/>
    <w:rsid w:val="00E710A7"/>
    <w:rsid w:val="00E73BC9"/>
    <w:rsid w:val="00E7721F"/>
    <w:rsid w:val="00E77920"/>
    <w:rsid w:val="00E82274"/>
    <w:rsid w:val="00E824D8"/>
    <w:rsid w:val="00E90256"/>
    <w:rsid w:val="00E9027C"/>
    <w:rsid w:val="00E9124F"/>
    <w:rsid w:val="00EA1C48"/>
    <w:rsid w:val="00EA6D51"/>
    <w:rsid w:val="00EB5B16"/>
    <w:rsid w:val="00EC0C43"/>
    <w:rsid w:val="00EC4EE6"/>
    <w:rsid w:val="00EC505D"/>
    <w:rsid w:val="00ED3316"/>
    <w:rsid w:val="00ED7C41"/>
    <w:rsid w:val="00EE1F09"/>
    <w:rsid w:val="00EE73A5"/>
    <w:rsid w:val="00EF285F"/>
    <w:rsid w:val="00EF5802"/>
    <w:rsid w:val="00F00CFC"/>
    <w:rsid w:val="00F12735"/>
    <w:rsid w:val="00F12D76"/>
    <w:rsid w:val="00F20238"/>
    <w:rsid w:val="00F24BAD"/>
    <w:rsid w:val="00F30562"/>
    <w:rsid w:val="00F3394C"/>
    <w:rsid w:val="00F35203"/>
    <w:rsid w:val="00F373A3"/>
    <w:rsid w:val="00F40212"/>
    <w:rsid w:val="00F40376"/>
    <w:rsid w:val="00F417D4"/>
    <w:rsid w:val="00F4660F"/>
    <w:rsid w:val="00F5627B"/>
    <w:rsid w:val="00F573EC"/>
    <w:rsid w:val="00F662BC"/>
    <w:rsid w:val="00F67EB9"/>
    <w:rsid w:val="00F7094F"/>
    <w:rsid w:val="00F71B67"/>
    <w:rsid w:val="00F7498C"/>
    <w:rsid w:val="00F74B9F"/>
    <w:rsid w:val="00F7614D"/>
    <w:rsid w:val="00F8258F"/>
    <w:rsid w:val="00F8286E"/>
    <w:rsid w:val="00F82C39"/>
    <w:rsid w:val="00F847A3"/>
    <w:rsid w:val="00F847C9"/>
    <w:rsid w:val="00F84AD9"/>
    <w:rsid w:val="00F859B9"/>
    <w:rsid w:val="00F864C8"/>
    <w:rsid w:val="00F901D4"/>
    <w:rsid w:val="00F901F3"/>
    <w:rsid w:val="00F9149A"/>
    <w:rsid w:val="00F932CD"/>
    <w:rsid w:val="00F93B82"/>
    <w:rsid w:val="00F9485D"/>
    <w:rsid w:val="00F94FB4"/>
    <w:rsid w:val="00F94FB5"/>
    <w:rsid w:val="00FA0436"/>
    <w:rsid w:val="00FA28F9"/>
    <w:rsid w:val="00FA4907"/>
    <w:rsid w:val="00FB1F41"/>
    <w:rsid w:val="00FC23D4"/>
    <w:rsid w:val="00FC6289"/>
    <w:rsid w:val="00FE1385"/>
    <w:rsid w:val="00FE2F8B"/>
    <w:rsid w:val="00FE42D0"/>
    <w:rsid w:val="00FE4BD9"/>
    <w:rsid w:val="00FF00AF"/>
    <w:rsid w:val="00FF3ABE"/>
    <w:rsid w:val="00FF7AB4"/>
    <w:rsid w:val="0A6D56A9"/>
    <w:rsid w:val="202F4CAD"/>
    <w:rsid w:val="22FA153C"/>
    <w:rsid w:val="561455C8"/>
    <w:rsid w:val="5E8D242E"/>
    <w:rsid w:val="61FA594E"/>
    <w:rsid w:val="63BB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A0F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A0F17"/>
    <w:rPr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semiHidden/>
    <w:rsid w:val="004A0F17"/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semiHidden/>
    <w:locked/>
    <w:rsid w:val="004A0F17"/>
    <w:rPr>
      <w:kern w:val="2"/>
    </w:rPr>
  </w:style>
  <w:style w:type="paragraph" w:styleId="a4">
    <w:name w:val="annotation subject"/>
    <w:basedOn w:val="a3"/>
    <w:next w:val="a3"/>
    <w:link w:val="Char0"/>
    <w:uiPriority w:val="99"/>
    <w:semiHidden/>
    <w:rsid w:val="004A0F17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4A0F17"/>
    <w:rPr>
      <w:b/>
      <w:bCs/>
      <w:kern w:val="2"/>
    </w:rPr>
  </w:style>
  <w:style w:type="paragraph" w:styleId="a5">
    <w:name w:val="Balloon Text"/>
    <w:basedOn w:val="a"/>
    <w:link w:val="Char1"/>
    <w:uiPriority w:val="99"/>
    <w:semiHidden/>
    <w:rsid w:val="004A0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A0F1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4A0F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4A0F17"/>
    <w:rPr>
      <w:sz w:val="18"/>
      <w:szCs w:val="18"/>
    </w:rPr>
  </w:style>
  <w:style w:type="paragraph" w:styleId="a7">
    <w:name w:val="header"/>
    <w:basedOn w:val="a"/>
    <w:link w:val="Char3"/>
    <w:uiPriority w:val="99"/>
    <w:rsid w:val="004A0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4A0F17"/>
    <w:rPr>
      <w:sz w:val="18"/>
      <w:szCs w:val="18"/>
    </w:rPr>
  </w:style>
  <w:style w:type="paragraph" w:styleId="10">
    <w:name w:val="toc 1"/>
    <w:basedOn w:val="a"/>
    <w:next w:val="a"/>
    <w:autoRedefine/>
    <w:uiPriority w:val="99"/>
    <w:semiHidden/>
    <w:rsid w:val="004A0F17"/>
  </w:style>
  <w:style w:type="character" w:styleId="a8">
    <w:name w:val="Hyperlink"/>
    <w:basedOn w:val="a0"/>
    <w:uiPriority w:val="99"/>
    <w:rsid w:val="004A0F17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4A0F17"/>
    <w:rPr>
      <w:sz w:val="16"/>
      <w:szCs w:val="16"/>
    </w:rPr>
  </w:style>
  <w:style w:type="paragraph" w:customStyle="1" w:styleId="TOC1">
    <w:name w:val="TOC 标题1"/>
    <w:basedOn w:val="1"/>
    <w:next w:val="a"/>
    <w:uiPriority w:val="99"/>
    <w:rsid w:val="004A0F17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-11">
    <w:name w:val="彩色底纹 - 强调文字颜色 11"/>
    <w:hidden/>
    <w:uiPriority w:val="99"/>
    <w:rsid w:val="004A0F17"/>
    <w:rPr>
      <w:szCs w:val="21"/>
    </w:rPr>
  </w:style>
  <w:style w:type="paragraph" w:styleId="aa">
    <w:name w:val="Revision"/>
    <w:hidden/>
    <w:uiPriority w:val="99"/>
    <w:semiHidden/>
    <w:rsid w:val="00420F8A"/>
    <w:rPr>
      <w:szCs w:val="21"/>
    </w:rPr>
  </w:style>
  <w:style w:type="character" w:customStyle="1" w:styleId="hvr">
    <w:name w:val="hvr"/>
    <w:basedOn w:val="a0"/>
    <w:rsid w:val="000954B4"/>
  </w:style>
  <w:style w:type="character" w:customStyle="1" w:styleId="illustration1">
    <w:name w:val="illustration1"/>
    <w:basedOn w:val="a0"/>
    <w:rsid w:val="000954B4"/>
    <w:rPr>
      <w:i/>
      <w:iCs/>
      <w:color w:val="966A00"/>
    </w:rPr>
  </w:style>
  <w:style w:type="paragraph" w:styleId="ab">
    <w:name w:val="List Paragraph"/>
    <w:basedOn w:val="a"/>
    <w:uiPriority w:val="34"/>
    <w:qFormat/>
    <w:rsid w:val="00CE19D7"/>
    <w:pPr>
      <w:ind w:firstLineChars="200" w:firstLine="420"/>
    </w:pPr>
  </w:style>
  <w:style w:type="character" w:styleId="ac">
    <w:name w:val="Strong"/>
    <w:basedOn w:val="a0"/>
    <w:uiPriority w:val="22"/>
    <w:qFormat/>
    <w:locked/>
    <w:rsid w:val="00C66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A0F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A0F17"/>
    <w:rPr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semiHidden/>
    <w:rsid w:val="004A0F17"/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semiHidden/>
    <w:locked/>
    <w:rsid w:val="004A0F17"/>
    <w:rPr>
      <w:kern w:val="2"/>
    </w:rPr>
  </w:style>
  <w:style w:type="paragraph" w:styleId="a4">
    <w:name w:val="annotation subject"/>
    <w:basedOn w:val="a3"/>
    <w:next w:val="a3"/>
    <w:link w:val="Char0"/>
    <w:uiPriority w:val="99"/>
    <w:semiHidden/>
    <w:rsid w:val="004A0F17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4A0F17"/>
    <w:rPr>
      <w:b/>
      <w:bCs/>
      <w:kern w:val="2"/>
    </w:rPr>
  </w:style>
  <w:style w:type="paragraph" w:styleId="a5">
    <w:name w:val="Balloon Text"/>
    <w:basedOn w:val="a"/>
    <w:link w:val="Char1"/>
    <w:uiPriority w:val="99"/>
    <w:semiHidden/>
    <w:rsid w:val="004A0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A0F1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4A0F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4A0F17"/>
    <w:rPr>
      <w:sz w:val="18"/>
      <w:szCs w:val="18"/>
    </w:rPr>
  </w:style>
  <w:style w:type="paragraph" w:styleId="a7">
    <w:name w:val="header"/>
    <w:basedOn w:val="a"/>
    <w:link w:val="Char3"/>
    <w:uiPriority w:val="99"/>
    <w:rsid w:val="004A0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4A0F17"/>
    <w:rPr>
      <w:sz w:val="18"/>
      <w:szCs w:val="18"/>
    </w:rPr>
  </w:style>
  <w:style w:type="paragraph" w:styleId="10">
    <w:name w:val="toc 1"/>
    <w:basedOn w:val="a"/>
    <w:next w:val="a"/>
    <w:autoRedefine/>
    <w:uiPriority w:val="99"/>
    <w:semiHidden/>
    <w:rsid w:val="004A0F17"/>
  </w:style>
  <w:style w:type="character" w:styleId="a8">
    <w:name w:val="Hyperlink"/>
    <w:basedOn w:val="a0"/>
    <w:uiPriority w:val="99"/>
    <w:rsid w:val="004A0F17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4A0F17"/>
    <w:rPr>
      <w:sz w:val="16"/>
      <w:szCs w:val="16"/>
    </w:rPr>
  </w:style>
  <w:style w:type="paragraph" w:customStyle="1" w:styleId="TOC1">
    <w:name w:val="TOC 标题1"/>
    <w:basedOn w:val="1"/>
    <w:next w:val="a"/>
    <w:uiPriority w:val="99"/>
    <w:rsid w:val="004A0F17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-11">
    <w:name w:val="彩色底纹 - 强调文字颜色 11"/>
    <w:hidden/>
    <w:uiPriority w:val="99"/>
    <w:rsid w:val="004A0F17"/>
    <w:rPr>
      <w:szCs w:val="21"/>
    </w:rPr>
  </w:style>
  <w:style w:type="paragraph" w:styleId="aa">
    <w:name w:val="Revision"/>
    <w:hidden/>
    <w:uiPriority w:val="99"/>
    <w:semiHidden/>
    <w:rsid w:val="00420F8A"/>
    <w:rPr>
      <w:szCs w:val="21"/>
    </w:rPr>
  </w:style>
  <w:style w:type="character" w:customStyle="1" w:styleId="hvr">
    <w:name w:val="hvr"/>
    <w:basedOn w:val="a0"/>
    <w:rsid w:val="000954B4"/>
  </w:style>
  <w:style w:type="character" w:customStyle="1" w:styleId="illustration1">
    <w:name w:val="illustration1"/>
    <w:basedOn w:val="a0"/>
    <w:rsid w:val="000954B4"/>
    <w:rPr>
      <w:i/>
      <w:iCs/>
      <w:color w:val="966A00"/>
    </w:rPr>
  </w:style>
  <w:style w:type="paragraph" w:styleId="ab">
    <w:name w:val="List Paragraph"/>
    <w:basedOn w:val="a"/>
    <w:uiPriority w:val="34"/>
    <w:qFormat/>
    <w:rsid w:val="00CE19D7"/>
    <w:pPr>
      <w:ind w:firstLineChars="200" w:firstLine="420"/>
    </w:pPr>
  </w:style>
  <w:style w:type="character" w:styleId="ac">
    <w:name w:val="Strong"/>
    <w:basedOn w:val="a0"/>
    <w:uiPriority w:val="22"/>
    <w:qFormat/>
    <w:locked/>
    <w:rsid w:val="00C66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820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2670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89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1251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66959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979852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F944-E1EB-436C-B337-755879BF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Futures Trading Participant Eligibility Management Rules of the Shanghai International Energy Exchange</vt:lpstr>
    </vt:vector>
  </TitlesOfParts>
  <Company>SHFE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Futures Trading Participant Eligibility Management Rules of the Shanghai International Energy Exchange</dc:title>
  <dc:creator>张玲娟</dc:creator>
  <cp:lastModifiedBy>夏菁</cp:lastModifiedBy>
  <cp:revision>16</cp:revision>
  <cp:lastPrinted>2017-05-12T09:36:00Z</cp:lastPrinted>
  <dcterms:created xsi:type="dcterms:W3CDTF">2017-05-12T03:14:00Z</dcterms:created>
  <dcterms:modified xsi:type="dcterms:W3CDTF">2017-05-12T09:36:00Z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