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3D" w:rsidRDefault="001A5E3D" w:rsidP="001A5E3D">
      <w:pPr>
        <w:widowControl/>
        <w:spacing w:before="156" w:after="156"/>
        <w:jc w:val="left"/>
        <w:rPr>
          <w:rFonts w:ascii="仿宋_GB2312" w:eastAsia="仿宋_GB2312"/>
          <w:spacing w:val="10"/>
          <w:sz w:val="28"/>
          <w:szCs w:val="28"/>
        </w:rPr>
      </w:pPr>
      <w:r>
        <w:rPr>
          <w:rFonts w:ascii="仿宋_GB2312" w:eastAsia="仿宋_GB2312" w:hint="eastAsia"/>
          <w:spacing w:val="10"/>
          <w:sz w:val="28"/>
          <w:szCs w:val="28"/>
        </w:rPr>
        <w:t>附件1</w:t>
      </w:r>
    </w:p>
    <w:p w:rsidR="001A5E3D" w:rsidRPr="00F177D3" w:rsidRDefault="001A5E3D" w:rsidP="001A5E3D">
      <w:pPr>
        <w:widowControl/>
        <w:spacing w:before="156" w:after="156"/>
        <w:jc w:val="center"/>
        <w:rPr>
          <w:rFonts w:ascii="仿宋" w:eastAsia="仿宋" w:hAnsi="仿宋"/>
          <w:b/>
          <w:kern w:val="0"/>
          <w:sz w:val="28"/>
          <w:szCs w:val="28"/>
        </w:rPr>
      </w:pPr>
      <w:r w:rsidRPr="00F177D3">
        <w:rPr>
          <w:rFonts w:ascii="仿宋" w:eastAsia="仿宋" w:hAnsi="仿宋"/>
          <w:b/>
          <w:kern w:val="0"/>
          <w:sz w:val="28"/>
          <w:szCs w:val="28"/>
        </w:rPr>
        <w:t>境外交易者、境外经纪机构从事境内特定品种期货交易相关外汇账户收支范围</w:t>
      </w:r>
    </w:p>
    <w:tbl>
      <w:tblPr>
        <w:tblStyle w:val="4"/>
        <w:tblW w:w="0" w:type="auto"/>
        <w:tblLook w:val="04A0"/>
      </w:tblPr>
      <w:tblGrid>
        <w:gridCol w:w="685"/>
        <w:gridCol w:w="547"/>
        <w:gridCol w:w="681"/>
        <w:gridCol w:w="959"/>
        <w:gridCol w:w="1216"/>
        <w:gridCol w:w="9641"/>
      </w:tblGrid>
      <w:tr w:rsidR="001A5E3D" w:rsidRPr="00F177D3" w:rsidTr="00E0688A">
        <w:tc>
          <w:tcPr>
            <w:tcW w:w="714" w:type="dxa"/>
            <w:vAlign w:val="center"/>
          </w:tcPr>
          <w:p w:rsidR="001A5E3D" w:rsidRPr="00F177D3" w:rsidRDefault="001A5E3D" w:rsidP="00E0688A">
            <w:pPr>
              <w:widowControl/>
              <w:spacing w:before="156" w:after="156"/>
              <w:jc w:val="center"/>
              <w:rPr>
                <w:rFonts w:eastAsia="华文仿宋"/>
                <w:b/>
                <w:szCs w:val="20"/>
              </w:rPr>
            </w:pPr>
            <w:r w:rsidRPr="00F177D3">
              <w:rPr>
                <w:rFonts w:eastAsia="华文仿宋" w:hint="eastAsia"/>
                <w:b/>
                <w:szCs w:val="20"/>
              </w:rPr>
              <w:t>序号</w:t>
            </w:r>
          </w:p>
        </w:tc>
        <w:tc>
          <w:tcPr>
            <w:tcW w:w="567" w:type="dxa"/>
            <w:vAlign w:val="center"/>
          </w:tcPr>
          <w:p w:rsidR="001A5E3D" w:rsidRPr="00F177D3" w:rsidRDefault="001A5E3D" w:rsidP="00E0688A">
            <w:pPr>
              <w:widowControl/>
              <w:spacing w:before="156" w:after="156"/>
              <w:jc w:val="center"/>
              <w:rPr>
                <w:rFonts w:eastAsia="华文仿宋"/>
                <w:b/>
                <w:szCs w:val="20"/>
              </w:rPr>
            </w:pPr>
            <w:r w:rsidRPr="00F177D3">
              <w:rPr>
                <w:rFonts w:eastAsia="华文仿宋" w:hint="eastAsia"/>
                <w:b/>
                <w:szCs w:val="20"/>
              </w:rPr>
              <w:t>开户主体</w:t>
            </w:r>
          </w:p>
        </w:tc>
        <w:tc>
          <w:tcPr>
            <w:tcW w:w="709" w:type="dxa"/>
            <w:vAlign w:val="center"/>
          </w:tcPr>
          <w:p w:rsidR="001A5E3D" w:rsidRPr="00F177D3" w:rsidRDefault="001A5E3D" w:rsidP="00E0688A">
            <w:pPr>
              <w:widowControl/>
              <w:spacing w:before="156" w:after="156"/>
              <w:jc w:val="center"/>
              <w:rPr>
                <w:rFonts w:eastAsia="华文仿宋"/>
                <w:b/>
                <w:szCs w:val="20"/>
              </w:rPr>
            </w:pPr>
            <w:r w:rsidRPr="00F177D3">
              <w:rPr>
                <w:rFonts w:eastAsia="华文仿宋" w:hint="eastAsia"/>
                <w:b/>
                <w:szCs w:val="20"/>
              </w:rPr>
              <w:t>账户</w:t>
            </w:r>
          </w:p>
        </w:tc>
        <w:tc>
          <w:tcPr>
            <w:tcW w:w="992" w:type="dxa"/>
            <w:vAlign w:val="center"/>
          </w:tcPr>
          <w:p w:rsidR="001A5E3D" w:rsidRPr="00F177D3" w:rsidRDefault="001A5E3D" w:rsidP="00E0688A">
            <w:pPr>
              <w:widowControl/>
              <w:spacing w:before="156" w:after="156"/>
              <w:jc w:val="center"/>
              <w:rPr>
                <w:rFonts w:eastAsia="华文仿宋"/>
                <w:b/>
                <w:szCs w:val="20"/>
              </w:rPr>
            </w:pPr>
            <w:r w:rsidRPr="00F177D3">
              <w:rPr>
                <w:rFonts w:eastAsia="华文仿宋" w:hint="eastAsia"/>
                <w:b/>
                <w:szCs w:val="20"/>
              </w:rPr>
              <w:t>账户性质代码</w:t>
            </w:r>
          </w:p>
        </w:tc>
        <w:tc>
          <w:tcPr>
            <w:tcW w:w="1276" w:type="dxa"/>
            <w:vAlign w:val="center"/>
          </w:tcPr>
          <w:p w:rsidR="001A5E3D" w:rsidRPr="00F177D3" w:rsidRDefault="001A5E3D" w:rsidP="00E0688A">
            <w:pPr>
              <w:widowControl/>
              <w:spacing w:before="156" w:after="156"/>
              <w:jc w:val="center"/>
              <w:rPr>
                <w:rFonts w:eastAsia="华文仿宋"/>
                <w:b/>
                <w:szCs w:val="20"/>
              </w:rPr>
            </w:pPr>
            <w:r w:rsidRPr="00F177D3">
              <w:rPr>
                <w:rFonts w:eastAsia="华文仿宋" w:hint="eastAsia"/>
                <w:b/>
                <w:szCs w:val="20"/>
              </w:rPr>
              <w:t>账户性质代码名称</w:t>
            </w:r>
          </w:p>
        </w:tc>
        <w:tc>
          <w:tcPr>
            <w:tcW w:w="10192" w:type="dxa"/>
            <w:vAlign w:val="center"/>
          </w:tcPr>
          <w:p w:rsidR="001A5E3D" w:rsidRPr="00F177D3" w:rsidRDefault="001A5E3D" w:rsidP="00E0688A">
            <w:pPr>
              <w:widowControl/>
              <w:spacing w:before="156" w:after="156"/>
              <w:jc w:val="center"/>
              <w:rPr>
                <w:rFonts w:eastAsia="华文仿宋"/>
                <w:b/>
                <w:szCs w:val="20"/>
              </w:rPr>
            </w:pPr>
            <w:r w:rsidRPr="00F177D3">
              <w:rPr>
                <w:rFonts w:eastAsia="华文仿宋" w:hint="eastAsia"/>
                <w:b/>
                <w:szCs w:val="20"/>
              </w:rPr>
              <w:t>收支范围</w:t>
            </w:r>
          </w:p>
        </w:tc>
      </w:tr>
      <w:tr w:rsidR="001A5E3D" w:rsidRPr="00F177D3" w:rsidTr="00E0688A">
        <w:trPr>
          <w:trHeight w:val="1226"/>
        </w:trPr>
        <w:tc>
          <w:tcPr>
            <w:tcW w:w="714" w:type="dxa"/>
            <w:vAlign w:val="center"/>
          </w:tcPr>
          <w:p w:rsidR="001A5E3D" w:rsidRPr="00F177D3" w:rsidRDefault="001A5E3D" w:rsidP="00E0688A">
            <w:pPr>
              <w:widowControl/>
              <w:spacing w:before="156" w:after="156" w:line="320" w:lineRule="exact"/>
              <w:jc w:val="center"/>
              <w:rPr>
                <w:szCs w:val="21"/>
              </w:rPr>
            </w:pPr>
            <w:r w:rsidRPr="00F177D3">
              <w:rPr>
                <w:rFonts w:hint="eastAsia"/>
                <w:szCs w:val="21"/>
              </w:rPr>
              <w:t>1</w:t>
            </w:r>
          </w:p>
        </w:tc>
        <w:tc>
          <w:tcPr>
            <w:tcW w:w="567"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境内期货交易所</w:t>
            </w:r>
          </w:p>
        </w:tc>
        <w:tc>
          <w:tcPr>
            <w:tcW w:w="709"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外汇专用结算账户</w:t>
            </w:r>
          </w:p>
        </w:tc>
        <w:tc>
          <w:tcPr>
            <w:tcW w:w="992"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2417</w:t>
            </w:r>
          </w:p>
        </w:tc>
        <w:tc>
          <w:tcPr>
            <w:tcW w:w="1276"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资本项目</w:t>
            </w:r>
            <w:r w:rsidRPr="00F177D3">
              <w:rPr>
                <w:rFonts w:eastAsia="仿宋" w:hint="eastAsia"/>
                <w:w w:val="99"/>
                <w:szCs w:val="20"/>
              </w:rPr>
              <w:t>-</w:t>
            </w:r>
            <w:r w:rsidRPr="00F177D3">
              <w:rPr>
                <w:rFonts w:eastAsia="仿宋" w:hint="eastAsia"/>
                <w:w w:val="99"/>
                <w:szCs w:val="20"/>
              </w:rPr>
              <w:t>非银行金融机构客户资金账户</w:t>
            </w:r>
          </w:p>
        </w:tc>
        <w:tc>
          <w:tcPr>
            <w:tcW w:w="10192" w:type="dxa"/>
            <w:vAlign w:val="center"/>
          </w:tcPr>
          <w:p w:rsidR="001A5E3D" w:rsidRPr="00F177D3" w:rsidRDefault="001A5E3D" w:rsidP="00E0688A">
            <w:pPr>
              <w:widowControl/>
              <w:spacing w:before="156" w:after="156" w:line="240" w:lineRule="exact"/>
              <w:rPr>
                <w:rFonts w:eastAsia="仿宋"/>
                <w:w w:val="99"/>
                <w:szCs w:val="20"/>
              </w:rPr>
            </w:pPr>
            <w:r w:rsidRPr="00F177D3">
              <w:rPr>
                <w:rFonts w:eastAsia="仿宋" w:hint="eastAsia"/>
                <w:b/>
                <w:w w:val="99"/>
                <w:szCs w:val="20"/>
              </w:rPr>
              <w:t>收入：</w:t>
            </w:r>
            <w:r w:rsidRPr="00F177D3">
              <w:rPr>
                <w:rFonts w:eastAsia="仿宋" w:hint="eastAsia"/>
                <w:w w:val="99"/>
                <w:szCs w:val="20"/>
              </w:rPr>
              <w:t>1</w:t>
            </w:r>
            <w:r w:rsidRPr="00F177D3">
              <w:rPr>
                <w:rFonts w:eastAsia="仿宋" w:hint="eastAsia"/>
                <w:w w:val="99"/>
                <w:szCs w:val="20"/>
              </w:rPr>
              <w:t>、具有结算资格的期货公司或其他机构外汇保证金专用账户划入的外汇资金；</w:t>
            </w:r>
            <w:r w:rsidRPr="00F177D3">
              <w:rPr>
                <w:rFonts w:eastAsia="仿宋" w:hint="eastAsia"/>
                <w:w w:val="99"/>
                <w:szCs w:val="20"/>
              </w:rPr>
              <w:t>2</w:t>
            </w:r>
            <w:r w:rsidRPr="00F177D3">
              <w:rPr>
                <w:rFonts w:eastAsia="仿宋" w:hint="eastAsia"/>
                <w:w w:val="99"/>
                <w:szCs w:val="20"/>
              </w:rPr>
              <w:t>、从其在其他存管银行开立的同名外汇专用结算账户汇入的外汇资金；</w:t>
            </w:r>
            <w:r w:rsidRPr="00F177D3">
              <w:rPr>
                <w:rFonts w:eastAsia="仿宋" w:hint="eastAsia"/>
                <w:w w:val="99"/>
                <w:szCs w:val="20"/>
              </w:rPr>
              <w:t>3</w:t>
            </w:r>
            <w:r w:rsidRPr="00F177D3">
              <w:rPr>
                <w:rFonts w:eastAsia="仿宋" w:hint="eastAsia"/>
                <w:w w:val="99"/>
                <w:szCs w:val="20"/>
              </w:rPr>
              <w:t>、账户利息收入；</w:t>
            </w:r>
            <w:r w:rsidRPr="00F177D3">
              <w:rPr>
                <w:rFonts w:eastAsia="仿宋" w:hint="eastAsia"/>
                <w:w w:val="99"/>
                <w:szCs w:val="20"/>
              </w:rPr>
              <w:t>4</w:t>
            </w:r>
            <w:r w:rsidRPr="00F177D3">
              <w:rPr>
                <w:rFonts w:eastAsia="仿宋" w:hint="eastAsia"/>
                <w:w w:val="99"/>
                <w:szCs w:val="20"/>
              </w:rPr>
              <w:t>、国家外汇管理局许可的其他收入。</w:t>
            </w:r>
          </w:p>
          <w:p w:rsidR="001A5E3D" w:rsidRPr="00F177D3" w:rsidRDefault="001A5E3D" w:rsidP="00E0688A">
            <w:pPr>
              <w:widowControl/>
              <w:spacing w:before="156" w:after="156" w:line="240" w:lineRule="exact"/>
              <w:rPr>
                <w:rFonts w:eastAsia="方正仿宋简体"/>
                <w:w w:val="99"/>
                <w:szCs w:val="20"/>
              </w:rPr>
            </w:pPr>
            <w:r w:rsidRPr="00F177D3">
              <w:rPr>
                <w:rFonts w:eastAsia="仿宋" w:hint="eastAsia"/>
                <w:b/>
                <w:w w:val="99"/>
                <w:szCs w:val="20"/>
              </w:rPr>
              <w:t>支出：</w:t>
            </w:r>
            <w:r w:rsidRPr="00F177D3">
              <w:rPr>
                <w:rFonts w:eastAsia="仿宋" w:hint="eastAsia"/>
                <w:w w:val="99"/>
                <w:szCs w:val="20"/>
              </w:rPr>
              <w:t>1</w:t>
            </w:r>
            <w:r w:rsidRPr="00F177D3">
              <w:rPr>
                <w:rFonts w:eastAsia="仿宋" w:hint="eastAsia"/>
                <w:w w:val="99"/>
                <w:szCs w:val="20"/>
              </w:rPr>
              <w:t>、</w:t>
            </w:r>
            <w:proofErr w:type="gramStart"/>
            <w:r w:rsidRPr="00F177D3">
              <w:rPr>
                <w:rFonts w:eastAsia="仿宋" w:hint="eastAsia"/>
                <w:w w:val="99"/>
                <w:szCs w:val="20"/>
              </w:rPr>
              <w:t>划往具有</w:t>
            </w:r>
            <w:proofErr w:type="gramEnd"/>
            <w:r w:rsidRPr="00F177D3">
              <w:rPr>
                <w:rFonts w:eastAsia="仿宋" w:hint="eastAsia"/>
                <w:w w:val="99"/>
                <w:szCs w:val="20"/>
              </w:rPr>
              <w:t>结算资格的期货公司或其他机构外汇保证金专用账户的外汇资金；</w:t>
            </w:r>
            <w:r w:rsidRPr="00F177D3">
              <w:rPr>
                <w:rFonts w:eastAsia="仿宋" w:hint="eastAsia"/>
                <w:w w:val="99"/>
                <w:szCs w:val="20"/>
              </w:rPr>
              <w:t xml:space="preserve"> 2</w:t>
            </w:r>
            <w:r w:rsidRPr="00F177D3">
              <w:rPr>
                <w:rFonts w:eastAsia="仿宋" w:hint="eastAsia"/>
                <w:w w:val="99"/>
                <w:szCs w:val="20"/>
              </w:rPr>
              <w:t>、汇往其在其他存管银行开立的同名外汇专用结算账户的外汇资金；</w:t>
            </w:r>
            <w:r w:rsidRPr="00F177D3">
              <w:rPr>
                <w:rFonts w:eastAsia="仿宋" w:hint="eastAsia"/>
                <w:w w:val="99"/>
                <w:szCs w:val="20"/>
              </w:rPr>
              <w:t>3</w:t>
            </w:r>
            <w:r w:rsidRPr="00F177D3">
              <w:rPr>
                <w:rFonts w:eastAsia="仿宋" w:hint="eastAsia"/>
                <w:w w:val="99"/>
                <w:szCs w:val="20"/>
              </w:rPr>
              <w:t>、账户相关手续费支出；</w:t>
            </w:r>
            <w:r w:rsidRPr="00F177D3">
              <w:rPr>
                <w:rFonts w:eastAsia="仿宋" w:hint="eastAsia"/>
                <w:w w:val="99"/>
                <w:szCs w:val="20"/>
              </w:rPr>
              <w:t>4</w:t>
            </w:r>
            <w:r w:rsidRPr="00F177D3">
              <w:rPr>
                <w:rFonts w:eastAsia="仿宋" w:hint="eastAsia"/>
                <w:w w:val="99"/>
                <w:szCs w:val="20"/>
              </w:rPr>
              <w:t>、期货交易相关税费支出；</w:t>
            </w:r>
            <w:r w:rsidRPr="00F177D3">
              <w:rPr>
                <w:rFonts w:eastAsia="仿宋" w:hint="eastAsia"/>
                <w:w w:val="99"/>
                <w:szCs w:val="20"/>
              </w:rPr>
              <w:t>5</w:t>
            </w:r>
            <w:r w:rsidRPr="00F177D3">
              <w:rPr>
                <w:rFonts w:eastAsia="仿宋" w:hint="eastAsia"/>
                <w:w w:val="99"/>
                <w:szCs w:val="20"/>
              </w:rPr>
              <w:t>、国家外汇管理局许可的其他支出。</w:t>
            </w:r>
          </w:p>
        </w:tc>
      </w:tr>
      <w:tr w:rsidR="001A5E3D" w:rsidRPr="00F177D3" w:rsidTr="00E0688A">
        <w:tc>
          <w:tcPr>
            <w:tcW w:w="714" w:type="dxa"/>
            <w:vAlign w:val="center"/>
          </w:tcPr>
          <w:p w:rsidR="001A5E3D" w:rsidRPr="00F177D3" w:rsidRDefault="001A5E3D" w:rsidP="00E0688A">
            <w:pPr>
              <w:widowControl/>
              <w:spacing w:before="156" w:after="156" w:line="320" w:lineRule="exact"/>
              <w:jc w:val="center"/>
              <w:rPr>
                <w:szCs w:val="21"/>
              </w:rPr>
            </w:pPr>
            <w:r w:rsidRPr="00F177D3">
              <w:rPr>
                <w:rFonts w:hint="eastAsia"/>
                <w:szCs w:val="21"/>
              </w:rPr>
              <w:t>2</w:t>
            </w:r>
          </w:p>
        </w:tc>
        <w:tc>
          <w:tcPr>
            <w:tcW w:w="567"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具有结算资格的期货公司或其他机构</w:t>
            </w:r>
          </w:p>
        </w:tc>
        <w:tc>
          <w:tcPr>
            <w:tcW w:w="709"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外汇保证金专用账户</w:t>
            </w:r>
          </w:p>
        </w:tc>
        <w:tc>
          <w:tcPr>
            <w:tcW w:w="992"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2417</w:t>
            </w:r>
          </w:p>
        </w:tc>
        <w:tc>
          <w:tcPr>
            <w:tcW w:w="1276"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资本项目</w:t>
            </w:r>
            <w:r w:rsidRPr="00F177D3">
              <w:rPr>
                <w:rFonts w:eastAsia="仿宋" w:hint="eastAsia"/>
                <w:w w:val="99"/>
                <w:szCs w:val="20"/>
              </w:rPr>
              <w:t>-</w:t>
            </w:r>
            <w:r w:rsidRPr="00F177D3">
              <w:rPr>
                <w:rFonts w:eastAsia="仿宋" w:hint="eastAsia"/>
                <w:w w:val="99"/>
                <w:szCs w:val="20"/>
              </w:rPr>
              <w:t>非银行金融机构客户资金账户</w:t>
            </w:r>
          </w:p>
        </w:tc>
        <w:tc>
          <w:tcPr>
            <w:tcW w:w="10192" w:type="dxa"/>
            <w:vAlign w:val="center"/>
          </w:tcPr>
          <w:p w:rsidR="001A5E3D" w:rsidRPr="00F177D3" w:rsidRDefault="001A5E3D" w:rsidP="00E0688A">
            <w:pPr>
              <w:widowControl/>
              <w:spacing w:before="156" w:after="156" w:line="240" w:lineRule="exact"/>
              <w:rPr>
                <w:rFonts w:eastAsia="仿宋"/>
                <w:w w:val="99"/>
                <w:szCs w:val="20"/>
              </w:rPr>
            </w:pPr>
            <w:r w:rsidRPr="00F177D3">
              <w:rPr>
                <w:rFonts w:eastAsia="仿宋" w:hint="eastAsia"/>
                <w:b/>
                <w:w w:val="99"/>
                <w:szCs w:val="20"/>
              </w:rPr>
              <w:t>收入：</w:t>
            </w:r>
            <w:r w:rsidRPr="00F177D3">
              <w:rPr>
                <w:rFonts w:eastAsia="仿宋" w:hint="eastAsia"/>
                <w:w w:val="99"/>
                <w:szCs w:val="20"/>
              </w:rPr>
              <w:t>1</w:t>
            </w:r>
            <w:r w:rsidRPr="00F177D3">
              <w:rPr>
                <w:rFonts w:eastAsia="仿宋" w:hint="eastAsia"/>
                <w:w w:val="99"/>
                <w:szCs w:val="20"/>
              </w:rPr>
              <w:t>、从境外交易者、境外经纪机构外汇专用期货结算账户汇入的外汇资金；</w:t>
            </w:r>
            <w:r w:rsidRPr="00F177D3">
              <w:rPr>
                <w:rFonts w:eastAsia="仿宋" w:hint="eastAsia"/>
                <w:w w:val="99"/>
                <w:szCs w:val="20"/>
              </w:rPr>
              <w:t>2</w:t>
            </w:r>
            <w:r w:rsidRPr="00F177D3">
              <w:rPr>
                <w:rFonts w:eastAsia="仿宋" w:hint="eastAsia"/>
                <w:w w:val="99"/>
                <w:szCs w:val="20"/>
              </w:rPr>
              <w:t>、从其在其他存管银行开立的同名外汇保证金专用账户汇入的外汇资金；</w:t>
            </w:r>
            <w:r w:rsidRPr="00F177D3">
              <w:rPr>
                <w:rFonts w:eastAsia="仿宋" w:hint="eastAsia"/>
                <w:w w:val="99"/>
                <w:szCs w:val="20"/>
              </w:rPr>
              <w:t>3</w:t>
            </w:r>
            <w:r w:rsidRPr="00F177D3">
              <w:rPr>
                <w:rFonts w:eastAsia="仿宋" w:hint="eastAsia"/>
                <w:w w:val="99"/>
                <w:szCs w:val="20"/>
              </w:rPr>
              <w:t>、从期货交易所外汇专用结算账户汇入的外汇资金；</w:t>
            </w:r>
            <w:r w:rsidRPr="00F177D3">
              <w:rPr>
                <w:rFonts w:eastAsia="仿宋" w:hint="eastAsia"/>
                <w:w w:val="99"/>
                <w:szCs w:val="20"/>
              </w:rPr>
              <w:t>4</w:t>
            </w:r>
            <w:r w:rsidRPr="00F177D3">
              <w:rPr>
                <w:rFonts w:eastAsia="仿宋" w:hint="eastAsia"/>
                <w:w w:val="99"/>
                <w:szCs w:val="20"/>
              </w:rPr>
              <w:t>、根据境外交易者、境外经纪机构盈利选择情况进行购汇的收入；</w:t>
            </w:r>
            <w:r w:rsidRPr="00F177D3">
              <w:rPr>
                <w:rFonts w:eastAsia="仿宋" w:hint="eastAsia"/>
                <w:w w:val="99"/>
                <w:szCs w:val="20"/>
              </w:rPr>
              <w:t>5</w:t>
            </w:r>
            <w:r w:rsidRPr="00F177D3">
              <w:rPr>
                <w:rFonts w:eastAsia="仿宋" w:hint="eastAsia"/>
                <w:w w:val="99"/>
                <w:szCs w:val="20"/>
              </w:rPr>
              <w:t>、账户利息收入；</w:t>
            </w:r>
            <w:r w:rsidRPr="00F177D3">
              <w:rPr>
                <w:rFonts w:eastAsia="仿宋" w:hint="eastAsia"/>
                <w:w w:val="99"/>
                <w:szCs w:val="20"/>
              </w:rPr>
              <w:t>6</w:t>
            </w:r>
            <w:r w:rsidRPr="00F177D3">
              <w:rPr>
                <w:rFonts w:eastAsia="仿宋" w:hint="eastAsia"/>
                <w:w w:val="99"/>
                <w:szCs w:val="20"/>
              </w:rPr>
              <w:t>、国家外汇管理局许可的其他收入。</w:t>
            </w:r>
          </w:p>
          <w:p w:rsidR="001A5E3D" w:rsidRPr="00F177D3" w:rsidRDefault="001A5E3D" w:rsidP="00E0688A">
            <w:pPr>
              <w:widowControl/>
              <w:spacing w:before="156" w:after="156" w:line="240" w:lineRule="exact"/>
              <w:rPr>
                <w:rFonts w:eastAsia="仿宋"/>
                <w:w w:val="99"/>
                <w:szCs w:val="20"/>
              </w:rPr>
            </w:pPr>
            <w:r w:rsidRPr="00F177D3">
              <w:rPr>
                <w:rFonts w:eastAsia="仿宋" w:hint="eastAsia"/>
                <w:b/>
                <w:w w:val="99"/>
                <w:szCs w:val="20"/>
              </w:rPr>
              <w:t>支出：</w:t>
            </w:r>
            <w:r w:rsidRPr="00F177D3">
              <w:rPr>
                <w:rFonts w:eastAsia="仿宋" w:hint="eastAsia"/>
                <w:w w:val="99"/>
                <w:szCs w:val="20"/>
              </w:rPr>
              <w:t>1</w:t>
            </w:r>
            <w:r w:rsidRPr="00F177D3">
              <w:rPr>
                <w:rFonts w:eastAsia="仿宋" w:hint="eastAsia"/>
                <w:w w:val="99"/>
                <w:szCs w:val="20"/>
              </w:rPr>
              <w:t>、汇往境外交易者、境外经纪机构外汇专用期货结算账户的外汇资金；</w:t>
            </w:r>
            <w:r w:rsidRPr="00F177D3">
              <w:rPr>
                <w:rFonts w:eastAsia="仿宋" w:hint="eastAsia"/>
                <w:w w:val="99"/>
                <w:szCs w:val="20"/>
              </w:rPr>
              <w:t>2</w:t>
            </w:r>
            <w:r w:rsidRPr="00F177D3">
              <w:rPr>
                <w:rFonts w:eastAsia="仿宋" w:hint="eastAsia"/>
                <w:w w:val="99"/>
                <w:szCs w:val="20"/>
              </w:rPr>
              <w:t>、汇往期货交易所外汇专用结算账户的外汇资金；</w:t>
            </w:r>
            <w:r w:rsidRPr="00F177D3">
              <w:rPr>
                <w:rFonts w:eastAsia="仿宋" w:hint="eastAsia"/>
                <w:w w:val="99"/>
                <w:szCs w:val="20"/>
              </w:rPr>
              <w:t>3</w:t>
            </w:r>
            <w:r w:rsidRPr="00F177D3">
              <w:rPr>
                <w:rFonts w:eastAsia="仿宋" w:hint="eastAsia"/>
                <w:w w:val="99"/>
                <w:szCs w:val="20"/>
              </w:rPr>
              <w:t>、汇往其在其他存管银行开立的外汇保证金专用账户的外汇资金；</w:t>
            </w:r>
            <w:r w:rsidRPr="00F177D3">
              <w:rPr>
                <w:rFonts w:eastAsia="仿宋" w:hint="eastAsia"/>
                <w:w w:val="99"/>
                <w:szCs w:val="20"/>
              </w:rPr>
              <w:t>4</w:t>
            </w:r>
            <w:r w:rsidRPr="00F177D3">
              <w:rPr>
                <w:rFonts w:eastAsia="仿宋" w:hint="eastAsia"/>
                <w:w w:val="99"/>
                <w:szCs w:val="20"/>
              </w:rPr>
              <w:t>、根据境外交易者、境外经纪机构结算结果的结汇支出；</w:t>
            </w:r>
            <w:r w:rsidRPr="00F177D3">
              <w:rPr>
                <w:rFonts w:eastAsia="仿宋" w:hint="eastAsia"/>
                <w:w w:val="99"/>
                <w:szCs w:val="20"/>
              </w:rPr>
              <w:t>5</w:t>
            </w:r>
            <w:r w:rsidRPr="00F177D3">
              <w:rPr>
                <w:rFonts w:eastAsia="仿宋" w:hint="eastAsia"/>
                <w:w w:val="99"/>
                <w:szCs w:val="20"/>
              </w:rPr>
              <w:t>、支付期货交易相关税费；</w:t>
            </w:r>
            <w:r w:rsidRPr="00F177D3">
              <w:rPr>
                <w:rFonts w:eastAsia="仿宋" w:hint="eastAsia"/>
                <w:w w:val="99"/>
                <w:szCs w:val="20"/>
              </w:rPr>
              <w:t>6</w:t>
            </w:r>
            <w:r w:rsidRPr="00F177D3">
              <w:rPr>
                <w:rFonts w:eastAsia="仿宋" w:hint="eastAsia"/>
                <w:w w:val="99"/>
                <w:szCs w:val="20"/>
              </w:rPr>
              <w:t>、账户相关手续费支出；</w:t>
            </w:r>
            <w:r w:rsidRPr="00F177D3">
              <w:rPr>
                <w:rFonts w:eastAsia="仿宋" w:hint="eastAsia"/>
                <w:w w:val="99"/>
                <w:szCs w:val="20"/>
              </w:rPr>
              <w:t>7</w:t>
            </w:r>
            <w:r w:rsidRPr="00F177D3">
              <w:rPr>
                <w:rFonts w:eastAsia="仿宋" w:hint="eastAsia"/>
                <w:w w:val="99"/>
                <w:szCs w:val="20"/>
              </w:rPr>
              <w:t>、国家外汇管理局许可的其他支出。</w:t>
            </w:r>
          </w:p>
        </w:tc>
      </w:tr>
      <w:tr w:rsidR="001A5E3D" w:rsidRPr="00F177D3" w:rsidTr="00E0688A">
        <w:trPr>
          <w:trHeight w:val="1611"/>
        </w:trPr>
        <w:tc>
          <w:tcPr>
            <w:tcW w:w="714" w:type="dxa"/>
            <w:vAlign w:val="center"/>
          </w:tcPr>
          <w:p w:rsidR="001A5E3D" w:rsidRPr="00F177D3" w:rsidRDefault="001A5E3D" w:rsidP="00E0688A">
            <w:pPr>
              <w:widowControl/>
              <w:spacing w:before="156" w:after="156" w:line="320" w:lineRule="exact"/>
              <w:jc w:val="center"/>
              <w:rPr>
                <w:szCs w:val="21"/>
              </w:rPr>
            </w:pPr>
            <w:r w:rsidRPr="00F177D3">
              <w:rPr>
                <w:rFonts w:hint="eastAsia"/>
                <w:szCs w:val="21"/>
              </w:rPr>
              <w:t>3</w:t>
            </w:r>
          </w:p>
        </w:tc>
        <w:tc>
          <w:tcPr>
            <w:tcW w:w="567"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境外交易者</w:t>
            </w:r>
          </w:p>
        </w:tc>
        <w:tc>
          <w:tcPr>
            <w:tcW w:w="709"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外汇专用期货结算账户</w:t>
            </w:r>
          </w:p>
        </w:tc>
        <w:tc>
          <w:tcPr>
            <w:tcW w:w="992"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3400</w:t>
            </w:r>
          </w:p>
        </w:tc>
        <w:tc>
          <w:tcPr>
            <w:tcW w:w="1276"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境外机构</w:t>
            </w:r>
            <w:r w:rsidRPr="00F177D3">
              <w:rPr>
                <w:rFonts w:eastAsia="仿宋" w:hint="eastAsia"/>
                <w:w w:val="99"/>
                <w:szCs w:val="20"/>
              </w:rPr>
              <w:t>/</w:t>
            </w:r>
            <w:r w:rsidRPr="00F177D3">
              <w:rPr>
                <w:rFonts w:eastAsia="仿宋" w:hint="eastAsia"/>
                <w:w w:val="99"/>
                <w:szCs w:val="20"/>
              </w:rPr>
              <w:t>个人境内外汇账户</w:t>
            </w:r>
          </w:p>
        </w:tc>
        <w:tc>
          <w:tcPr>
            <w:tcW w:w="10192" w:type="dxa"/>
            <w:vAlign w:val="center"/>
          </w:tcPr>
          <w:p w:rsidR="001A5E3D" w:rsidRPr="00F177D3" w:rsidRDefault="001A5E3D" w:rsidP="00E0688A">
            <w:pPr>
              <w:widowControl/>
              <w:spacing w:before="156" w:after="156" w:line="240" w:lineRule="exact"/>
              <w:rPr>
                <w:rFonts w:eastAsia="仿宋"/>
                <w:w w:val="99"/>
                <w:szCs w:val="20"/>
              </w:rPr>
            </w:pPr>
            <w:r w:rsidRPr="00F177D3">
              <w:rPr>
                <w:rFonts w:eastAsia="仿宋" w:hint="eastAsia"/>
                <w:b/>
                <w:w w:val="99"/>
                <w:szCs w:val="20"/>
              </w:rPr>
              <w:t>收入：</w:t>
            </w:r>
            <w:r w:rsidRPr="00F177D3">
              <w:rPr>
                <w:rFonts w:eastAsia="仿宋" w:hint="eastAsia"/>
                <w:w w:val="99"/>
                <w:szCs w:val="20"/>
              </w:rPr>
              <w:t>1</w:t>
            </w:r>
            <w:r w:rsidRPr="00F177D3">
              <w:rPr>
                <w:rFonts w:eastAsia="仿宋" w:hint="eastAsia"/>
                <w:w w:val="99"/>
                <w:szCs w:val="20"/>
              </w:rPr>
              <w:t>、境外汇入的外汇资金；</w:t>
            </w:r>
            <w:r w:rsidRPr="00F177D3">
              <w:rPr>
                <w:rFonts w:eastAsia="仿宋" w:hint="eastAsia"/>
                <w:w w:val="99"/>
                <w:szCs w:val="20"/>
              </w:rPr>
              <w:t>2</w:t>
            </w:r>
            <w:r w:rsidRPr="00F177D3">
              <w:rPr>
                <w:rFonts w:eastAsia="仿宋" w:hint="eastAsia"/>
                <w:w w:val="99"/>
                <w:szCs w:val="20"/>
              </w:rPr>
              <w:t>、从其在其他存管银行开立的同名外汇专用期货结算账户汇入的外汇资金；</w:t>
            </w:r>
            <w:r w:rsidRPr="00F177D3">
              <w:rPr>
                <w:rFonts w:eastAsia="仿宋" w:hint="eastAsia"/>
                <w:w w:val="99"/>
                <w:szCs w:val="20"/>
              </w:rPr>
              <w:t>3</w:t>
            </w:r>
            <w:r w:rsidRPr="00F177D3">
              <w:rPr>
                <w:rFonts w:eastAsia="仿宋" w:hint="eastAsia"/>
                <w:w w:val="99"/>
                <w:szCs w:val="20"/>
              </w:rPr>
              <w:t>、从具有结算资格的期货公司或其他机构外汇保证金专用账户汇入的外汇资金；</w:t>
            </w:r>
            <w:r w:rsidRPr="00F177D3">
              <w:rPr>
                <w:rFonts w:eastAsia="仿宋" w:hint="eastAsia"/>
                <w:w w:val="99"/>
                <w:szCs w:val="20"/>
              </w:rPr>
              <w:t>4</w:t>
            </w:r>
            <w:r w:rsidRPr="00F177D3">
              <w:rPr>
                <w:rFonts w:eastAsia="仿宋" w:hint="eastAsia"/>
                <w:w w:val="99"/>
                <w:szCs w:val="20"/>
              </w:rPr>
              <w:t>、账户利息收入；</w:t>
            </w:r>
            <w:r w:rsidRPr="00F177D3">
              <w:rPr>
                <w:rFonts w:eastAsia="仿宋" w:hint="eastAsia"/>
                <w:w w:val="99"/>
                <w:szCs w:val="20"/>
              </w:rPr>
              <w:t>5</w:t>
            </w:r>
            <w:r w:rsidRPr="00F177D3">
              <w:rPr>
                <w:rFonts w:eastAsia="仿宋" w:hint="eastAsia"/>
                <w:w w:val="99"/>
                <w:szCs w:val="20"/>
              </w:rPr>
              <w:t>、国家外汇管理局许可的其他收入。</w:t>
            </w:r>
          </w:p>
          <w:p w:rsidR="001A5E3D" w:rsidRPr="00F177D3" w:rsidRDefault="001A5E3D" w:rsidP="00E0688A">
            <w:pPr>
              <w:widowControl/>
              <w:spacing w:before="156" w:after="156" w:line="240" w:lineRule="exact"/>
              <w:rPr>
                <w:b/>
                <w:sz w:val="28"/>
                <w:szCs w:val="20"/>
              </w:rPr>
            </w:pPr>
            <w:r w:rsidRPr="00F177D3">
              <w:rPr>
                <w:rFonts w:eastAsia="仿宋" w:hint="eastAsia"/>
                <w:b/>
                <w:w w:val="99"/>
                <w:szCs w:val="20"/>
              </w:rPr>
              <w:t>支出：</w:t>
            </w:r>
            <w:r w:rsidRPr="00F177D3">
              <w:rPr>
                <w:rFonts w:eastAsia="仿宋" w:hint="eastAsia"/>
                <w:w w:val="99"/>
                <w:szCs w:val="20"/>
              </w:rPr>
              <w:t>1</w:t>
            </w:r>
            <w:r w:rsidRPr="00F177D3">
              <w:rPr>
                <w:rFonts w:eastAsia="仿宋" w:hint="eastAsia"/>
                <w:w w:val="99"/>
                <w:szCs w:val="20"/>
              </w:rPr>
              <w:t>、汇出境外的外汇资金；</w:t>
            </w:r>
            <w:r w:rsidRPr="00F177D3">
              <w:rPr>
                <w:rFonts w:eastAsia="仿宋" w:hint="eastAsia"/>
                <w:w w:val="99"/>
                <w:szCs w:val="20"/>
              </w:rPr>
              <w:t>2</w:t>
            </w:r>
            <w:r w:rsidRPr="00F177D3">
              <w:rPr>
                <w:rFonts w:eastAsia="仿宋" w:hint="eastAsia"/>
                <w:w w:val="99"/>
                <w:szCs w:val="20"/>
              </w:rPr>
              <w:t>、汇往其在其他存管银行开立的同名外汇专用期货结算账户的外汇资金；</w:t>
            </w:r>
            <w:r w:rsidRPr="00F177D3">
              <w:rPr>
                <w:rFonts w:eastAsia="仿宋" w:hint="eastAsia"/>
                <w:w w:val="99"/>
                <w:szCs w:val="20"/>
              </w:rPr>
              <w:t>3</w:t>
            </w:r>
            <w:r w:rsidRPr="00F177D3">
              <w:rPr>
                <w:rFonts w:eastAsia="仿宋" w:hint="eastAsia"/>
                <w:w w:val="99"/>
                <w:szCs w:val="20"/>
              </w:rPr>
              <w:t>、汇往具有结算资格的期货公司或其他机构外汇保证金专用账户的外汇资金；</w:t>
            </w:r>
            <w:r w:rsidRPr="00F177D3">
              <w:rPr>
                <w:rFonts w:eastAsia="仿宋" w:hint="eastAsia"/>
                <w:w w:val="99"/>
                <w:szCs w:val="20"/>
              </w:rPr>
              <w:t>4</w:t>
            </w:r>
            <w:r w:rsidRPr="00F177D3">
              <w:rPr>
                <w:rFonts w:eastAsia="仿宋" w:hint="eastAsia"/>
                <w:w w:val="99"/>
                <w:szCs w:val="20"/>
              </w:rPr>
              <w:t>、支付期货交易相关税费；</w:t>
            </w:r>
            <w:r w:rsidRPr="00F177D3">
              <w:rPr>
                <w:rFonts w:eastAsia="仿宋" w:hint="eastAsia"/>
                <w:w w:val="99"/>
                <w:szCs w:val="20"/>
              </w:rPr>
              <w:t>5</w:t>
            </w:r>
            <w:r w:rsidRPr="00F177D3">
              <w:rPr>
                <w:rFonts w:eastAsia="仿宋" w:hint="eastAsia"/>
                <w:w w:val="99"/>
                <w:szCs w:val="20"/>
              </w:rPr>
              <w:t>、账户</w:t>
            </w:r>
            <w:r w:rsidRPr="00F177D3">
              <w:rPr>
                <w:rFonts w:eastAsia="仿宋" w:hint="eastAsia"/>
                <w:w w:val="99"/>
                <w:szCs w:val="20"/>
              </w:rPr>
              <w:lastRenderedPageBreak/>
              <w:t>相关手续费支出；</w:t>
            </w:r>
            <w:r w:rsidRPr="00F177D3">
              <w:rPr>
                <w:rFonts w:eastAsia="仿宋" w:hint="eastAsia"/>
                <w:w w:val="99"/>
                <w:szCs w:val="20"/>
              </w:rPr>
              <w:t>6</w:t>
            </w:r>
            <w:r w:rsidRPr="00F177D3">
              <w:rPr>
                <w:rFonts w:eastAsia="仿宋" w:hint="eastAsia"/>
                <w:w w:val="99"/>
                <w:szCs w:val="20"/>
              </w:rPr>
              <w:t>、国家外汇管理局许可的其他支出。</w:t>
            </w:r>
          </w:p>
        </w:tc>
      </w:tr>
      <w:tr w:rsidR="001A5E3D" w:rsidRPr="00F177D3" w:rsidTr="00E0688A">
        <w:tc>
          <w:tcPr>
            <w:tcW w:w="714" w:type="dxa"/>
            <w:vAlign w:val="center"/>
          </w:tcPr>
          <w:p w:rsidR="001A5E3D" w:rsidRPr="00F177D3" w:rsidRDefault="001A5E3D" w:rsidP="00E0688A">
            <w:pPr>
              <w:widowControl/>
              <w:spacing w:before="156" w:after="156" w:line="320" w:lineRule="exact"/>
              <w:jc w:val="center"/>
              <w:rPr>
                <w:szCs w:val="21"/>
              </w:rPr>
            </w:pPr>
            <w:r w:rsidRPr="00F177D3">
              <w:rPr>
                <w:rFonts w:hint="eastAsia"/>
                <w:szCs w:val="21"/>
              </w:rPr>
              <w:lastRenderedPageBreak/>
              <w:t>4</w:t>
            </w:r>
          </w:p>
        </w:tc>
        <w:tc>
          <w:tcPr>
            <w:tcW w:w="567"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境外经纪机构</w:t>
            </w:r>
          </w:p>
        </w:tc>
        <w:tc>
          <w:tcPr>
            <w:tcW w:w="709"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外汇专用期货结算账户</w:t>
            </w:r>
          </w:p>
        </w:tc>
        <w:tc>
          <w:tcPr>
            <w:tcW w:w="992"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3400</w:t>
            </w:r>
          </w:p>
        </w:tc>
        <w:tc>
          <w:tcPr>
            <w:tcW w:w="1276" w:type="dxa"/>
            <w:vAlign w:val="center"/>
          </w:tcPr>
          <w:p w:rsidR="001A5E3D" w:rsidRPr="00F177D3" w:rsidRDefault="001A5E3D" w:rsidP="00E0688A">
            <w:pPr>
              <w:widowControl/>
              <w:spacing w:before="156" w:after="156" w:line="240" w:lineRule="exact"/>
              <w:jc w:val="center"/>
              <w:rPr>
                <w:rFonts w:eastAsia="仿宋"/>
                <w:w w:val="99"/>
                <w:szCs w:val="20"/>
              </w:rPr>
            </w:pPr>
            <w:r w:rsidRPr="00F177D3">
              <w:rPr>
                <w:rFonts w:eastAsia="仿宋" w:hint="eastAsia"/>
                <w:w w:val="99"/>
                <w:szCs w:val="20"/>
              </w:rPr>
              <w:t>境外机构</w:t>
            </w:r>
            <w:r w:rsidRPr="00F177D3">
              <w:rPr>
                <w:rFonts w:eastAsia="仿宋" w:hint="eastAsia"/>
                <w:w w:val="99"/>
                <w:szCs w:val="20"/>
              </w:rPr>
              <w:t>/</w:t>
            </w:r>
            <w:r w:rsidRPr="00F177D3">
              <w:rPr>
                <w:rFonts w:eastAsia="仿宋" w:hint="eastAsia"/>
                <w:w w:val="99"/>
                <w:szCs w:val="20"/>
              </w:rPr>
              <w:t>个人境内外汇账户</w:t>
            </w:r>
          </w:p>
        </w:tc>
        <w:tc>
          <w:tcPr>
            <w:tcW w:w="10192" w:type="dxa"/>
            <w:vAlign w:val="center"/>
          </w:tcPr>
          <w:p w:rsidR="001A5E3D" w:rsidRPr="00F177D3" w:rsidRDefault="001A5E3D" w:rsidP="00E0688A">
            <w:pPr>
              <w:widowControl/>
              <w:spacing w:before="156" w:after="156" w:line="240" w:lineRule="exact"/>
              <w:rPr>
                <w:rFonts w:eastAsia="仿宋"/>
                <w:w w:val="99"/>
                <w:szCs w:val="20"/>
              </w:rPr>
            </w:pPr>
            <w:r w:rsidRPr="00F177D3">
              <w:rPr>
                <w:rFonts w:eastAsia="仿宋" w:hint="eastAsia"/>
                <w:b/>
                <w:w w:val="99"/>
                <w:szCs w:val="20"/>
              </w:rPr>
              <w:t>收入：</w:t>
            </w:r>
            <w:r w:rsidRPr="00F177D3">
              <w:rPr>
                <w:rFonts w:eastAsia="仿宋" w:hint="eastAsia"/>
                <w:w w:val="99"/>
                <w:szCs w:val="20"/>
              </w:rPr>
              <w:t>1</w:t>
            </w:r>
            <w:r w:rsidRPr="00F177D3">
              <w:rPr>
                <w:rFonts w:eastAsia="仿宋" w:hint="eastAsia"/>
                <w:w w:val="99"/>
                <w:szCs w:val="20"/>
              </w:rPr>
              <w:t>、接受境外交易者委托从境外汇入的外汇资金；</w:t>
            </w:r>
            <w:r w:rsidRPr="00F177D3">
              <w:rPr>
                <w:rFonts w:eastAsia="仿宋" w:hint="eastAsia"/>
                <w:w w:val="99"/>
                <w:szCs w:val="20"/>
              </w:rPr>
              <w:t>2</w:t>
            </w:r>
            <w:r w:rsidRPr="00F177D3">
              <w:rPr>
                <w:rFonts w:eastAsia="仿宋" w:hint="eastAsia"/>
                <w:w w:val="99"/>
                <w:szCs w:val="20"/>
              </w:rPr>
              <w:t>、从其在其他存管银行开立的同名外汇专用期货结算账户汇入的外汇资金；</w:t>
            </w:r>
            <w:r w:rsidRPr="00F177D3">
              <w:rPr>
                <w:rFonts w:eastAsia="仿宋" w:hint="eastAsia"/>
                <w:w w:val="99"/>
                <w:szCs w:val="20"/>
              </w:rPr>
              <w:t>3</w:t>
            </w:r>
            <w:r w:rsidRPr="00F177D3">
              <w:rPr>
                <w:rFonts w:eastAsia="仿宋" w:hint="eastAsia"/>
                <w:w w:val="99"/>
                <w:szCs w:val="20"/>
              </w:rPr>
              <w:t>、从具有结算资格的期货公司或其他机构外汇保证金专用账户汇入的外汇资金；</w:t>
            </w:r>
            <w:r w:rsidRPr="00F177D3">
              <w:rPr>
                <w:rFonts w:eastAsia="仿宋" w:hint="eastAsia"/>
                <w:w w:val="99"/>
                <w:szCs w:val="20"/>
              </w:rPr>
              <w:t>4</w:t>
            </w:r>
            <w:r w:rsidRPr="00F177D3">
              <w:rPr>
                <w:rFonts w:eastAsia="仿宋" w:hint="eastAsia"/>
                <w:w w:val="99"/>
                <w:szCs w:val="20"/>
              </w:rPr>
              <w:t>、账户利息收入；</w:t>
            </w:r>
            <w:r w:rsidRPr="00F177D3">
              <w:rPr>
                <w:rFonts w:eastAsia="仿宋" w:hint="eastAsia"/>
                <w:w w:val="99"/>
                <w:szCs w:val="20"/>
              </w:rPr>
              <w:t>5</w:t>
            </w:r>
            <w:r w:rsidRPr="00F177D3">
              <w:rPr>
                <w:rFonts w:eastAsia="仿宋" w:hint="eastAsia"/>
                <w:w w:val="99"/>
                <w:szCs w:val="20"/>
              </w:rPr>
              <w:t>、国家外汇管理局许可的其他收入。</w:t>
            </w:r>
          </w:p>
          <w:p w:rsidR="001A5E3D" w:rsidRPr="00F177D3" w:rsidRDefault="001A5E3D" w:rsidP="00E0688A">
            <w:pPr>
              <w:widowControl/>
              <w:spacing w:before="156" w:after="156" w:line="240" w:lineRule="exact"/>
              <w:rPr>
                <w:b/>
                <w:sz w:val="28"/>
                <w:szCs w:val="20"/>
              </w:rPr>
            </w:pPr>
            <w:r w:rsidRPr="00F177D3">
              <w:rPr>
                <w:rFonts w:eastAsia="仿宋" w:hint="eastAsia"/>
                <w:b/>
                <w:w w:val="99"/>
                <w:szCs w:val="20"/>
              </w:rPr>
              <w:t>支出：</w:t>
            </w:r>
            <w:r w:rsidRPr="00F177D3">
              <w:rPr>
                <w:rFonts w:eastAsia="仿宋" w:hint="eastAsia"/>
                <w:w w:val="99"/>
                <w:szCs w:val="20"/>
              </w:rPr>
              <w:t>1</w:t>
            </w:r>
            <w:r w:rsidRPr="00F177D3">
              <w:rPr>
                <w:rFonts w:eastAsia="仿宋" w:hint="eastAsia"/>
                <w:w w:val="99"/>
                <w:szCs w:val="20"/>
              </w:rPr>
              <w:t>、代境外交易者汇出境外的外汇资金；</w:t>
            </w:r>
            <w:r w:rsidRPr="00F177D3">
              <w:rPr>
                <w:rFonts w:eastAsia="仿宋" w:hint="eastAsia"/>
                <w:w w:val="99"/>
                <w:szCs w:val="20"/>
              </w:rPr>
              <w:t>2</w:t>
            </w:r>
            <w:r w:rsidRPr="00F177D3">
              <w:rPr>
                <w:rFonts w:eastAsia="仿宋" w:hint="eastAsia"/>
                <w:w w:val="99"/>
                <w:szCs w:val="20"/>
              </w:rPr>
              <w:t>、汇往其在其他存管银行开立的同名外汇专用期货结算账户的外汇资金；</w:t>
            </w:r>
            <w:r w:rsidRPr="00F177D3">
              <w:rPr>
                <w:rFonts w:eastAsia="仿宋" w:hint="eastAsia"/>
                <w:w w:val="99"/>
                <w:szCs w:val="20"/>
              </w:rPr>
              <w:t>3</w:t>
            </w:r>
            <w:r w:rsidRPr="00F177D3">
              <w:rPr>
                <w:rFonts w:eastAsia="仿宋" w:hint="eastAsia"/>
                <w:w w:val="99"/>
                <w:szCs w:val="20"/>
              </w:rPr>
              <w:t>、汇往具有结算资格的期货公司或其他机构外汇保证金专用账户的外汇资金；</w:t>
            </w:r>
            <w:r w:rsidRPr="00F177D3">
              <w:rPr>
                <w:rFonts w:eastAsia="仿宋" w:hint="eastAsia"/>
                <w:w w:val="99"/>
                <w:szCs w:val="20"/>
              </w:rPr>
              <w:t>4</w:t>
            </w:r>
            <w:r w:rsidRPr="00F177D3">
              <w:rPr>
                <w:rFonts w:eastAsia="仿宋" w:hint="eastAsia"/>
                <w:w w:val="99"/>
                <w:szCs w:val="20"/>
              </w:rPr>
              <w:t>、支付期货交易相关税费；</w:t>
            </w:r>
            <w:r w:rsidRPr="00F177D3">
              <w:rPr>
                <w:rFonts w:eastAsia="仿宋" w:hint="eastAsia"/>
                <w:w w:val="99"/>
                <w:szCs w:val="20"/>
              </w:rPr>
              <w:t>5</w:t>
            </w:r>
            <w:r w:rsidRPr="00F177D3">
              <w:rPr>
                <w:rFonts w:eastAsia="仿宋" w:hint="eastAsia"/>
                <w:w w:val="99"/>
                <w:szCs w:val="20"/>
              </w:rPr>
              <w:t>、账户相关手续费支出；</w:t>
            </w:r>
            <w:r w:rsidRPr="00F177D3">
              <w:rPr>
                <w:rFonts w:eastAsia="仿宋" w:hint="eastAsia"/>
                <w:w w:val="99"/>
                <w:szCs w:val="20"/>
              </w:rPr>
              <w:t>6</w:t>
            </w:r>
            <w:r w:rsidRPr="00F177D3">
              <w:rPr>
                <w:rFonts w:eastAsia="仿宋" w:hint="eastAsia"/>
                <w:w w:val="99"/>
                <w:szCs w:val="20"/>
              </w:rPr>
              <w:t>、国家外汇管理局许可的其他支出。</w:t>
            </w:r>
          </w:p>
        </w:tc>
      </w:tr>
    </w:tbl>
    <w:p w:rsidR="001A5E3D" w:rsidRDefault="001A5E3D" w:rsidP="001A5E3D">
      <w:pPr>
        <w:spacing w:before="156" w:after="156" w:line="480" w:lineRule="exact"/>
        <w:rPr>
          <w:rFonts w:ascii="仿宋_GB2312" w:eastAsia="仿宋_GB2312"/>
          <w:spacing w:val="10"/>
          <w:sz w:val="28"/>
          <w:szCs w:val="28"/>
        </w:rPr>
        <w:sectPr w:rsidR="001A5E3D" w:rsidSect="004A3A4E">
          <w:footerReference w:type="default" r:id="rId4"/>
          <w:pgSz w:w="16838" w:h="11906" w:orient="landscape"/>
          <w:pgMar w:top="1701" w:right="1701" w:bottom="1701" w:left="1418" w:header="851" w:footer="992" w:gutter="0"/>
          <w:cols w:space="425"/>
          <w:docGrid w:type="lines" w:linePitch="312"/>
        </w:sectPr>
      </w:pPr>
    </w:p>
    <w:p w:rsidR="00A96C59" w:rsidRPr="001A5E3D" w:rsidRDefault="00A96C59" w:rsidP="001A5E3D">
      <w:pPr>
        <w:spacing w:before="156" w:after="156"/>
      </w:pPr>
    </w:p>
    <w:sectPr w:rsidR="00A96C59" w:rsidRPr="001A5E3D" w:rsidSect="004203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4E" w:rsidRDefault="001A5E3D" w:rsidP="004A3A4E">
    <w:pPr>
      <w:pStyle w:val="a3"/>
      <w:spacing w:before="120" w:after="120"/>
      <w:jc w:val="center"/>
    </w:pPr>
    <w:r>
      <w:fldChar w:fldCharType="begin"/>
    </w:r>
    <w:r>
      <w:instrText>PAGE   \* MERGEFORMAT</w:instrText>
    </w:r>
    <w:r>
      <w:fldChar w:fldCharType="separate"/>
    </w:r>
    <w:r w:rsidRPr="001A5E3D">
      <w:rPr>
        <w:noProof/>
        <w:lang w:val="zh-CN"/>
      </w:rPr>
      <w:t>3</w:t>
    </w:r>
    <w: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E3D"/>
    <w:rsid w:val="001A5E3D"/>
    <w:rsid w:val="0042038D"/>
    <w:rsid w:val="004A4CBE"/>
    <w:rsid w:val="00A96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3D"/>
    <w:pPr>
      <w:widowControl w:val="0"/>
      <w:spacing w:beforeLines="50" w:afterLines="5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A5E3D"/>
    <w:pPr>
      <w:tabs>
        <w:tab w:val="center" w:pos="4153"/>
        <w:tab w:val="right" w:pos="8306"/>
      </w:tabs>
      <w:snapToGrid w:val="0"/>
      <w:jc w:val="left"/>
    </w:pPr>
    <w:rPr>
      <w:sz w:val="18"/>
      <w:szCs w:val="18"/>
    </w:rPr>
  </w:style>
  <w:style w:type="character" w:customStyle="1" w:styleId="Char">
    <w:name w:val="页脚 Char"/>
    <w:basedOn w:val="a0"/>
    <w:link w:val="a3"/>
    <w:uiPriority w:val="99"/>
    <w:rsid w:val="001A5E3D"/>
    <w:rPr>
      <w:rFonts w:ascii="Times New Roman" w:eastAsia="宋体" w:hAnsi="Times New Roman" w:cs="Times New Roman"/>
      <w:sz w:val="18"/>
      <w:szCs w:val="18"/>
    </w:rPr>
  </w:style>
  <w:style w:type="table" w:customStyle="1" w:styleId="4">
    <w:name w:val="网格型4"/>
    <w:basedOn w:val="a1"/>
    <w:uiPriority w:val="59"/>
    <w:rsid w:val="001A5E3D"/>
    <w:pPr>
      <w:spacing w:beforeLines="50" w:afterLines="50"/>
    </w:pPr>
    <w:rPr>
      <w:rFonts w:ascii="Calibri" w:eastAsia="宋体" w:hAnsi="Calibri" w:cs="Aria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1072</Characters>
  <Application>Microsoft Office Word</Application>
  <DocSecurity>0</DocSecurity>
  <Lines>8</Lines>
  <Paragraphs>2</Paragraphs>
  <ScaleCrop>false</ScaleCrop>
  <Company>SHFE</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崔墨</cp:lastModifiedBy>
  <cp:revision>1</cp:revision>
  <dcterms:created xsi:type="dcterms:W3CDTF">2018-03-13T07:18:00Z</dcterms:created>
  <dcterms:modified xsi:type="dcterms:W3CDTF">2018-03-13T07:18:00Z</dcterms:modified>
</cp:coreProperties>
</file>