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F" w:rsidRPr="00D63BC4" w:rsidRDefault="0055500F" w:rsidP="0055500F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D63BC4">
        <w:rPr>
          <w:rFonts w:ascii="Times New Roman" w:eastAsia="方正大标宋简体" w:hAnsi="Times New Roman" w:cs="方正大标宋简体" w:hint="eastAsia"/>
          <w:sz w:val="42"/>
          <w:szCs w:val="42"/>
        </w:rPr>
        <w:t>附件</w:t>
      </w:r>
      <w:r w:rsidRPr="00D63BC4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55500F" w:rsidRPr="00D63BC4" w:rsidRDefault="0055500F" w:rsidP="0055500F">
      <w:pPr>
        <w:spacing w:before="240" w:after="60"/>
        <w:jc w:val="center"/>
        <w:outlineLvl w:val="0"/>
        <w:rPr>
          <w:rFonts w:ascii="方正黑体简体" w:eastAsia="方正黑体简体" w:hAnsi="Cambria" w:cs="Times New Roman"/>
          <w:sz w:val="30"/>
          <w:szCs w:val="30"/>
        </w:rPr>
      </w:pPr>
      <w:r w:rsidRPr="00D63BC4">
        <w:rPr>
          <w:rFonts w:ascii="方正黑体简体" w:eastAsia="方正黑体简体" w:hAnsi="Cambria" w:cs="方正黑体简体" w:hint="eastAsia"/>
          <w:sz w:val="30"/>
          <w:szCs w:val="30"/>
        </w:rPr>
        <w:t>上期所第二代行情发布平台测试相关参数及说明</w:t>
      </w:r>
    </w:p>
    <w:p w:rsidR="0055500F" w:rsidRPr="00D63BC4" w:rsidRDefault="0055500F" w:rsidP="0055500F">
      <w:pPr>
        <w:spacing w:line="560" w:lineRule="exact"/>
        <w:rPr>
          <w:rFonts w:cs="Times New Roman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测试使用生产环境，测试行情数据比现有生产环境的行情数据延时</w:t>
      </w:r>
      <w:r w:rsidRPr="0057349A">
        <w:rPr>
          <w:rFonts w:ascii="Times New Roman" w:eastAsia="方正仿宋简体" w:hAnsi="Times New Roman" w:cs="Times New Roman"/>
          <w:sz w:val="28"/>
          <w:szCs w:val="28"/>
        </w:rPr>
        <w:t>5</w:t>
      </w: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秒发出。测试相关配置及技术参数如下：</w:t>
      </w: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测试行情主题：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4512"/>
        <w:gridCol w:w="709"/>
        <w:gridCol w:w="850"/>
        <w:gridCol w:w="709"/>
        <w:gridCol w:w="709"/>
      </w:tblGrid>
      <w:tr w:rsidR="0055500F" w:rsidRPr="00D63BC4" w:rsidTr="0079259D">
        <w:trPr>
          <w:jc w:val="center"/>
        </w:trPr>
        <w:tc>
          <w:tcPr>
            <w:tcW w:w="846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</w:p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主题号</w:t>
            </w:r>
          </w:p>
        </w:tc>
        <w:tc>
          <w:tcPr>
            <w:tcW w:w="4512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产品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行情深度</w:t>
            </w:r>
          </w:p>
        </w:tc>
        <w:tc>
          <w:tcPr>
            <w:tcW w:w="850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采样频率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延时时间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统计模式</w:t>
            </w:r>
          </w:p>
        </w:tc>
      </w:tr>
      <w:tr w:rsidR="0055500F" w:rsidRPr="00D63BC4" w:rsidTr="0079259D">
        <w:trPr>
          <w:jc w:val="center"/>
        </w:trPr>
        <w:tc>
          <w:tcPr>
            <w:tcW w:w="846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100</w:t>
            </w:r>
          </w:p>
        </w:tc>
        <w:tc>
          <w:tcPr>
            <w:tcW w:w="4512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上期所上市所有品种的合约。</w:t>
            </w:r>
          </w:p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（包括白银期货合约、白银期转现合约、铝期货合约、铝期转现合约、黄金期货合约、黄金期转现合约、沥青期货合约、沥青期转现合约、铜期货合约、铜期转现合约、铜期权合约、燃料油期货合约、燃料油期转现合约、热轧卷板期货合约、热轧卷板期转现合约、镍期货合约、镍期转现合约、铅期货合约、铅期转现合约、橡胶期货合约、橡胶期转现合约、螺纹钢期货合约、螺纹钢期转现合约、锡期货合约、锡期转现合约、线材期货合约、线材期转现合约、锌期货合约、锌期转现合约、纸浆期货合约、纸浆期转现合约。）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850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单边</w:t>
            </w:r>
          </w:p>
        </w:tc>
      </w:tr>
      <w:tr w:rsidR="0055500F" w:rsidRPr="00D63BC4" w:rsidTr="0079259D">
        <w:trPr>
          <w:jc w:val="center"/>
        </w:trPr>
        <w:tc>
          <w:tcPr>
            <w:tcW w:w="846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101</w:t>
            </w:r>
          </w:p>
        </w:tc>
        <w:tc>
          <w:tcPr>
            <w:tcW w:w="4512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上期所上市所有品种的合约。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850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709" w:type="dxa"/>
          </w:tcPr>
          <w:p w:rsidR="0055500F" w:rsidRPr="00D63BC4" w:rsidRDefault="0055500F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单边</w:t>
            </w:r>
          </w:p>
        </w:tc>
      </w:tr>
    </w:tbl>
    <w:p w:rsidR="0055500F" w:rsidRPr="00D63BC4" w:rsidRDefault="0055500F" w:rsidP="0055500F">
      <w:pPr>
        <w:rPr>
          <w:rFonts w:cs="Times New Roman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行情查询服务的</w:t>
      </w:r>
      <w:r w:rsidRPr="0057349A">
        <w:rPr>
          <w:rFonts w:ascii="Times New Roman" w:eastAsia="方正仿宋简体" w:hAnsi="Times New Roman" w:cs="Times New Roman"/>
          <w:sz w:val="28"/>
          <w:szCs w:val="28"/>
        </w:rPr>
        <w:t>TCP</w:t>
      </w: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端口号为</w:t>
      </w:r>
      <w:r w:rsidRPr="0057349A">
        <w:rPr>
          <w:rFonts w:ascii="Times New Roman" w:eastAsia="方正仿宋简体" w:hAnsi="Times New Roman" w:cs="Times New Roman"/>
          <w:sz w:val="28"/>
          <w:szCs w:val="28"/>
        </w:rPr>
        <w:t>33022</w:t>
      </w: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，相关单播</w:t>
      </w:r>
      <w:r w:rsidRPr="0057349A">
        <w:rPr>
          <w:rFonts w:ascii="Times New Roman" w:eastAsia="方正仿宋简体" w:hAnsi="Times New Roman" w:cs="Times New Roman"/>
          <w:sz w:val="28"/>
          <w:szCs w:val="28"/>
        </w:rPr>
        <w:t>IP</w:t>
      </w: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地址参数：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843"/>
      </w:tblGrid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tabs>
                <w:tab w:val="center" w:pos="1312"/>
              </w:tabs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张江数据中心</w:t>
            </w:r>
          </w:p>
        </w:tc>
      </w:tr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192.168.11.73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192.168.12.73</w:t>
            </w:r>
          </w:p>
        </w:tc>
      </w:tr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192.168.11.74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192.168.12.74</w:t>
            </w:r>
          </w:p>
        </w:tc>
      </w:tr>
    </w:tbl>
    <w:p w:rsidR="0055500F" w:rsidRPr="00D63BC4" w:rsidRDefault="0055500F" w:rsidP="0055500F">
      <w:pPr>
        <w:rPr>
          <w:rFonts w:cs="Times New Roman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组播端口号与行情主题号对应关系：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843"/>
      </w:tblGrid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行情主题号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组播端口号</w:t>
            </w:r>
          </w:p>
        </w:tc>
      </w:tr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20100</w:t>
            </w:r>
          </w:p>
        </w:tc>
      </w:tr>
      <w:tr w:rsidR="0055500F" w:rsidRPr="00D63BC4" w:rsidTr="0079259D">
        <w:tc>
          <w:tcPr>
            <w:tcW w:w="180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20101</w:t>
            </w:r>
          </w:p>
        </w:tc>
      </w:tr>
    </w:tbl>
    <w:p w:rsidR="0055500F" w:rsidRDefault="0055500F" w:rsidP="0055500F">
      <w:pPr>
        <w:rPr>
          <w:rFonts w:cs="Times New Roman"/>
        </w:rPr>
      </w:pPr>
    </w:p>
    <w:p w:rsidR="0055500F" w:rsidRDefault="0055500F" w:rsidP="0055500F">
      <w:pPr>
        <w:rPr>
          <w:rFonts w:cs="Times New Roman"/>
        </w:rPr>
      </w:pPr>
    </w:p>
    <w:p w:rsidR="0055500F" w:rsidRPr="00D63BC4" w:rsidRDefault="0055500F" w:rsidP="0055500F">
      <w:pPr>
        <w:rPr>
          <w:rFonts w:cs="Times New Roman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lastRenderedPageBreak/>
        <w:t>增量行情服务相关</w:t>
      </w:r>
      <w:r w:rsidRPr="0057349A">
        <w:rPr>
          <w:rFonts w:ascii="Times New Roman" w:eastAsia="方正仿宋简体" w:hAnsi="Times New Roman" w:cs="Times New Roman"/>
          <w:sz w:val="28"/>
          <w:szCs w:val="28"/>
        </w:rPr>
        <w:t>IP</w:t>
      </w: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地址参数：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418"/>
        <w:gridCol w:w="1701"/>
        <w:gridCol w:w="1559"/>
        <w:gridCol w:w="2410"/>
      </w:tblGrid>
      <w:tr w:rsidR="0055500F" w:rsidRPr="00D63BC4" w:rsidTr="0079259D">
        <w:tc>
          <w:tcPr>
            <w:tcW w:w="1696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单播地址</w:t>
            </w: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组播地址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组播端口</w:t>
            </w:r>
          </w:p>
        </w:tc>
        <w:tc>
          <w:tcPr>
            <w:tcW w:w="1559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数据中心</w:t>
            </w:r>
          </w:p>
        </w:tc>
        <w:tc>
          <w:tcPr>
            <w:tcW w:w="2410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网络通道</w:t>
            </w:r>
          </w:p>
        </w:tc>
      </w:tr>
      <w:tr w:rsidR="0055500F" w:rsidRPr="00D63BC4" w:rsidTr="0079259D">
        <w:trPr>
          <w:trHeight w:val="44"/>
        </w:trPr>
        <w:tc>
          <w:tcPr>
            <w:tcW w:w="1696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192.168.32.71</w:t>
            </w: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239.1.41.71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20101</w:t>
            </w:r>
          </w:p>
        </w:tc>
        <w:tc>
          <w:tcPr>
            <w:tcW w:w="1559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2410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 w:cs="Times New Roman"/>
              </w:rPr>
              <w:t>A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路（大厦通道）</w:t>
            </w:r>
          </w:p>
        </w:tc>
      </w:tr>
      <w:tr w:rsidR="0055500F" w:rsidRPr="00D63BC4" w:rsidTr="0079259D">
        <w:trPr>
          <w:trHeight w:val="41"/>
        </w:trPr>
        <w:tc>
          <w:tcPr>
            <w:tcW w:w="1696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239.1.42.71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20100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55500F" w:rsidRPr="00D63BC4" w:rsidTr="0079259D">
        <w:trPr>
          <w:trHeight w:val="44"/>
        </w:trPr>
        <w:tc>
          <w:tcPr>
            <w:tcW w:w="1696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192.168.64.72</w:t>
            </w: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239.2.41.72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20101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 w:cs="Times New Roman"/>
              </w:rPr>
              <w:t>B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路（张江通道）</w:t>
            </w:r>
          </w:p>
        </w:tc>
      </w:tr>
      <w:tr w:rsidR="0055500F" w:rsidRPr="00D63BC4" w:rsidTr="0079259D">
        <w:trPr>
          <w:trHeight w:val="41"/>
        </w:trPr>
        <w:tc>
          <w:tcPr>
            <w:tcW w:w="1696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239.2.42.72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20100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55500F" w:rsidRPr="00D63BC4" w:rsidTr="0079259D">
        <w:trPr>
          <w:trHeight w:val="44"/>
        </w:trPr>
        <w:tc>
          <w:tcPr>
            <w:tcW w:w="1696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192.168.48.71</w:t>
            </w: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239.3.41.71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20101</w:t>
            </w:r>
          </w:p>
        </w:tc>
        <w:tc>
          <w:tcPr>
            <w:tcW w:w="1559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张江数据中心</w:t>
            </w:r>
          </w:p>
        </w:tc>
        <w:tc>
          <w:tcPr>
            <w:tcW w:w="2410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 w:cs="Times New Roman"/>
              </w:rPr>
              <w:t>A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路（大厦通道）</w:t>
            </w:r>
          </w:p>
        </w:tc>
      </w:tr>
      <w:tr w:rsidR="0055500F" w:rsidRPr="00D63BC4" w:rsidTr="0079259D">
        <w:trPr>
          <w:trHeight w:val="41"/>
        </w:trPr>
        <w:tc>
          <w:tcPr>
            <w:tcW w:w="1696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239.3.42.71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20100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55500F" w:rsidRPr="00D63BC4" w:rsidTr="0079259D">
        <w:trPr>
          <w:trHeight w:val="44"/>
        </w:trPr>
        <w:tc>
          <w:tcPr>
            <w:tcW w:w="1696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192.168.80.72</w:t>
            </w: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239.4.41.72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20101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 w:cs="Times New Roman"/>
              </w:rPr>
              <w:t>B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路（张江通道）</w:t>
            </w:r>
          </w:p>
        </w:tc>
      </w:tr>
      <w:tr w:rsidR="0055500F" w:rsidRPr="00D63BC4" w:rsidTr="0079259D">
        <w:trPr>
          <w:trHeight w:val="41"/>
        </w:trPr>
        <w:tc>
          <w:tcPr>
            <w:tcW w:w="1696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8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239.4.42.72</w:t>
            </w:r>
          </w:p>
        </w:tc>
        <w:tc>
          <w:tcPr>
            <w:tcW w:w="1701" w:type="dxa"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20100</w:t>
            </w:r>
          </w:p>
        </w:tc>
        <w:tc>
          <w:tcPr>
            <w:tcW w:w="1559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500F" w:rsidRPr="00D63BC4" w:rsidRDefault="0055500F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55500F" w:rsidRPr="00D63BC4" w:rsidRDefault="0055500F" w:rsidP="0055500F">
      <w:pPr>
        <w:jc w:val="left"/>
        <w:rPr>
          <w:rFonts w:ascii="Times New Roman" w:eastAsia="方正仿宋简体" w:hAnsi="Times New Roman" w:cs="Times New Roman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平台的行情查询服务及增量行情服务均提供二主二备服务，在正常情况下，只有主数据中心的服务地址对外提供服务，用户可连接到主行情查询服务的一个地址上请求相关查询服务，但用户仍需保留备服务的地址，加入备服务的组播域，以便在交易所发生主备数据中心切换时，可连接到备服务，接收备服务发布的组播行情。目前上期所的主数据中心为张江数据中心。</w:t>
      </w:r>
    </w:p>
    <w:p w:rsidR="0055500F" w:rsidRPr="0057349A" w:rsidRDefault="0055500F" w:rsidP="0055500F">
      <w:pPr>
        <w:rPr>
          <w:rFonts w:cs="Times New Roman"/>
          <w:sz w:val="28"/>
          <w:szCs w:val="28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参与测试的单位应按照《上海期货交易所第二代行情发布平台接口规范》开发行情接收程序，按照《上海期货交易所第二代行情发布平台网络接入指引》配置相关网络环境。完成相关准备后，填写《上期所第二代行情接收申请表》，获得批准后，使用生产网进行测试，登录用户名使用生产用户名，登录口令在测试申请时，向交易所相关工作人员索取。</w:t>
      </w:r>
    </w:p>
    <w:p w:rsidR="0055500F" w:rsidRPr="0057349A" w:rsidRDefault="0055500F" w:rsidP="0055500F">
      <w:pPr>
        <w:rPr>
          <w:rFonts w:cs="Times New Roman"/>
          <w:sz w:val="28"/>
          <w:szCs w:val="28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t>使用机柜托管服务的单位，还需与机构托管商联系，了解相关网络是否支持上期所的组播行情，并按服务商的要求，配置相关网络环境。</w:t>
      </w:r>
    </w:p>
    <w:p w:rsidR="0055500F" w:rsidRPr="0057349A" w:rsidRDefault="0055500F" w:rsidP="0055500F">
      <w:pPr>
        <w:rPr>
          <w:rFonts w:cs="Times New Roman"/>
          <w:sz w:val="28"/>
          <w:szCs w:val="28"/>
        </w:rPr>
      </w:pPr>
    </w:p>
    <w:p w:rsidR="0055500F" w:rsidRPr="0057349A" w:rsidRDefault="0055500F" w:rsidP="0055500F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57349A">
        <w:rPr>
          <w:rFonts w:ascii="Times New Roman" w:eastAsia="方正仿宋简体" w:hAnsi="Times New Roman" w:cs="方正仿宋简体" w:hint="eastAsia"/>
          <w:sz w:val="28"/>
          <w:szCs w:val="28"/>
        </w:rPr>
        <w:lastRenderedPageBreak/>
        <w:t>参与测试的单位应做好测试系统与生产系统的隔离工作，确保生产环境的稳定与安全，不影响正常的交易。测试数据不应使用于生产，测试过程中发生的问题，及时与交易所沟通。</w:t>
      </w:r>
    </w:p>
    <w:p w:rsidR="00370BBC" w:rsidRPr="0055500F" w:rsidRDefault="0055500F" w:rsidP="0055500F"/>
    <w:sectPr w:rsidR="00370BBC" w:rsidRPr="0055500F" w:rsidSect="0017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E07"/>
    <w:rsid w:val="000E1E66"/>
    <w:rsid w:val="0017146C"/>
    <w:rsid w:val="0055500F"/>
    <w:rsid w:val="0085423A"/>
    <w:rsid w:val="00B1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>SHFE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2018-12-07T07:46:00Z</dcterms:created>
  <dcterms:modified xsi:type="dcterms:W3CDTF">2018-12-07T07:46:00Z</dcterms:modified>
</cp:coreProperties>
</file>