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7752F5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sz w:val="42"/>
          <w:szCs w:val="42"/>
        </w:rPr>
        <w:t>201</w:t>
      </w:r>
      <w:r>
        <w:rPr>
          <w:rFonts w:asciiTheme="majorEastAsia" w:eastAsiaTheme="majorEastAsia" w:hAnsiTheme="majorEastAsia"/>
          <w:b/>
          <w:sz w:val="42"/>
          <w:szCs w:val="42"/>
        </w:rPr>
        <w:t>9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B0525B">
        <w:rPr>
          <w:rFonts w:asciiTheme="majorEastAsia" w:eastAsiaTheme="majorEastAsia" w:hAnsiTheme="majorEastAsia" w:hint="eastAsia"/>
          <w:b/>
          <w:sz w:val="42"/>
          <w:szCs w:val="42"/>
        </w:rPr>
        <w:t>5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A55B44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 w:rsidRPr="00411422">
        <w:rPr>
          <w:rFonts w:ascii="仿宋" w:eastAsia="仿宋" w:hAnsi="仿宋"/>
          <w:color w:val="000000"/>
          <w:sz w:val="30"/>
          <w:szCs w:val="30"/>
        </w:rPr>
        <w:t>201</w:t>
      </w:r>
      <w:r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5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月，MSC共受理各类市场咨询和意见建议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269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件次环比</w:t>
      </w:r>
      <w:r>
        <w:rPr>
          <w:rFonts w:ascii="仿宋" w:eastAsia="仿宋" w:hAnsi="仿宋" w:hint="eastAsia"/>
          <w:color w:val="000000"/>
          <w:sz w:val="30"/>
          <w:szCs w:val="30"/>
        </w:rPr>
        <w:t>减少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20.18</w:t>
      </w:r>
      <w:r w:rsidRPr="00411422">
        <w:rPr>
          <w:rFonts w:ascii="仿宋" w:eastAsia="仿宋" w:hAnsi="仿宋"/>
          <w:color w:val="000000"/>
          <w:sz w:val="30"/>
          <w:szCs w:val="30"/>
        </w:rPr>
        <w:t>%</w:t>
      </w:r>
      <w:r>
        <w:rPr>
          <w:rFonts w:ascii="仿宋" w:eastAsia="仿宋" w:hAnsi="仿宋" w:hint="eastAsia"/>
          <w:color w:val="000000"/>
          <w:sz w:val="30"/>
          <w:szCs w:val="30"/>
        </w:rPr>
        <w:t>，同比减少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53</w:t>
      </w:r>
      <w:r>
        <w:rPr>
          <w:rFonts w:ascii="仿宋" w:eastAsia="仿宋" w:hAnsi="仿宋" w:hint="eastAsia"/>
          <w:color w:val="000000"/>
          <w:sz w:val="30"/>
          <w:szCs w:val="30"/>
        </w:rPr>
        <w:t>%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，答复率</w:t>
      </w:r>
      <w:r w:rsidRPr="00411422">
        <w:rPr>
          <w:rFonts w:ascii="仿宋" w:eastAsia="仿宋" w:hAnsi="仿宋"/>
          <w:color w:val="000000"/>
          <w:sz w:val="30"/>
          <w:szCs w:val="30"/>
        </w:rPr>
        <w:t>100%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A55B44" w:rsidRDefault="00C161FF" w:rsidP="007533DA">
      <w:pPr>
        <w:ind w:right="-2" w:firstLineChars="189" w:firstLine="569"/>
        <w:rPr>
          <w:rFonts w:ascii="仿宋" w:eastAsia="仿宋" w:hAnsi="仿宋"/>
          <w:color w:val="000000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涉及各类投资者开户、交易时间、主力合约、涨跌停板、套保额度申请、交割月持仓调整、开户系统报错等，</w:t>
      </w:r>
      <w:r w:rsidR="00B0525B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35</w:t>
      </w:r>
      <w:r w:rsidR="00B0525B" w:rsidRPr="00417F09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各品种手续费收取及返还比例、各</w:t>
      </w:r>
      <w:r w:rsidR="00B0525B">
        <w:rPr>
          <w:rFonts w:ascii="仿宋" w:eastAsia="仿宋" w:hAnsi="仿宋"/>
          <w:color w:val="000000"/>
          <w:sz w:val="30"/>
          <w:szCs w:val="30"/>
        </w:rPr>
        <w:t>品种保证金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调整时间及</w:t>
      </w:r>
      <w:r w:rsidR="00B0525B">
        <w:rPr>
          <w:rFonts w:ascii="仿宋" w:eastAsia="仿宋" w:hAnsi="仿宋"/>
          <w:color w:val="000000"/>
          <w:sz w:val="30"/>
          <w:szCs w:val="30"/>
        </w:rPr>
        <w:t>收取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标准</w:t>
      </w:r>
      <w:r w:rsidR="00B0525B">
        <w:rPr>
          <w:rFonts w:ascii="仿宋" w:eastAsia="仿宋" w:hAnsi="仿宋"/>
          <w:color w:val="000000"/>
          <w:sz w:val="30"/>
          <w:szCs w:val="30"/>
        </w:rPr>
        <w:t>、增值税率调整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、仓单质押等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22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标准仓单系统的使用（登录、密钥、证书）、部分品种（螺纹钢、有色品种）指定交割仓库申请和咨询、部分品种（纸浆、有色品种</w:t>
      </w:r>
      <w:r w:rsidR="00B0525B">
        <w:rPr>
          <w:rFonts w:ascii="仿宋" w:eastAsia="仿宋" w:hAnsi="仿宋"/>
          <w:color w:val="000000"/>
          <w:sz w:val="30"/>
          <w:szCs w:val="30"/>
        </w:rPr>
        <w:t>）交割品牌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申请、仓单日报及库存周报咨询等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36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7533DA" w:rsidRPr="00BA73B0">
        <w:rPr>
          <w:rFonts w:ascii="仿宋" w:eastAsia="仿宋" w:hAnsi="仿宋" w:hint="eastAsia"/>
          <w:b/>
          <w:color w:val="000000"/>
          <w:sz w:val="30"/>
          <w:szCs w:val="30"/>
        </w:rPr>
        <w:t>风险管理</w:t>
      </w:r>
      <w:r w:rsidR="007533DA">
        <w:rPr>
          <w:rFonts w:ascii="仿宋" w:eastAsia="仿宋" w:hAnsi="仿宋" w:hint="eastAsia"/>
          <w:b/>
          <w:color w:val="000000"/>
          <w:sz w:val="30"/>
          <w:szCs w:val="30"/>
        </w:rPr>
        <w:t>方面</w:t>
      </w:r>
      <w:r w:rsidR="007533DA">
        <w:rPr>
          <w:rFonts w:ascii="仿宋" w:eastAsia="仿宋" w:hAnsi="仿宋" w:hint="eastAsia"/>
          <w:b/>
          <w:color w:val="000000"/>
          <w:sz w:val="30"/>
          <w:szCs w:val="30"/>
        </w:rPr>
        <w:t>，</w:t>
      </w:r>
      <w:r w:rsidR="007533DA">
        <w:rPr>
          <w:rFonts w:ascii="仿宋" w:eastAsia="仿宋" w:hAnsi="仿宋" w:hint="eastAsia"/>
          <w:color w:val="000000"/>
          <w:sz w:val="30"/>
          <w:szCs w:val="30"/>
        </w:rPr>
        <w:t>收到纸浆1905合约事件相关咨询</w:t>
      </w:r>
      <w:r w:rsidR="007533DA" w:rsidRPr="00BA73B0">
        <w:rPr>
          <w:rFonts w:ascii="仿宋" w:eastAsia="仿宋" w:hAnsi="仿宋" w:hint="eastAsia"/>
          <w:color w:val="000000"/>
          <w:sz w:val="30"/>
          <w:szCs w:val="30"/>
        </w:rPr>
        <w:t>34件</w:t>
      </w:r>
      <w:r w:rsidR="007533DA">
        <w:rPr>
          <w:rFonts w:ascii="仿宋" w:eastAsia="仿宋" w:hAnsi="仿宋" w:hint="eastAsia"/>
          <w:color w:val="000000"/>
          <w:sz w:val="30"/>
          <w:szCs w:val="30"/>
        </w:rPr>
        <w:t>次，</w:t>
      </w:r>
      <w:r w:rsidR="007533DA">
        <w:rPr>
          <w:rFonts w:ascii="仿宋" w:eastAsia="仿宋" w:hAnsi="仿宋" w:hint="eastAsia"/>
          <w:color w:val="000000"/>
          <w:sz w:val="30"/>
          <w:szCs w:val="30"/>
        </w:rPr>
        <w:t>收到反</w:t>
      </w:r>
      <w:r w:rsidR="007533DA">
        <w:rPr>
          <w:rFonts w:ascii="仿宋" w:eastAsia="仿宋" w:hAnsi="仿宋" w:hint="eastAsia"/>
          <w:color w:val="000000"/>
          <w:sz w:val="30"/>
          <w:szCs w:val="30"/>
        </w:rPr>
        <w:lastRenderedPageBreak/>
        <w:t>映市场价格异常等风险管理问题3件次，共计37件</w:t>
      </w:r>
      <w:r w:rsidR="007533DA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517711">
        <w:rPr>
          <w:rFonts w:ascii="仿宋" w:eastAsia="仿宋" w:hAnsi="仿宋" w:hint="eastAsia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sz w:val="30"/>
          <w:szCs w:val="30"/>
        </w:rPr>
        <w:t>月度结算参考价、品种</w:t>
      </w:r>
      <w:r w:rsidR="00B0525B">
        <w:rPr>
          <w:rFonts w:ascii="仿宋" w:eastAsia="仿宋" w:hAnsi="仿宋"/>
          <w:sz w:val="30"/>
          <w:szCs w:val="30"/>
        </w:rPr>
        <w:t>价格是否含税、</w:t>
      </w:r>
      <w:r w:rsidR="00B0525B">
        <w:rPr>
          <w:rFonts w:ascii="仿宋" w:eastAsia="仿宋" w:hAnsi="仿宋" w:hint="eastAsia"/>
          <w:sz w:val="30"/>
          <w:szCs w:val="30"/>
        </w:rPr>
        <w:t>成交和持仓</w:t>
      </w:r>
      <w:r w:rsidR="00B0525B">
        <w:rPr>
          <w:rFonts w:ascii="仿宋" w:eastAsia="仿宋" w:hAnsi="仿宋"/>
          <w:sz w:val="30"/>
          <w:szCs w:val="30"/>
        </w:rPr>
        <w:t>排名公布、</w:t>
      </w:r>
      <w:r w:rsidR="00B0525B">
        <w:rPr>
          <w:rFonts w:ascii="仿宋" w:eastAsia="仿宋" w:hAnsi="仿宋" w:hint="eastAsia"/>
          <w:sz w:val="30"/>
          <w:szCs w:val="30"/>
        </w:rPr>
        <w:t>统计年鉴公布、</w:t>
      </w:r>
      <w:r w:rsidR="00B0525B">
        <w:rPr>
          <w:rFonts w:ascii="仿宋" w:eastAsia="仿宋" w:hAnsi="仿宋"/>
          <w:sz w:val="30"/>
          <w:szCs w:val="30"/>
        </w:rPr>
        <w:t>数据</w:t>
      </w:r>
      <w:r w:rsidR="00B0525B">
        <w:rPr>
          <w:rFonts w:ascii="仿宋" w:eastAsia="仿宋" w:hAnsi="仿宋" w:hint="eastAsia"/>
          <w:sz w:val="30"/>
          <w:szCs w:val="30"/>
        </w:rPr>
        <w:t>行情</w:t>
      </w:r>
      <w:r w:rsidR="00B0525B">
        <w:rPr>
          <w:rFonts w:ascii="仿宋" w:eastAsia="仿宋" w:hAnsi="仿宋"/>
          <w:sz w:val="30"/>
          <w:szCs w:val="30"/>
        </w:rPr>
        <w:t>下载</w:t>
      </w:r>
      <w:r w:rsidR="00B0525B">
        <w:rPr>
          <w:rFonts w:ascii="仿宋" w:eastAsia="仿宋" w:hAnsi="仿宋" w:hint="eastAsia"/>
          <w:sz w:val="30"/>
          <w:szCs w:val="30"/>
        </w:rPr>
        <w:t>及购买等</w:t>
      </w:r>
      <w:r w:rsidR="00B0525B" w:rsidRPr="00517711">
        <w:rPr>
          <w:rFonts w:ascii="仿宋" w:eastAsia="仿宋" w:hAnsi="仿宋" w:hint="eastAsia"/>
          <w:sz w:val="30"/>
          <w:szCs w:val="30"/>
        </w:rPr>
        <w:t>，共计</w:t>
      </w:r>
      <w:r w:rsidR="00B0525B">
        <w:rPr>
          <w:rFonts w:ascii="仿宋" w:eastAsia="仿宋" w:hAnsi="仿宋" w:hint="eastAsia"/>
          <w:sz w:val="30"/>
          <w:szCs w:val="30"/>
        </w:rPr>
        <w:t>20</w:t>
      </w:r>
      <w:r w:rsidR="00B0525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517711">
        <w:rPr>
          <w:rFonts w:ascii="仿宋" w:eastAsia="仿宋" w:hAnsi="仿宋" w:hint="eastAsia"/>
          <w:sz w:val="30"/>
          <w:szCs w:val="30"/>
        </w:rPr>
        <w:t>主要涉及</w:t>
      </w:r>
      <w:r w:rsidR="00B0525B">
        <w:rPr>
          <w:rFonts w:ascii="仿宋" w:eastAsia="仿宋" w:hAnsi="仿宋"/>
          <w:sz w:val="30"/>
          <w:szCs w:val="30"/>
        </w:rPr>
        <w:t>上</w:t>
      </w:r>
      <w:r w:rsidR="00B0525B">
        <w:rPr>
          <w:rFonts w:ascii="仿宋" w:eastAsia="仿宋" w:hAnsi="仿宋" w:hint="eastAsia"/>
          <w:sz w:val="30"/>
          <w:szCs w:val="30"/>
        </w:rPr>
        <w:t>海</w:t>
      </w:r>
      <w:r w:rsidR="00B0525B">
        <w:rPr>
          <w:rFonts w:ascii="仿宋" w:eastAsia="仿宋" w:hAnsi="仿宋"/>
          <w:sz w:val="30"/>
          <w:szCs w:val="30"/>
        </w:rPr>
        <w:t>期货交易所</w:t>
      </w:r>
      <w:r w:rsidR="00B0525B">
        <w:rPr>
          <w:rFonts w:ascii="仿宋" w:eastAsia="仿宋" w:hAnsi="仿宋" w:hint="eastAsia"/>
          <w:sz w:val="30"/>
          <w:szCs w:val="30"/>
        </w:rPr>
        <w:t>和</w:t>
      </w:r>
      <w:r w:rsidR="00B0525B">
        <w:rPr>
          <w:rFonts w:ascii="仿宋" w:eastAsia="仿宋" w:hAnsi="仿宋"/>
          <w:sz w:val="30"/>
          <w:szCs w:val="30"/>
        </w:rPr>
        <w:t>能源中</w:t>
      </w:r>
      <w:r w:rsidR="00B0525B">
        <w:rPr>
          <w:rFonts w:ascii="仿宋" w:eastAsia="仿宋" w:hAnsi="仿宋" w:hint="eastAsia"/>
          <w:sz w:val="30"/>
          <w:szCs w:val="30"/>
        </w:rPr>
        <w:t>心</w:t>
      </w:r>
      <w:r w:rsidR="00B0525B">
        <w:rPr>
          <w:rFonts w:ascii="仿宋" w:eastAsia="仿宋" w:hAnsi="仿宋"/>
          <w:sz w:val="30"/>
          <w:szCs w:val="30"/>
        </w:rPr>
        <w:t>会员</w:t>
      </w:r>
      <w:r w:rsidR="00B0525B">
        <w:rPr>
          <w:rFonts w:ascii="仿宋" w:eastAsia="仿宋" w:hAnsi="仿宋" w:hint="eastAsia"/>
          <w:sz w:val="30"/>
          <w:szCs w:val="30"/>
        </w:rPr>
        <w:t>申请、528衍生品论坛报名及费用、交易结算与</w:t>
      </w:r>
      <w:proofErr w:type="gramStart"/>
      <w:r w:rsidR="00B0525B">
        <w:rPr>
          <w:rFonts w:ascii="仿宋" w:eastAsia="仿宋" w:hAnsi="仿宋" w:hint="eastAsia"/>
          <w:sz w:val="30"/>
          <w:szCs w:val="30"/>
        </w:rPr>
        <w:t>交割员</w:t>
      </w:r>
      <w:proofErr w:type="gramEnd"/>
      <w:r w:rsidR="00B0525B">
        <w:rPr>
          <w:rFonts w:ascii="仿宋" w:eastAsia="仿宋" w:hAnsi="仿宋" w:hint="eastAsia"/>
          <w:sz w:val="30"/>
          <w:szCs w:val="30"/>
        </w:rPr>
        <w:t>考试查询等</w:t>
      </w:r>
      <w:r w:rsidR="00B0525B" w:rsidRPr="00517711">
        <w:rPr>
          <w:rFonts w:ascii="仿宋" w:eastAsia="仿宋" w:hAnsi="仿宋" w:hint="eastAsia"/>
          <w:sz w:val="30"/>
          <w:szCs w:val="30"/>
        </w:rPr>
        <w:t>，共计</w:t>
      </w:r>
      <w:r w:rsidR="00B0525B">
        <w:rPr>
          <w:rFonts w:ascii="仿宋" w:eastAsia="仿宋" w:hAnsi="仿宋" w:hint="eastAsia"/>
          <w:sz w:val="30"/>
          <w:szCs w:val="30"/>
        </w:rPr>
        <w:t>24</w:t>
      </w:r>
      <w:r w:rsidR="00B0525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B0525B" w:rsidRPr="00517711">
        <w:rPr>
          <w:rFonts w:ascii="仿宋" w:eastAsia="仿宋" w:hAnsi="仿宋" w:hint="eastAsia"/>
          <w:sz w:val="30"/>
          <w:szCs w:val="30"/>
        </w:rPr>
        <w:t>主要涉及</w:t>
      </w:r>
      <w:r w:rsidR="00B0525B">
        <w:rPr>
          <w:rFonts w:ascii="仿宋" w:eastAsia="仿宋" w:hAnsi="仿宋" w:hint="eastAsia"/>
          <w:sz w:val="30"/>
          <w:szCs w:val="30"/>
        </w:rPr>
        <w:t>会员服务系统、原油</w:t>
      </w:r>
      <w:r w:rsidR="00B0525B">
        <w:rPr>
          <w:rFonts w:ascii="仿宋" w:eastAsia="仿宋" w:hAnsi="仿宋"/>
          <w:sz w:val="30"/>
          <w:szCs w:val="30"/>
        </w:rPr>
        <w:t>品种</w:t>
      </w:r>
      <w:r w:rsidR="00B0525B">
        <w:rPr>
          <w:rFonts w:ascii="仿宋" w:eastAsia="仿宋" w:hAnsi="仿宋" w:hint="eastAsia"/>
          <w:sz w:val="30"/>
          <w:szCs w:val="30"/>
        </w:rPr>
        <w:t>仿真交易系统、</w:t>
      </w:r>
      <w:r w:rsidR="00B0525B">
        <w:rPr>
          <w:rFonts w:ascii="仿宋" w:eastAsia="仿宋" w:hAnsi="仿宋"/>
          <w:sz w:val="30"/>
          <w:szCs w:val="30"/>
        </w:rPr>
        <w:t>标准仓单系统</w:t>
      </w:r>
      <w:r w:rsidR="00B0525B">
        <w:rPr>
          <w:rFonts w:ascii="仿宋" w:eastAsia="仿宋" w:hAnsi="仿宋" w:hint="eastAsia"/>
          <w:sz w:val="30"/>
          <w:szCs w:val="30"/>
        </w:rPr>
        <w:t>等的</w:t>
      </w:r>
      <w:r w:rsidR="00B0525B">
        <w:rPr>
          <w:rFonts w:ascii="仿宋" w:eastAsia="仿宋" w:hAnsi="仿宋"/>
          <w:sz w:val="30"/>
          <w:szCs w:val="30"/>
        </w:rPr>
        <w:t>登录</w:t>
      </w:r>
      <w:r w:rsidR="00B0525B">
        <w:rPr>
          <w:rFonts w:ascii="仿宋" w:eastAsia="仿宋" w:hAnsi="仿宋" w:hint="eastAsia"/>
          <w:sz w:val="30"/>
          <w:szCs w:val="30"/>
        </w:rPr>
        <w:t>、报错，以及</w:t>
      </w:r>
      <w:r w:rsidR="00B0525B">
        <w:rPr>
          <w:rFonts w:ascii="仿宋" w:eastAsia="仿宋" w:hAnsi="仿宋"/>
          <w:sz w:val="30"/>
          <w:szCs w:val="30"/>
        </w:rPr>
        <w:t>测试</w:t>
      </w:r>
      <w:r w:rsidR="00B0525B">
        <w:rPr>
          <w:rFonts w:ascii="仿宋" w:eastAsia="仿宋" w:hAnsi="仿宋" w:hint="eastAsia"/>
          <w:sz w:val="30"/>
          <w:szCs w:val="30"/>
        </w:rPr>
        <w:t>环境、席位报备等</w:t>
      </w:r>
      <w:r w:rsidR="00B0525B" w:rsidRPr="00517711">
        <w:rPr>
          <w:rFonts w:ascii="仿宋" w:eastAsia="仿宋" w:hAnsi="仿宋" w:hint="eastAsia"/>
          <w:sz w:val="30"/>
          <w:szCs w:val="30"/>
        </w:rPr>
        <w:t>，共计</w:t>
      </w:r>
      <w:r w:rsidR="00B0525B">
        <w:rPr>
          <w:rFonts w:ascii="仿宋" w:eastAsia="仿宋" w:hAnsi="仿宋" w:hint="eastAsia"/>
          <w:sz w:val="30"/>
          <w:szCs w:val="30"/>
        </w:rPr>
        <w:t>24</w:t>
      </w:r>
      <w:r w:rsidR="00B0525B" w:rsidRPr="00517711">
        <w:rPr>
          <w:rFonts w:ascii="仿宋" w:eastAsia="仿宋" w:hAnsi="仿宋" w:hint="eastAsia"/>
          <w:sz w:val="30"/>
          <w:szCs w:val="30"/>
        </w:rPr>
        <w:t>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B0525B" w:rsidRPr="00B0525B">
        <w:rPr>
          <w:rFonts w:ascii="仿宋" w:eastAsia="仿宋" w:hAnsi="仿宋" w:hint="eastAsia"/>
          <w:sz w:val="30"/>
          <w:szCs w:val="30"/>
        </w:rPr>
        <w:t xml:space="preserve"> </w:t>
      </w:r>
      <w:r w:rsidR="00B0525B">
        <w:rPr>
          <w:rFonts w:ascii="仿宋" w:eastAsia="仿宋" w:hAnsi="仿宋" w:hint="eastAsia"/>
          <w:sz w:val="30"/>
          <w:szCs w:val="30"/>
        </w:rPr>
        <w:t>主要涉及领取交易所章程、强平后处理</w:t>
      </w:r>
      <w:r w:rsidR="00B0525B">
        <w:rPr>
          <w:rFonts w:ascii="仿宋" w:eastAsia="仿宋" w:hAnsi="仿宋"/>
          <w:sz w:val="30"/>
          <w:szCs w:val="30"/>
        </w:rPr>
        <w:t>、</w:t>
      </w:r>
      <w:r w:rsidR="00B0525B">
        <w:rPr>
          <w:rFonts w:ascii="仿宋" w:eastAsia="仿宋" w:hAnsi="仿宋" w:hint="eastAsia"/>
          <w:sz w:val="30"/>
          <w:szCs w:val="30"/>
        </w:rPr>
        <w:t>合作单位等，共计14件次</w:t>
      </w:r>
      <w:r w:rsidR="00B0525B">
        <w:rPr>
          <w:rFonts w:ascii="仿宋" w:eastAsia="仿宋" w:hAnsi="仿宋" w:hint="eastAsia"/>
          <w:sz w:val="30"/>
          <w:szCs w:val="30"/>
        </w:rPr>
        <w:t>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咨询期权、大宗平台开户等创新业务问题11件次，转接电话、咨询合作、不属于我</w:t>
      </w:r>
      <w:proofErr w:type="gramStart"/>
      <w:r w:rsidR="00B0525B">
        <w:rPr>
          <w:rFonts w:ascii="仿宋" w:eastAsia="仿宋" w:hAnsi="仿宋" w:hint="eastAsia"/>
          <w:color w:val="000000"/>
          <w:sz w:val="30"/>
          <w:szCs w:val="30"/>
        </w:rPr>
        <w:t>所品种</w:t>
      </w:r>
      <w:proofErr w:type="gramEnd"/>
      <w:r w:rsidR="00B0525B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其他方面的咨询</w:t>
      </w:r>
      <w:r w:rsidR="00B0525B">
        <w:rPr>
          <w:rFonts w:ascii="仿宋" w:eastAsia="仿宋" w:hAnsi="仿宋" w:hint="eastAsia"/>
          <w:color w:val="000000"/>
          <w:sz w:val="30"/>
          <w:szCs w:val="30"/>
        </w:rPr>
        <w:t>46</w:t>
      </w:r>
      <w:r w:rsidR="00B0525B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462BA5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统计分析图</w:t>
      </w:r>
    </w:p>
    <w:p w:rsidR="0076632C" w:rsidRDefault="0076632C" w:rsidP="0076632C">
      <w:pPr>
        <w:pStyle w:val="a9"/>
        <w:ind w:left="1314" w:right="-2" w:firstLineChars="0" w:firstLine="0"/>
        <w:rPr>
          <w:rFonts w:ascii="黑体" w:eastAsia="黑体" w:hAnsi="黑体"/>
          <w:b/>
          <w:sz w:val="30"/>
          <w:szCs w:val="30"/>
        </w:rPr>
      </w:pPr>
    </w:p>
    <w:p w:rsidR="004E6B63" w:rsidRDefault="007533DA" w:rsidP="007533DA">
      <w:pPr>
        <w:pStyle w:val="a9"/>
        <w:ind w:leftChars="-18" w:right="-2" w:hangingChars="18" w:hanging="38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83DEF26" wp14:editId="512D9FB7">
            <wp:extent cx="5699760" cy="2964180"/>
            <wp:effectExtent l="0" t="0" r="15240" b="762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32C" w:rsidRPr="00656352" w:rsidRDefault="007533DA" w:rsidP="007533DA">
      <w:pPr>
        <w:pStyle w:val="a9"/>
        <w:ind w:right="-2"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drawing>
          <wp:inline distT="0" distB="0" distL="0" distR="0" wp14:anchorId="26B50E4E" wp14:editId="644F280E">
            <wp:extent cx="5684520" cy="3116580"/>
            <wp:effectExtent l="0" t="0" r="11430" b="762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28C7" w:rsidRDefault="00B46CAB" w:rsidP="007533DA">
      <w:pPr>
        <w:tabs>
          <w:tab w:val="left" w:pos="-283"/>
        </w:tabs>
        <w:ind w:leftChars="-203" w:left="141" w:rightChars="-432" w:right="-907" w:hangingChars="270" w:hanging="567"/>
        <w:jc w:val="center"/>
      </w:pPr>
      <w:r>
        <w:lastRenderedPageBreak/>
        <w:t xml:space="preserve"> </w:t>
      </w:r>
      <w:r w:rsidR="007533DA">
        <w:rPr>
          <w:noProof/>
        </w:rPr>
        <w:drawing>
          <wp:inline distT="0" distB="0" distL="0" distR="0" wp14:anchorId="431AEC0A" wp14:editId="08B32CDE">
            <wp:extent cx="5730240" cy="3002280"/>
            <wp:effectExtent l="0" t="0" r="3810" b="762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B61413" w:rsidRDefault="00B61413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1917D7" w:rsidP="00A616DB">
      <w:pPr>
        <w:ind w:right="1120"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theme="minorEastAsia"/>
          <w:sz w:val="28"/>
          <w:szCs w:val="28"/>
        </w:rPr>
        <w:t>2019</w:t>
      </w:r>
      <w:r w:rsidR="007963A2">
        <w:rPr>
          <w:rFonts w:ascii="仿宋" w:eastAsia="仿宋" w:hAnsi="仿宋" w:cstheme="minorEastAsia"/>
          <w:sz w:val="28"/>
          <w:szCs w:val="28"/>
        </w:rPr>
        <w:t>年</w:t>
      </w:r>
      <w:r w:rsidR="00A616DB">
        <w:rPr>
          <w:rFonts w:ascii="仿宋" w:eastAsia="仿宋" w:hAnsi="仿宋" w:cstheme="minorEastAsia" w:hint="eastAsia"/>
          <w:sz w:val="28"/>
          <w:szCs w:val="28"/>
        </w:rPr>
        <w:t>6</w:t>
      </w:r>
      <w:r w:rsidR="007963A2">
        <w:rPr>
          <w:rFonts w:ascii="仿宋" w:eastAsia="仿宋" w:hAnsi="仿宋" w:cstheme="minorEastAsia"/>
          <w:sz w:val="28"/>
          <w:szCs w:val="28"/>
        </w:rPr>
        <w:t>月</w:t>
      </w:r>
      <w:r w:rsidR="00A616DB">
        <w:rPr>
          <w:rFonts w:ascii="仿宋" w:eastAsia="仿宋" w:hAnsi="仿宋" w:cstheme="minorEastAsia" w:hint="eastAsia"/>
          <w:sz w:val="28"/>
          <w:szCs w:val="28"/>
        </w:rPr>
        <w:t>3</w:t>
      </w:r>
      <w:r w:rsidR="007963A2"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6E" w:rsidRDefault="00596C6E" w:rsidP="00CC6C8C">
      <w:r>
        <w:separator/>
      </w:r>
    </w:p>
  </w:endnote>
  <w:endnote w:type="continuationSeparator" w:id="0">
    <w:p w:rsidR="00596C6E" w:rsidRDefault="00596C6E" w:rsidP="00C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7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A616DB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A616DB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6E" w:rsidRDefault="00596C6E" w:rsidP="00CC6C8C">
      <w:r>
        <w:separator/>
      </w:r>
    </w:p>
  </w:footnote>
  <w:footnote w:type="continuationSeparator" w:id="0">
    <w:p w:rsidR="00596C6E" w:rsidRDefault="00596C6E" w:rsidP="00CC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D"/>
    <w:rsid w:val="00003B39"/>
    <w:rsid w:val="000176E3"/>
    <w:rsid w:val="000239D9"/>
    <w:rsid w:val="000269F3"/>
    <w:rsid w:val="0003213D"/>
    <w:rsid w:val="00033FAA"/>
    <w:rsid w:val="000421B4"/>
    <w:rsid w:val="00050872"/>
    <w:rsid w:val="00052A01"/>
    <w:rsid w:val="00054097"/>
    <w:rsid w:val="000565E6"/>
    <w:rsid w:val="00064FA4"/>
    <w:rsid w:val="00066A0D"/>
    <w:rsid w:val="00067C8F"/>
    <w:rsid w:val="00071212"/>
    <w:rsid w:val="00077861"/>
    <w:rsid w:val="000A399A"/>
    <w:rsid w:val="000D4501"/>
    <w:rsid w:val="000D7ADD"/>
    <w:rsid w:val="000F7EFF"/>
    <w:rsid w:val="00106DAB"/>
    <w:rsid w:val="00106E09"/>
    <w:rsid w:val="0011414B"/>
    <w:rsid w:val="00121E64"/>
    <w:rsid w:val="00123E7F"/>
    <w:rsid w:val="001513A4"/>
    <w:rsid w:val="001642BA"/>
    <w:rsid w:val="00167203"/>
    <w:rsid w:val="001672D3"/>
    <w:rsid w:val="00176874"/>
    <w:rsid w:val="001917D7"/>
    <w:rsid w:val="00193B45"/>
    <w:rsid w:val="001A1078"/>
    <w:rsid w:val="001B1953"/>
    <w:rsid w:val="001B2BFD"/>
    <w:rsid w:val="001C0DC4"/>
    <w:rsid w:val="001D1D4D"/>
    <w:rsid w:val="001D2581"/>
    <w:rsid w:val="001E535E"/>
    <w:rsid w:val="001E77A1"/>
    <w:rsid w:val="001F2907"/>
    <w:rsid w:val="001F3AD7"/>
    <w:rsid w:val="001F3FF6"/>
    <w:rsid w:val="001F5A94"/>
    <w:rsid w:val="0022628B"/>
    <w:rsid w:val="00232BD4"/>
    <w:rsid w:val="00245C93"/>
    <w:rsid w:val="00252295"/>
    <w:rsid w:val="00260177"/>
    <w:rsid w:val="00261034"/>
    <w:rsid w:val="002914B8"/>
    <w:rsid w:val="00296627"/>
    <w:rsid w:val="0029738C"/>
    <w:rsid w:val="002A228F"/>
    <w:rsid w:val="002B55E5"/>
    <w:rsid w:val="002C541B"/>
    <w:rsid w:val="002E1142"/>
    <w:rsid w:val="002E77E9"/>
    <w:rsid w:val="002F6291"/>
    <w:rsid w:val="003022C6"/>
    <w:rsid w:val="00303ABF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3CA"/>
    <w:rsid w:val="00385EA8"/>
    <w:rsid w:val="003907D6"/>
    <w:rsid w:val="0039267E"/>
    <w:rsid w:val="00394199"/>
    <w:rsid w:val="003A3F8D"/>
    <w:rsid w:val="003B2F1C"/>
    <w:rsid w:val="003B3C4B"/>
    <w:rsid w:val="003B72DF"/>
    <w:rsid w:val="003C3F75"/>
    <w:rsid w:val="003F674F"/>
    <w:rsid w:val="00401551"/>
    <w:rsid w:val="00402207"/>
    <w:rsid w:val="00427B43"/>
    <w:rsid w:val="00432236"/>
    <w:rsid w:val="00461069"/>
    <w:rsid w:val="00462BA5"/>
    <w:rsid w:val="00463BF0"/>
    <w:rsid w:val="00470088"/>
    <w:rsid w:val="004733AA"/>
    <w:rsid w:val="00483CEB"/>
    <w:rsid w:val="004871F2"/>
    <w:rsid w:val="00493888"/>
    <w:rsid w:val="004955C2"/>
    <w:rsid w:val="004A24AA"/>
    <w:rsid w:val="004A2CE2"/>
    <w:rsid w:val="004A344F"/>
    <w:rsid w:val="004D24A9"/>
    <w:rsid w:val="004E6B63"/>
    <w:rsid w:val="004E7D36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96C6E"/>
    <w:rsid w:val="005A151F"/>
    <w:rsid w:val="005A62DA"/>
    <w:rsid w:val="005B06CB"/>
    <w:rsid w:val="005B2E6C"/>
    <w:rsid w:val="005B7D9B"/>
    <w:rsid w:val="005F1077"/>
    <w:rsid w:val="005F34AA"/>
    <w:rsid w:val="005F572B"/>
    <w:rsid w:val="00602ABF"/>
    <w:rsid w:val="00617201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B771D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0537B"/>
    <w:rsid w:val="007103C1"/>
    <w:rsid w:val="00717BD6"/>
    <w:rsid w:val="00722FAC"/>
    <w:rsid w:val="00724E63"/>
    <w:rsid w:val="00751DE2"/>
    <w:rsid w:val="007533DA"/>
    <w:rsid w:val="00760049"/>
    <w:rsid w:val="0076049D"/>
    <w:rsid w:val="0076632C"/>
    <w:rsid w:val="007752F5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94D78"/>
    <w:rsid w:val="008C1C85"/>
    <w:rsid w:val="008C425C"/>
    <w:rsid w:val="008E1CFD"/>
    <w:rsid w:val="008E1DC4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45AB"/>
    <w:rsid w:val="009A62A9"/>
    <w:rsid w:val="009B5124"/>
    <w:rsid w:val="009D3C35"/>
    <w:rsid w:val="009E5178"/>
    <w:rsid w:val="00A048E4"/>
    <w:rsid w:val="00A060B2"/>
    <w:rsid w:val="00A37E88"/>
    <w:rsid w:val="00A413D7"/>
    <w:rsid w:val="00A55B44"/>
    <w:rsid w:val="00A616DB"/>
    <w:rsid w:val="00A63599"/>
    <w:rsid w:val="00A827E9"/>
    <w:rsid w:val="00A82A72"/>
    <w:rsid w:val="00A87F10"/>
    <w:rsid w:val="00A90436"/>
    <w:rsid w:val="00A97C42"/>
    <w:rsid w:val="00AB27C0"/>
    <w:rsid w:val="00AD6691"/>
    <w:rsid w:val="00AE28C7"/>
    <w:rsid w:val="00AF22E8"/>
    <w:rsid w:val="00B00214"/>
    <w:rsid w:val="00B0525B"/>
    <w:rsid w:val="00B159BD"/>
    <w:rsid w:val="00B17A5C"/>
    <w:rsid w:val="00B2577F"/>
    <w:rsid w:val="00B26CB6"/>
    <w:rsid w:val="00B3459C"/>
    <w:rsid w:val="00B3765D"/>
    <w:rsid w:val="00B41084"/>
    <w:rsid w:val="00B46CAB"/>
    <w:rsid w:val="00B61413"/>
    <w:rsid w:val="00B66428"/>
    <w:rsid w:val="00B7192A"/>
    <w:rsid w:val="00B855D3"/>
    <w:rsid w:val="00BB1294"/>
    <w:rsid w:val="00BC01F3"/>
    <w:rsid w:val="00BC47C4"/>
    <w:rsid w:val="00BD0068"/>
    <w:rsid w:val="00BD4896"/>
    <w:rsid w:val="00BD5B4D"/>
    <w:rsid w:val="00BE0059"/>
    <w:rsid w:val="00BF4D6B"/>
    <w:rsid w:val="00C06919"/>
    <w:rsid w:val="00C12389"/>
    <w:rsid w:val="00C15A2B"/>
    <w:rsid w:val="00C161FF"/>
    <w:rsid w:val="00C179A6"/>
    <w:rsid w:val="00C41D5E"/>
    <w:rsid w:val="00C44A87"/>
    <w:rsid w:val="00C57F15"/>
    <w:rsid w:val="00C72963"/>
    <w:rsid w:val="00C736D3"/>
    <w:rsid w:val="00C81C47"/>
    <w:rsid w:val="00C86A08"/>
    <w:rsid w:val="00C87766"/>
    <w:rsid w:val="00C97473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61A5D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244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D2CDE-6A3D-40DB-8BDA-CC4CE4A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 b="1"/>
              <a:t>2018-2019</a:t>
            </a:r>
            <a:r>
              <a:rPr lang="zh-CN" altLang="en-US" sz="1600" b="1"/>
              <a:t>市场服务中心月度咨询统计图（数量）</a:t>
            </a:r>
          </a:p>
        </c:rich>
      </c:tx>
      <c:layout>
        <c:manualLayout>
          <c:xMode val="edge"/>
          <c:yMode val="edge"/>
          <c:x val="0.17177716137276725"/>
          <c:y val="2.97614149582653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588644264194698E-2"/>
          <c:y val="0.26876513317191275"/>
          <c:w val="0.89918887601390562"/>
          <c:h val="0.56174334140435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000080"/>
                </a:gs>
                <a:gs pos="100000">
                  <a:srgbClr val="99CCFF"/>
                </a:gs>
              </a:gsLst>
              <a:lin ang="5400000" scaled="1"/>
            </a:gra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月统计图表!$B$5:$B$16</c:f>
              <c:numCache>
                <c:formatCode>General</c:formatCode>
                <c:ptCount val="12"/>
                <c:pt idx="0">
                  <c:v>374</c:v>
                </c:pt>
                <c:pt idx="1">
                  <c:v>197</c:v>
                </c:pt>
                <c:pt idx="2">
                  <c:v>369</c:v>
                </c:pt>
                <c:pt idx="3">
                  <c:v>337</c:v>
                </c:pt>
                <c:pt idx="4">
                  <c:v>269</c:v>
                </c:pt>
              </c:numCache>
            </c:numRef>
          </c:val>
        </c:ser>
        <c:ser>
          <c:idx val="1"/>
          <c:order val="1"/>
          <c:spPr>
            <a:gradFill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100000">
                  <a:srgbClr val="FFCC00"/>
                </a:gs>
              </a:gsLst>
              <a:lin ang="5400000" scaled="1"/>
            </a:gradFill>
          </c:spPr>
          <c:invertIfNegative val="0"/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月统计图表!$C$5:$C$16</c:f>
              <c:numCache>
                <c:formatCode>General</c:formatCode>
                <c:ptCount val="12"/>
                <c:pt idx="0">
                  <c:v>451</c:v>
                </c:pt>
                <c:pt idx="1">
                  <c:v>255</c:v>
                </c:pt>
                <c:pt idx="2">
                  <c:v>465</c:v>
                </c:pt>
                <c:pt idx="3">
                  <c:v>410</c:v>
                </c:pt>
                <c:pt idx="4">
                  <c:v>573</c:v>
                </c:pt>
                <c:pt idx="5">
                  <c:v>478</c:v>
                </c:pt>
                <c:pt idx="6">
                  <c:v>450</c:v>
                </c:pt>
                <c:pt idx="7">
                  <c:v>461</c:v>
                </c:pt>
                <c:pt idx="8">
                  <c:v>479</c:v>
                </c:pt>
                <c:pt idx="9">
                  <c:v>346</c:v>
                </c:pt>
                <c:pt idx="10">
                  <c:v>531</c:v>
                </c:pt>
                <c:pt idx="11">
                  <c:v>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475678464"/>
        <c:axId val="475680144"/>
      </c:barChart>
      <c:catAx>
        <c:axId val="475678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5.4461181923522888E-2"/>
              <c:y val="0.864406779661016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endParaRPr lang="zh-CN"/>
          </a:p>
        </c:txPr>
        <c:crossAx val="475680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5680144"/>
        <c:scaling>
          <c:orientation val="minMax"/>
          <c:max val="64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425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件次</a:t>
                </a:r>
                <a:r>
                  <a:rPr lang="en-US" altLang="zh-CN"/>
                  <a:t>/</a:t>
                </a:r>
                <a:r>
                  <a:rPr lang="zh-CN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3.5921205098493642E-2"/>
              <c:y val="0.164648910411622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zh-CN"/>
          </a:p>
        </c:txPr>
        <c:crossAx val="475678464"/>
        <c:crosses val="autoZero"/>
        <c:crossBetween val="between"/>
        <c:majorUnit val="16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/>
              <a:t>2019</a:t>
            </a:r>
            <a:r>
              <a:rPr lang="zh-CN" altLang="en-US" sz="1600"/>
              <a:t>年</a:t>
            </a:r>
            <a:r>
              <a:rPr lang="en-US" altLang="zh-CN" sz="1600"/>
              <a:t>5</a:t>
            </a:r>
            <a:r>
              <a:rPr lang="zh-CN" altLang="en-US" sz="1600"/>
              <a:t>月市场服务中心月度咨询统计图（业务）  </a:t>
            </a:r>
          </a:p>
        </c:rich>
      </c:tx>
      <c:layout>
        <c:manualLayout>
          <c:xMode val="edge"/>
          <c:yMode val="edge"/>
          <c:x val="0.16497981832167952"/>
          <c:y val="4.92063330793328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80782508630624"/>
          <c:y val="0.35944700460829493"/>
          <c:w val="0.54315304948216336"/>
          <c:h val="0.43087557603686805"/>
        </c:manualLayout>
      </c:layout>
      <c:pie3DChart>
        <c:varyColors val="1"/>
        <c:ser>
          <c:idx val="0"/>
          <c:order val="0"/>
          <c:tx>
            <c:strRef>
              <c:f>月统计图表!$B$36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00CCFF">
                      <a:gamma/>
                      <a:shade val="46275"/>
                      <a:invGamma/>
                    </a:srgbClr>
                  </a:gs>
                  <a:gs pos="100000">
                    <a:srgbClr val="00CCFF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333399"/>
                  </a:gs>
                  <a:gs pos="100000">
                    <a:srgbClr val="333399">
                      <a:gamma/>
                      <a:shade val="34902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99"/>
                  </a:gs>
                  <a:gs pos="100000">
                    <a:srgbClr val="FFFF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gradFill rotWithShape="0">
                <a:gsLst>
                  <a:gs pos="0">
                    <a:srgbClr val="0066CC"/>
                  </a:gs>
                  <a:gs pos="100000">
                    <a:srgbClr val="0066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gradFill rotWithShape="0">
                <a:gsLst>
                  <a:gs pos="0">
                    <a:srgbClr val="99CCFF"/>
                  </a:gs>
                  <a:gs pos="100000">
                    <a:srgbClr val="99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gradFill rotWithShape="0">
                <a:gsLst>
                  <a:gs pos="0">
                    <a:srgbClr val="FFCC99"/>
                  </a:gs>
                  <a:gs pos="100000">
                    <a:srgbClr val="FFCC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109568726233734E-2"/>
                  <c:y val="-8.39839374916844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96283778681992E-2"/>
                  <c:y val="-4.13285436094681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920897081730226E-2"/>
                  <c:y val="1.9967239034879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29353353910594E-2"/>
                  <c:y val="0.141145874837934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757707733662702E-2"/>
                  <c:y val="0.12142196511150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273729383181263"/>
                  <c:y val="0.142983079496015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2890990302279916E-2"/>
                  <c:y val="8.8235271795844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74196199645846E-2"/>
                  <c:y val="1.04184928691142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444701376842191E-2"/>
                  <c:y val="-6.8114054025697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24641712651281E-2"/>
                  <c:y val="-0.1068981699868164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月统计图表!$A$37:$A$46</c:f>
              <c:strCache>
                <c:ptCount val="10"/>
                <c:pt idx="0">
                  <c:v>法律法规</c:v>
                </c:pt>
                <c:pt idx="1">
                  <c:v>交易管理</c:v>
                </c:pt>
                <c:pt idx="2">
                  <c:v>结算管理</c:v>
                </c:pt>
                <c:pt idx="3">
                  <c:v>风险管理</c:v>
                </c:pt>
                <c:pt idx="4">
                  <c:v>交割管理</c:v>
                </c:pt>
                <c:pt idx="5">
                  <c:v>技术系统</c:v>
                </c:pt>
                <c:pt idx="6">
                  <c:v>会员服务</c:v>
                </c:pt>
                <c:pt idx="7">
                  <c:v>信息与宣传</c:v>
                </c:pt>
                <c:pt idx="8">
                  <c:v>创新业务</c:v>
                </c:pt>
                <c:pt idx="9">
                  <c:v>其他</c:v>
                </c:pt>
              </c:strCache>
            </c:strRef>
          </c:cat>
          <c:val>
            <c:numRef>
              <c:f>月统计图表!$B$37:$B$46</c:f>
              <c:numCache>
                <c:formatCode>General</c:formatCode>
                <c:ptCount val="10"/>
                <c:pt idx="0">
                  <c:v>14</c:v>
                </c:pt>
                <c:pt idx="1">
                  <c:v>35</c:v>
                </c:pt>
                <c:pt idx="2">
                  <c:v>22</c:v>
                </c:pt>
                <c:pt idx="3">
                  <c:v>37</c:v>
                </c:pt>
                <c:pt idx="4">
                  <c:v>36</c:v>
                </c:pt>
                <c:pt idx="5">
                  <c:v>24</c:v>
                </c:pt>
                <c:pt idx="6">
                  <c:v>24</c:v>
                </c:pt>
                <c:pt idx="7">
                  <c:v>20</c:v>
                </c:pt>
                <c:pt idx="8">
                  <c:v>11</c:v>
                </c:pt>
                <c:pt idx="9">
                  <c:v>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 sz="1600"/>
              <a:t>2019</a:t>
            </a:r>
            <a:r>
              <a:rPr lang="zh-CN" altLang="en-US" sz="1600"/>
              <a:t>年</a:t>
            </a:r>
            <a:r>
              <a:rPr lang="en-US" altLang="zh-CN" sz="1600"/>
              <a:t>5</a:t>
            </a:r>
            <a:r>
              <a:rPr lang="zh-CN" altLang="en-US" sz="1600"/>
              <a:t>月市场服务中心咨询月度统计图（品种）</a:t>
            </a:r>
          </a:p>
        </c:rich>
      </c:tx>
      <c:layout>
        <c:manualLayout>
          <c:xMode val="edge"/>
          <c:yMode val="edge"/>
          <c:x val="0.19295681825732691"/>
          <c:y val="6.713014531720119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06254995684653"/>
          <c:y val="0.3343210721848201"/>
          <c:w val="0.61447252809964248"/>
          <c:h val="0.44564545373857223"/>
        </c:manualLayout>
      </c:layout>
      <c:pie3DChart>
        <c:varyColors val="1"/>
        <c:ser>
          <c:idx val="0"/>
          <c:order val="0"/>
          <c:tx>
            <c:strRef>
              <c:f>月统计图表!$B$25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3366FF"/>
                  </a:gs>
                  <a:gs pos="100000">
                    <a:srgbClr val="3366FF">
                      <a:gamma/>
                      <a:shade val="41176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>
                <a:gsLst>
                  <a:gs pos="0">
                    <a:schemeClr val="accent4">
                      <a:lumMod val="100000"/>
                    </a:schemeClr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>
                <a:gsLst>
                  <a:gs pos="0">
                    <a:schemeClr val="tx1">
                      <a:lumMod val="75000"/>
                      <a:lumOff val="25000"/>
                    </a:schemeClr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092190505470234E-2"/>
                  <c:y val="-8.63338379850632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113868825734029E-2"/>
                  <c:y val="2.57466551731631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61536993850596"/>
                  <c:y val="5.10487821956937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904561859127997E-2"/>
                  <c:y val="0.148163574769345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654016597527159E-2"/>
                  <c:y val="0.1056504091542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6630040041600765E-2"/>
                  <c:y val="-0.16466843578254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169684465708182E-2"/>
                  <c:y val="-7.31872604322249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月统计图表!$A$26:$A$32</c:f>
              <c:strCache>
                <c:ptCount val="7"/>
                <c:pt idx="0">
                  <c:v>有色金属</c:v>
                </c:pt>
                <c:pt idx="1">
                  <c:v>贵金属</c:v>
                </c:pt>
                <c:pt idx="2">
                  <c:v>钢材</c:v>
                </c:pt>
                <c:pt idx="3">
                  <c:v>能源</c:v>
                </c:pt>
                <c:pt idx="4">
                  <c:v>化工</c:v>
                </c:pt>
                <c:pt idx="5">
                  <c:v>原油</c:v>
                </c:pt>
                <c:pt idx="6">
                  <c:v>衍生品</c:v>
                </c:pt>
              </c:strCache>
            </c:strRef>
          </c:cat>
          <c:val>
            <c:numRef>
              <c:f>月统计图表!$B$26:$B$32</c:f>
              <c:numCache>
                <c:formatCode>General</c:formatCode>
                <c:ptCount val="7"/>
                <c:pt idx="0">
                  <c:v>26</c:v>
                </c:pt>
                <c:pt idx="1">
                  <c:v>10</c:v>
                </c:pt>
                <c:pt idx="2">
                  <c:v>7</c:v>
                </c:pt>
                <c:pt idx="3">
                  <c:v>4</c:v>
                </c:pt>
                <c:pt idx="4">
                  <c:v>36</c:v>
                </c:pt>
                <c:pt idx="5">
                  <c:v>34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1A1F-DD70-4D60-B13A-4901EC9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175</Words>
  <Characters>999</Characters>
  <Application>Microsoft Office Word</Application>
  <DocSecurity>0</DocSecurity>
  <Lines>8</Lines>
  <Paragraphs>2</Paragraphs>
  <ScaleCrop>false</ScaleCrop>
  <Company>SHFE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李绚</cp:lastModifiedBy>
  <cp:revision>4</cp:revision>
  <cp:lastPrinted>2017-07-11T06:03:00Z</cp:lastPrinted>
  <dcterms:created xsi:type="dcterms:W3CDTF">2019-06-03T02:58:00Z</dcterms:created>
  <dcterms:modified xsi:type="dcterms:W3CDTF">2019-06-03T03:29:00Z</dcterms:modified>
</cp:coreProperties>
</file>