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4" w:rsidRPr="005C38EA" w:rsidRDefault="009B0E70" w:rsidP="009B0E70">
      <w:pPr>
        <w:rPr>
          <w:rFonts w:ascii="华文中宋" w:eastAsia="华文中宋" w:hAnsi="华文中宋"/>
          <w:b/>
          <w:sz w:val="42"/>
          <w:szCs w:val="42"/>
        </w:rPr>
      </w:pPr>
      <w:r w:rsidRPr="005C38EA">
        <w:rPr>
          <w:rFonts w:ascii="华文中宋" w:eastAsia="华文中宋" w:hAnsi="华文中宋" w:hint="eastAsia"/>
          <w:b/>
          <w:sz w:val="42"/>
          <w:szCs w:val="42"/>
        </w:rPr>
        <w:t>附件</w:t>
      </w:r>
      <w:r w:rsidRPr="005C38EA">
        <w:rPr>
          <w:rFonts w:ascii="华文中宋" w:eastAsia="华文中宋" w:hAnsi="华文中宋"/>
          <w:b/>
          <w:sz w:val="42"/>
          <w:szCs w:val="42"/>
        </w:rPr>
        <w:t>1</w:t>
      </w:r>
    </w:p>
    <w:p w:rsidR="00456E94" w:rsidRDefault="00456E94" w:rsidP="00456E94">
      <w:pPr>
        <w:jc w:val="center"/>
        <w:rPr>
          <w:rFonts w:ascii="黑体" w:eastAsia="黑体" w:hAnsi="黑体"/>
          <w:sz w:val="42"/>
          <w:szCs w:val="42"/>
        </w:rPr>
      </w:pPr>
    </w:p>
    <w:p w:rsidR="005E06B1" w:rsidRPr="009B0E70" w:rsidRDefault="00002198" w:rsidP="00002198">
      <w:pPr>
        <w:rPr>
          <w:rFonts w:ascii="方正大标宋简体" w:eastAsia="方正大标宋简体" w:hAnsi="黑体"/>
          <w:sz w:val="42"/>
          <w:szCs w:val="42"/>
        </w:rPr>
      </w:pPr>
      <w:r>
        <w:rPr>
          <w:rFonts w:ascii="黑体" w:eastAsia="黑体" w:hAnsi="黑体" w:hint="eastAsia"/>
          <w:sz w:val="42"/>
          <w:szCs w:val="42"/>
        </w:rPr>
        <w:t xml:space="preserve">      </w:t>
      </w:r>
      <w:r w:rsidRPr="009B0E70">
        <w:rPr>
          <w:rFonts w:ascii="方正大标宋简体" w:eastAsia="方正大标宋简体" w:hAnsi="黑体" w:hint="eastAsia"/>
          <w:sz w:val="42"/>
          <w:szCs w:val="42"/>
        </w:rPr>
        <w:t>不锈钢</w:t>
      </w:r>
      <w:r w:rsidR="00456E94" w:rsidRPr="009B0E70">
        <w:rPr>
          <w:rFonts w:ascii="方正大标宋简体" w:eastAsia="方正大标宋简体" w:hAnsi="黑体" w:hint="eastAsia"/>
          <w:sz w:val="42"/>
          <w:szCs w:val="42"/>
        </w:rPr>
        <w:t>期货相关规则起草说明</w:t>
      </w:r>
    </w:p>
    <w:p w:rsidR="00456E94" w:rsidRDefault="00456E94" w:rsidP="00456E94">
      <w:pPr>
        <w:jc w:val="center"/>
        <w:rPr>
          <w:rFonts w:ascii="黑体" w:eastAsia="黑体" w:hAnsi="黑体"/>
          <w:sz w:val="42"/>
          <w:szCs w:val="42"/>
        </w:rPr>
      </w:pPr>
    </w:p>
    <w:p w:rsidR="00D65845" w:rsidRPr="005C38EA" w:rsidRDefault="00002198" w:rsidP="00017C1C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C38EA">
        <w:rPr>
          <w:rFonts w:ascii="Times New Roman" w:eastAsia="方正仿宋简体" w:hAnsi="Times New Roman" w:cs="Times New Roman"/>
          <w:sz w:val="30"/>
          <w:szCs w:val="30"/>
        </w:rPr>
        <w:t>为进一步提升期货市场服务实体经济的能力，</w:t>
      </w:r>
      <w:r w:rsidR="00AD6CA7" w:rsidRPr="005C38EA">
        <w:rPr>
          <w:rFonts w:ascii="Times New Roman" w:eastAsia="方正仿宋简体" w:hAnsi="Times New Roman" w:cs="Times New Roman"/>
          <w:sz w:val="30"/>
          <w:szCs w:val="30"/>
        </w:rPr>
        <w:t>提高不锈钢行业相关企业风险管理水平，促进形成公开、公平的定价机制，</w:t>
      </w:r>
      <w:r w:rsidR="00827B12" w:rsidRPr="005C38EA">
        <w:rPr>
          <w:rFonts w:ascii="Times New Roman" w:eastAsia="方正仿宋简体" w:hAnsi="Times New Roman" w:cs="Times New Roman"/>
          <w:sz w:val="30"/>
          <w:szCs w:val="30"/>
        </w:rPr>
        <w:t>增强我国在全球不锈钢市场的定价影响力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，上海期货交易所（下称上期所）</w:t>
      </w:r>
      <w:r w:rsidR="00317F68" w:rsidRPr="005C38EA">
        <w:rPr>
          <w:rFonts w:ascii="Times New Roman" w:eastAsia="方正仿宋简体" w:hAnsi="Times New Roman" w:cs="Times New Roman"/>
          <w:sz w:val="30"/>
          <w:szCs w:val="30"/>
        </w:rPr>
        <w:t>拟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上市不锈钢期货</w:t>
      </w:r>
      <w:r w:rsidR="009B0E70" w:rsidRPr="005C38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构建钢铁期货全品种链。</w:t>
      </w:r>
    </w:p>
    <w:p w:rsidR="009B7054" w:rsidRPr="005C38EA" w:rsidRDefault="00002198" w:rsidP="009B7054">
      <w:pPr>
        <w:rPr>
          <w:rFonts w:ascii="方正黑体简体" w:eastAsia="方正黑体简体" w:hAnsi="Times New Roman" w:cs="Times New Roman" w:hint="eastAsia"/>
          <w:sz w:val="30"/>
          <w:szCs w:val="30"/>
        </w:rPr>
      </w:pPr>
      <w:r w:rsidRPr="005C38EA">
        <w:rPr>
          <w:rFonts w:ascii="方正黑体简体" w:eastAsia="方正黑体简体" w:hAnsi="Times New Roman" w:cs="Times New Roman" w:hint="eastAsia"/>
          <w:sz w:val="30"/>
          <w:szCs w:val="30"/>
        </w:rPr>
        <w:t xml:space="preserve">    </w:t>
      </w:r>
      <w:r w:rsidR="009B7054" w:rsidRPr="005C38EA">
        <w:rPr>
          <w:rFonts w:ascii="方正黑体简体" w:eastAsia="方正黑体简体" w:hAnsi="Times New Roman" w:cs="Times New Roman" w:hint="eastAsia"/>
          <w:sz w:val="30"/>
          <w:szCs w:val="30"/>
        </w:rPr>
        <w:t>一、</w:t>
      </w:r>
      <w:r w:rsidRPr="005C38EA">
        <w:rPr>
          <w:rFonts w:ascii="方正黑体简体" w:eastAsia="方正黑体简体" w:hAnsi="Times New Roman" w:cs="Times New Roman" w:hint="eastAsia"/>
          <w:sz w:val="30"/>
          <w:szCs w:val="30"/>
        </w:rPr>
        <w:t>不锈钢</w:t>
      </w:r>
      <w:r w:rsidR="009B7054" w:rsidRPr="005C38EA">
        <w:rPr>
          <w:rFonts w:ascii="方正黑体简体" w:eastAsia="方正黑体简体" w:hAnsi="Times New Roman" w:cs="Times New Roman" w:hint="eastAsia"/>
          <w:sz w:val="30"/>
          <w:szCs w:val="30"/>
        </w:rPr>
        <w:t>期货主要特征</w:t>
      </w:r>
    </w:p>
    <w:p w:rsidR="00AC4A71" w:rsidRPr="005C38EA" w:rsidRDefault="00827B12" w:rsidP="00017C1C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C38EA">
        <w:rPr>
          <w:rFonts w:ascii="Times New Roman" w:eastAsia="方正仿宋简体" w:hAnsi="Times New Roman" w:cs="Times New Roman"/>
          <w:sz w:val="30"/>
          <w:szCs w:val="30"/>
        </w:rPr>
        <w:t>不锈钢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期货以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304-2B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不锈钢冷轧卷板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作为标的物，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物理化学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性能稳定，不易变质。</w:t>
      </w:r>
    </w:p>
    <w:p w:rsidR="009B7054" w:rsidRPr="005C38EA" w:rsidRDefault="00786022" w:rsidP="00017C1C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C38EA">
        <w:rPr>
          <w:rFonts w:ascii="Times New Roman" w:eastAsia="方正仿宋简体" w:hAnsi="Times New Roman" w:cs="Times New Roman"/>
          <w:sz w:val="30"/>
          <w:szCs w:val="30"/>
        </w:rPr>
        <w:t>不锈钢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通常采用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金属护板和护角包裹防锈纸进行包装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，可堆放</w:t>
      </w:r>
      <w:r w:rsidR="004D67BD" w:rsidRPr="005C38E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其存储于清洁、干燥、通风良好和温度适宜的室内，采用集装箱或</w:t>
      </w:r>
      <w:r w:rsidR="009B0E70" w:rsidRPr="005C38EA">
        <w:rPr>
          <w:rFonts w:ascii="Times New Roman" w:eastAsia="方正仿宋简体" w:hAnsi="Times New Roman" w:cs="Times New Roman"/>
          <w:sz w:val="30"/>
          <w:szCs w:val="30"/>
        </w:rPr>
        <w:t>者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车厢运输，</w:t>
      </w:r>
      <w:r w:rsidR="00327531" w:rsidRPr="005C38EA">
        <w:rPr>
          <w:rFonts w:ascii="Times New Roman" w:eastAsia="方正仿宋简体" w:hAnsi="Times New Roman" w:cs="Times New Roman"/>
          <w:color w:val="000000"/>
          <w:sz w:val="30"/>
          <w:szCs w:val="30"/>
        </w:rPr>
        <w:t>储运便利</w:t>
      </w:r>
      <w:r w:rsidR="00AC4A71" w:rsidRPr="005C38E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AC4A71" w:rsidRPr="005C38EA" w:rsidRDefault="00AC4A71" w:rsidP="00017C1C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C38EA">
        <w:rPr>
          <w:rFonts w:ascii="Times New Roman" w:eastAsia="方正仿宋简体" w:hAnsi="Times New Roman" w:cs="Times New Roman"/>
          <w:sz w:val="30"/>
          <w:szCs w:val="30"/>
        </w:rPr>
        <w:t>用于实物交割的</w:t>
      </w:r>
      <w:r w:rsidR="00327531" w:rsidRPr="005C38EA">
        <w:rPr>
          <w:rFonts w:ascii="Times New Roman" w:eastAsia="方正仿宋简体" w:hAnsi="Times New Roman" w:cs="Times New Roman"/>
          <w:sz w:val="30"/>
          <w:szCs w:val="30"/>
        </w:rPr>
        <w:t>不锈钢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，质量应当符合或</w:t>
      </w:r>
      <w:r w:rsidR="004D67BD" w:rsidRPr="005C38EA">
        <w:rPr>
          <w:rFonts w:ascii="Times New Roman" w:eastAsia="方正仿宋简体" w:hAnsi="Times New Roman" w:cs="Times New Roman"/>
          <w:sz w:val="30"/>
          <w:szCs w:val="30"/>
        </w:rPr>
        <w:t>者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优于上海</w:t>
      </w:r>
      <w:r w:rsidR="00327531" w:rsidRPr="005C38EA">
        <w:rPr>
          <w:rFonts w:ascii="Times New Roman" w:eastAsia="方正仿宋简体" w:hAnsi="Times New Roman" w:cs="Times New Roman"/>
          <w:sz w:val="30"/>
          <w:szCs w:val="30"/>
        </w:rPr>
        <w:t>期货交易所不锈钢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质量标准。</w:t>
      </w:r>
    </w:p>
    <w:p w:rsidR="00002198" w:rsidRPr="005C38EA" w:rsidRDefault="00002198" w:rsidP="005C38EA">
      <w:pPr>
        <w:ind w:firstLineChars="200" w:firstLine="600"/>
        <w:rPr>
          <w:rFonts w:ascii="方正黑体简体" w:eastAsia="方正黑体简体" w:hAnsi="Times New Roman" w:cs="Times New Roman" w:hint="eastAsia"/>
          <w:sz w:val="30"/>
          <w:szCs w:val="30"/>
        </w:rPr>
      </w:pPr>
      <w:r w:rsidRPr="005C38EA">
        <w:rPr>
          <w:rFonts w:ascii="方正黑体简体" w:eastAsia="方正黑体简体" w:hAnsi="Times New Roman" w:cs="Times New Roman" w:hint="eastAsia"/>
          <w:sz w:val="30"/>
          <w:szCs w:val="30"/>
        </w:rPr>
        <w:t xml:space="preserve"> </w:t>
      </w:r>
      <w:r w:rsidR="00134E2A" w:rsidRPr="005C38EA">
        <w:rPr>
          <w:rFonts w:ascii="方正黑体简体" w:eastAsia="方正黑体简体" w:hAnsi="Times New Roman" w:cs="Times New Roman" w:hint="eastAsia"/>
          <w:sz w:val="30"/>
          <w:szCs w:val="30"/>
        </w:rPr>
        <w:t>二、</w:t>
      </w:r>
      <w:r w:rsidRPr="005C38EA">
        <w:rPr>
          <w:rFonts w:ascii="方正黑体简体" w:eastAsia="方正黑体简体" w:hAnsi="Times New Roman" w:cs="Times New Roman" w:hint="eastAsia"/>
          <w:sz w:val="30"/>
          <w:szCs w:val="30"/>
        </w:rPr>
        <w:t>不锈钢期货合约参数</w:t>
      </w:r>
    </w:p>
    <w:p w:rsidR="009B06EE" w:rsidRPr="005C38EA" w:rsidRDefault="002D4427" w:rsidP="009C20E6">
      <w:pPr>
        <w:pStyle w:val="a5"/>
        <w:wordWrap w:val="0"/>
        <w:snapToGrid w:val="0"/>
        <w:spacing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kern w:val="2"/>
          <w:sz w:val="30"/>
          <w:szCs w:val="30"/>
        </w:rPr>
      </w:pPr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根据此次公布的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不锈钢</w:t>
      </w:r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合约（征求意见稿），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不锈钢</w:t>
      </w:r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交易单位为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5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吨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/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手</w:t>
      </w:r>
      <w:bookmarkStart w:id="0" w:name="_GoBack"/>
      <w:bookmarkEnd w:id="0"/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报价单位为元（人民币）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/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吨；</w:t>
      </w:r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最小变动价位为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5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元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/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吨</w:t>
      </w:r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；涨跌停板幅度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为上一交易日结算价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±4%</w:t>
      </w:r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；合约月份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为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1-12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月</w:t>
      </w:r>
      <w:r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交易时间为上午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9:00-11:30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，下午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1:30-3:00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和交易所规定的其他交易时间；最后交易日</w:t>
      </w:r>
      <w:r w:rsidR="000A4C7F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为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合约月份的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15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日（遇国家法定节假日顺延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,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春节月份等最后交易日交易所可另行调整并通知）；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lastRenderedPageBreak/>
        <w:t>交割日期为最后交易日后连续五个工作日；交割品级标准品为厚度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2.0mm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、宽度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1219mm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、表面加工类型为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2B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、边部状态为切边的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304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奥氏体不锈钢冷轧卷板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，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质量符合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GB/T3280-2015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《不锈钢冷轧钢板和钢带》要求的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06Cr19Ni10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，或者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JIS G 4305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：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2012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《冷轧不锈钢钢板及钢带》的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SUS304</w:t>
      </w:r>
      <w:r w:rsidR="00327531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，以及上海期货交易所规定的表面质量技术要求</w:t>
      </w:r>
      <w:r w:rsidR="009B06EE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最低交易保证金为合约价值的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5%</w:t>
      </w:r>
      <w:r w:rsidR="009B06EE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交割方式为实物交割</w:t>
      </w:r>
      <w:r w:rsidR="009B06EE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交割单位</w:t>
      </w:r>
      <w:r w:rsidR="009B06EE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为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60</w:t>
      </w:r>
      <w:r w:rsidR="00EA3740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吨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；交易代码为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SS</w:t>
      </w:r>
      <w:r w:rsidR="00D56217" w:rsidRPr="005C38EA">
        <w:rPr>
          <w:rFonts w:ascii="Times New Roman" w:eastAsia="方正仿宋简体" w:hAnsi="Times New Roman" w:cs="Times New Roman"/>
          <w:kern w:val="2"/>
          <w:sz w:val="30"/>
          <w:szCs w:val="30"/>
        </w:rPr>
        <w:t>。</w:t>
      </w:r>
    </w:p>
    <w:p w:rsidR="009B7054" w:rsidRPr="005C38EA" w:rsidRDefault="00134E2A" w:rsidP="005C38EA">
      <w:pPr>
        <w:ind w:firstLineChars="200" w:firstLine="600"/>
        <w:rPr>
          <w:rFonts w:ascii="方正黑体简体" w:eastAsia="方正黑体简体" w:hAnsi="Times New Roman" w:cs="Times New Roman" w:hint="eastAsia"/>
          <w:sz w:val="30"/>
          <w:szCs w:val="30"/>
        </w:rPr>
      </w:pPr>
      <w:r w:rsidRPr="005C38EA">
        <w:rPr>
          <w:rFonts w:ascii="方正黑体简体" w:eastAsia="方正黑体简体" w:hAnsi="Times New Roman" w:cs="Times New Roman" w:hint="eastAsia"/>
          <w:sz w:val="30"/>
          <w:szCs w:val="30"/>
        </w:rPr>
        <w:t>三</w:t>
      </w:r>
      <w:r w:rsidR="009B7054" w:rsidRPr="005C38EA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002198" w:rsidRPr="005C38EA">
        <w:rPr>
          <w:rFonts w:ascii="方正黑体简体" w:eastAsia="方正黑体简体" w:hAnsi="Times New Roman" w:cs="Times New Roman" w:hint="eastAsia"/>
          <w:sz w:val="30"/>
          <w:szCs w:val="30"/>
        </w:rPr>
        <w:t>不锈钢</w:t>
      </w:r>
      <w:r w:rsidRPr="005C38EA">
        <w:rPr>
          <w:rFonts w:ascii="方正黑体简体" w:eastAsia="方正黑体简体" w:hAnsi="Times New Roman" w:cs="Times New Roman" w:hint="eastAsia"/>
          <w:sz w:val="30"/>
          <w:szCs w:val="30"/>
        </w:rPr>
        <w:t>期货</w:t>
      </w:r>
      <w:r w:rsidR="009B7054" w:rsidRPr="005C38EA">
        <w:rPr>
          <w:rFonts w:ascii="方正黑体简体" w:eastAsia="方正黑体简体" w:hAnsi="Times New Roman" w:cs="Times New Roman" w:hint="eastAsia"/>
          <w:sz w:val="30"/>
          <w:szCs w:val="30"/>
        </w:rPr>
        <w:t>业务规则主要修订</w:t>
      </w:r>
    </w:p>
    <w:p w:rsidR="00002198" w:rsidRPr="005C38EA" w:rsidRDefault="00002198" w:rsidP="00017C1C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C38EA">
        <w:rPr>
          <w:rFonts w:ascii="Times New Roman" w:eastAsia="方正仿宋简体" w:hAnsi="Times New Roman" w:cs="Times New Roman"/>
          <w:sz w:val="30"/>
          <w:szCs w:val="30"/>
        </w:rPr>
        <w:t>在上期所现有业务规则框架下，随着不锈钢品种的引入，规则层面的修订主要体现在以下几个方面：一是新上市合约及附件；二是《交割细则》中新增一章，为不锈钢的交割，涉及交割品管理、标准仓单有效期等</w:t>
      </w:r>
      <w:r w:rsidR="004D67BD" w:rsidRPr="005C38EA">
        <w:rPr>
          <w:rFonts w:ascii="Times New Roman" w:eastAsia="方正仿宋简体" w:hAnsi="Times New Roman" w:cs="Times New Roman"/>
          <w:sz w:val="30"/>
          <w:szCs w:val="30"/>
        </w:rPr>
        <w:t>；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三是制定《指定不锈钢厂库交割办法》，</w:t>
      </w:r>
      <w:r w:rsidR="009B0E70" w:rsidRPr="005C38EA">
        <w:rPr>
          <w:rFonts w:ascii="Times New Roman" w:eastAsia="方正仿宋简体" w:hAnsi="Times New Roman" w:cs="Times New Roman"/>
          <w:sz w:val="30"/>
          <w:szCs w:val="30"/>
        </w:rPr>
        <w:t>规定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不锈钢厂库标准仓单的生成、流转、注销等；四是在《风险控制管理办法</w:t>
      </w:r>
      <w:proofErr w:type="gramStart"/>
      <w:r w:rsidRPr="005C38EA">
        <w:rPr>
          <w:rFonts w:ascii="Times New Roman" w:eastAsia="方正仿宋简体" w:hAnsi="Times New Roman" w:cs="Times New Roman"/>
          <w:sz w:val="30"/>
          <w:szCs w:val="30"/>
        </w:rPr>
        <w:t>》</w:t>
      </w:r>
      <w:proofErr w:type="gramEnd"/>
      <w:r w:rsidRPr="005C38EA">
        <w:rPr>
          <w:rFonts w:ascii="Times New Roman" w:eastAsia="方正仿宋简体" w:hAnsi="Times New Roman" w:cs="Times New Roman"/>
          <w:sz w:val="30"/>
          <w:szCs w:val="30"/>
        </w:rPr>
        <w:t>中增加不锈钢期货的风险控制参数。</w:t>
      </w:r>
    </w:p>
    <w:p w:rsidR="00002198" w:rsidRPr="005C38EA" w:rsidRDefault="00002198" w:rsidP="00017C1C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5C38EA">
        <w:rPr>
          <w:rFonts w:ascii="Times New Roman" w:eastAsia="方正仿宋简体" w:hAnsi="Times New Roman" w:cs="Times New Roman"/>
          <w:sz w:val="30"/>
          <w:szCs w:val="30"/>
        </w:rPr>
        <w:t>同时，</w:t>
      </w:r>
      <w:r w:rsidRPr="005C38EA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为进一步推进期货市场国际化、专业化水平</w:t>
      </w:r>
      <w:r w:rsidRPr="005C38EA">
        <w:rPr>
          <w:rFonts w:ascii="Times New Roman" w:eastAsia="方正仿宋简体" w:hAnsi="Times New Roman" w:cs="Times New Roman"/>
          <w:sz w:val="30"/>
          <w:szCs w:val="30"/>
        </w:rPr>
        <w:t>，将《交易细则》中关于成交量和持仓量的定义从双边计算修改为单边计算。</w:t>
      </w:r>
    </w:p>
    <w:sectPr w:rsidR="00002198" w:rsidRPr="005C38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10" w:rsidRDefault="00413B10" w:rsidP="009B7054">
      <w:r>
        <w:separator/>
      </w:r>
    </w:p>
  </w:endnote>
  <w:endnote w:type="continuationSeparator" w:id="0">
    <w:p w:rsidR="00413B10" w:rsidRDefault="00413B10" w:rsidP="009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139990"/>
      <w:docPartObj>
        <w:docPartGallery w:val="Page Numbers (Bottom of Page)"/>
        <w:docPartUnique/>
      </w:docPartObj>
    </w:sdtPr>
    <w:sdtEndPr/>
    <w:sdtContent>
      <w:p w:rsidR="009B0E70" w:rsidRDefault="009B0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E6" w:rsidRPr="009C20E6">
          <w:rPr>
            <w:noProof/>
            <w:lang w:val="zh-CN"/>
          </w:rPr>
          <w:t>1</w:t>
        </w:r>
        <w:r>
          <w:fldChar w:fldCharType="end"/>
        </w:r>
      </w:p>
    </w:sdtContent>
  </w:sdt>
  <w:p w:rsidR="009B0E70" w:rsidRDefault="009B0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10" w:rsidRDefault="00413B10" w:rsidP="009B7054">
      <w:r>
        <w:separator/>
      </w:r>
    </w:p>
  </w:footnote>
  <w:footnote w:type="continuationSeparator" w:id="0">
    <w:p w:rsidR="00413B10" w:rsidRDefault="00413B10" w:rsidP="009B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02198"/>
    <w:rsid w:val="00007136"/>
    <w:rsid w:val="00017C1C"/>
    <w:rsid w:val="00040E87"/>
    <w:rsid w:val="00080438"/>
    <w:rsid w:val="000A4C7F"/>
    <w:rsid w:val="00121372"/>
    <w:rsid w:val="00134E2A"/>
    <w:rsid w:val="002D4427"/>
    <w:rsid w:val="00317F68"/>
    <w:rsid w:val="00327531"/>
    <w:rsid w:val="00413B10"/>
    <w:rsid w:val="00456E94"/>
    <w:rsid w:val="00480B15"/>
    <w:rsid w:val="004D67BD"/>
    <w:rsid w:val="004F5D1E"/>
    <w:rsid w:val="005C38EA"/>
    <w:rsid w:val="005E06B1"/>
    <w:rsid w:val="00622B29"/>
    <w:rsid w:val="00645E77"/>
    <w:rsid w:val="0072115E"/>
    <w:rsid w:val="00786022"/>
    <w:rsid w:val="00827B12"/>
    <w:rsid w:val="008658A7"/>
    <w:rsid w:val="008E0295"/>
    <w:rsid w:val="009B06EE"/>
    <w:rsid w:val="009B0E70"/>
    <w:rsid w:val="009B51B4"/>
    <w:rsid w:val="009B7054"/>
    <w:rsid w:val="009C0E8D"/>
    <w:rsid w:val="009C20E6"/>
    <w:rsid w:val="009E7E25"/>
    <w:rsid w:val="00AB344A"/>
    <w:rsid w:val="00AC4A71"/>
    <w:rsid w:val="00AD6CA7"/>
    <w:rsid w:val="00AF16FC"/>
    <w:rsid w:val="00B13210"/>
    <w:rsid w:val="00B412C6"/>
    <w:rsid w:val="00C144E6"/>
    <w:rsid w:val="00CD3180"/>
    <w:rsid w:val="00CE1F81"/>
    <w:rsid w:val="00CF68AE"/>
    <w:rsid w:val="00D15083"/>
    <w:rsid w:val="00D56217"/>
    <w:rsid w:val="00D65845"/>
    <w:rsid w:val="00DD62DC"/>
    <w:rsid w:val="00EA3740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0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4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7F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7F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0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4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7F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7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djgw</cp:lastModifiedBy>
  <cp:revision>11</cp:revision>
  <cp:lastPrinted>2019-08-09T00:38:00Z</cp:lastPrinted>
  <dcterms:created xsi:type="dcterms:W3CDTF">2019-08-08T03:02:00Z</dcterms:created>
  <dcterms:modified xsi:type="dcterms:W3CDTF">2019-08-09T06:28:00Z</dcterms:modified>
</cp:coreProperties>
</file>