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B7" w:rsidRDefault="00FE53C1" w:rsidP="002D6DB7">
      <w:pPr>
        <w:widowControl/>
        <w:spacing w:line="360" w:lineRule="auto"/>
        <w:outlineLvl w:val="0"/>
        <w:rPr>
          <w:rFonts w:ascii="Times New Roman" w:eastAsia="微软雅黑" w:hAnsi="Times New Roman" w:cs="Times New Roman"/>
          <w:b/>
          <w:sz w:val="28"/>
          <w:szCs w:val="28"/>
        </w:rPr>
      </w:pPr>
      <w:r>
        <w:rPr>
          <w:rFonts w:ascii="Times New Roman" w:eastAsia="微软雅黑" w:hAnsi="Times New Roman" w:cs="Times New Roman" w:hint="eastAsia"/>
          <w:b/>
          <w:sz w:val="28"/>
          <w:szCs w:val="28"/>
        </w:rPr>
        <w:t>Attachment</w:t>
      </w:r>
    </w:p>
    <w:p w:rsidR="002D6DB7" w:rsidRDefault="002D6DB7" w:rsidP="002D6DB7">
      <w:pPr>
        <w:widowControl/>
        <w:spacing w:line="360" w:lineRule="auto"/>
        <w:jc w:val="center"/>
        <w:outlineLvl w:val="0"/>
        <w:rPr>
          <w:rFonts w:ascii="Times New Roman" w:eastAsia="微软雅黑" w:hAnsi="Times New Roman" w:cs="Times New Roman"/>
          <w:b/>
          <w:sz w:val="28"/>
          <w:szCs w:val="28"/>
        </w:rPr>
      </w:pPr>
    </w:p>
    <w:p w:rsidR="002D6DB7" w:rsidRDefault="00941A9D" w:rsidP="002D6DB7">
      <w:pPr>
        <w:widowControl/>
        <w:spacing w:line="360" w:lineRule="auto"/>
        <w:jc w:val="center"/>
        <w:outlineLvl w:val="0"/>
        <w:rPr>
          <w:rFonts w:ascii="Times New Roman" w:eastAsia="宋体" w:hAnsi="Times New Roman" w:cs="Times New Roman" w:hint="eastAsia"/>
          <w:b/>
          <w:bCs/>
          <w:kern w:val="36"/>
          <w:sz w:val="24"/>
          <w:szCs w:val="24"/>
        </w:rPr>
      </w:pPr>
      <w:r>
        <w:rPr>
          <w:rFonts w:ascii="Times New Roman" w:eastAsia="微软雅黑" w:hAnsi="Times New Roman" w:cs="Times New Roman"/>
          <w:b/>
          <w:sz w:val="28"/>
          <w:szCs w:val="28"/>
        </w:rPr>
        <w:t>Gold Futures Contract of</w:t>
      </w:r>
      <w:r w:rsidR="00163A57" w:rsidRPr="00FE53C1">
        <w:rPr>
          <w:rFonts w:ascii="Times New Roman" w:eastAsia="微软雅黑" w:hAnsi="Times New Roman" w:cs="Times New Roman"/>
          <w:b/>
          <w:sz w:val="28"/>
          <w:szCs w:val="28"/>
        </w:rPr>
        <w:t xml:space="preserve"> Shanghai Futures Exchange</w:t>
      </w:r>
      <w:r w:rsidR="002D6DB7" w:rsidRPr="002D6DB7">
        <w:rPr>
          <w:rFonts w:ascii="Times New Roman" w:eastAsia="宋体" w:hAnsi="Times New Roman" w:cs="Times New Roman"/>
          <w:b/>
          <w:bCs/>
          <w:kern w:val="36"/>
          <w:sz w:val="28"/>
          <w:szCs w:val="28"/>
        </w:rPr>
        <w:t xml:space="preserve"> </w:t>
      </w:r>
      <w:r w:rsidR="00AC5039">
        <w:rPr>
          <w:rFonts w:ascii="Times New Roman" w:eastAsia="宋体" w:hAnsi="Times New Roman" w:cs="Times New Roman"/>
          <w:b/>
          <w:bCs/>
          <w:kern w:val="36"/>
          <w:sz w:val="28"/>
          <w:szCs w:val="28"/>
        </w:rPr>
        <w:t>(Revised)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95647" w:rsidRPr="00895647" w:rsidTr="00895647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647" w:rsidRPr="00895647" w:rsidRDefault="00895647" w:rsidP="00895647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56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95647" w:rsidRPr="00895647" w:rsidTr="00163A5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8"/>
              <w:tblW w:w="4950" w:type="pct"/>
              <w:tblLook w:val="04A0" w:firstRow="1" w:lastRow="0" w:firstColumn="1" w:lastColumn="0" w:noHBand="0" w:noVBand="1"/>
            </w:tblPr>
            <w:tblGrid>
              <w:gridCol w:w="4021"/>
              <w:gridCol w:w="4192"/>
            </w:tblGrid>
            <w:tr w:rsidR="00895647" w:rsidRPr="00895647" w:rsidTr="00163A57">
              <w:tc>
                <w:tcPr>
                  <w:tcW w:w="4021" w:type="dxa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Product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Gold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Contract Size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1 kilogram/lot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Price Quotation 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(RMB) Yuan /gram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Minimum Price Fluctuation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530385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0.02</w:t>
                  </w:r>
                  <w:r w:rsidR="00895647"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Yuan/gram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Daily Price Limit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Within </w:t>
                  </w:r>
                  <w:r w:rsidR="00530385" w:rsidRPr="00163A57">
                    <w:rPr>
                      <w:rFonts w:ascii="Times New Roman" w:eastAsia="方正仿宋简体" w:hAnsi="Times New Roman" w:cs="Times New Roman"/>
                      <w:sz w:val="22"/>
                    </w:rPr>
                    <w:t>±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3% </w:t>
                  </w:r>
                  <w:r w:rsidR="00530385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of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the settlement price of the </w:t>
                  </w:r>
                  <w:r w:rsidR="00530385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proceeding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trading day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530385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Listed </w:t>
                  </w:r>
                  <w:r w:rsidR="00895647"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Contract</w:t>
                  </w:r>
                  <w:r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s</w:t>
                  </w:r>
                  <w:r w:rsidR="00895647"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Monthly contract of the recent 3 consecutive months and consecutive even months contracts within the recent 1</w:t>
                  </w:r>
                  <w:r w:rsidR="00530385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3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months 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Trading Hours 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9:00 a.m. to 11:30 a.m., 1:30 p.m. to 3:00 p.m. (the Beijing Time) and other trading hours as prescribed by SHFE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Last Trading Day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530385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The 15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  <w:vertAlign w:val="superscript"/>
                    </w:rPr>
                    <w:t>th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day of the </w:t>
                  </w:r>
                  <w:r w:rsidR="00530385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contract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month (</w:t>
                  </w:r>
                  <w:r w:rsidR="00530385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postponed accordingly i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f it is </w:t>
                  </w:r>
                  <w:r w:rsidR="00530385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national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holiday</w:t>
                  </w:r>
                  <w:r w:rsidR="00530385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as prescribed by the PRC law and subject to separate announcement by the Exchange if it falls in the Spring Festival month or any other month specially designated by the Exchange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)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Delivery Period 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5 consecutive business days after the last trading day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Grade</w:t>
                  </w:r>
                  <w:r w:rsidR="00530385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s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and Quality Specifications 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Domestic product: gold bullion with a fineness of no lower than 99.95%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br/>
                    <w:t xml:space="preserve">Foreign product: Standard bullions of the suppliers and refiners of the </w:t>
                  </w:r>
                  <w:r w:rsidR="001F0CFD">
                    <w:rPr>
                      <w:rFonts w:ascii="Times New Roman" w:eastAsia="宋体" w:hAnsi="Times New Roman" w:cs="Times New Roman" w:hint="eastAsia"/>
                      <w:color w:val="3B3B3B"/>
                      <w:kern w:val="0"/>
                      <w:sz w:val="17"/>
                      <w:szCs w:val="17"/>
                    </w:rPr>
                    <w:t>Good</w:t>
                  </w:r>
                  <w:r w:rsidR="001F0CFD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</w:t>
                  </w:r>
                  <w:r w:rsidR="001F0CFD">
                    <w:rPr>
                      <w:rFonts w:ascii="Times New Roman" w:eastAsia="宋体" w:hAnsi="Times New Roman" w:cs="Times New Roman" w:hint="eastAsia"/>
                      <w:color w:val="3B3B3B"/>
                      <w:kern w:val="0"/>
                      <w:sz w:val="17"/>
                      <w:szCs w:val="17"/>
                    </w:rPr>
                    <w:t>Delivery</w:t>
                  </w:r>
                  <w:r w:rsidR="001F0CFD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</w:t>
                  </w:r>
                  <w:r w:rsidR="001F0CFD">
                    <w:rPr>
                      <w:rFonts w:ascii="Times New Roman" w:eastAsia="宋体" w:hAnsi="Times New Roman" w:cs="Times New Roman" w:hint="eastAsia"/>
                      <w:color w:val="3B3B3B"/>
                      <w:kern w:val="0"/>
                      <w:sz w:val="17"/>
                      <w:szCs w:val="17"/>
                    </w:rPr>
                    <w:t>List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of LBMA that are </w:t>
                  </w:r>
                  <w:r w:rsidR="00A153E9">
                    <w:rPr>
                      <w:rFonts w:ascii="Times New Roman" w:eastAsia="宋体" w:hAnsi="Times New Roman" w:cs="Times New Roman" w:hint="eastAsia"/>
                      <w:color w:val="3B3B3B"/>
                      <w:kern w:val="0"/>
                      <w:sz w:val="17"/>
                      <w:szCs w:val="17"/>
                    </w:rPr>
                    <w:t>accepted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by SHFE for physical delivery. </w:t>
                  </w:r>
                </w:p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(More details on quality specifications to be found in the 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lastRenderedPageBreak/>
                    <w:t xml:space="preserve">Appendix) 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lastRenderedPageBreak/>
                    <w:t xml:space="preserve">Delivery Venue 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Delivery </w:t>
                  </w:r>
                  <w:r w:rsidR="00163A57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w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arehouse</w:t>
                  </w:r>
                  <w:r w:rsidR="00163A57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(s)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 </w:t>
                  </w:r>
                  <w:r w:rsidR="00163A57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designated by the Exchange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Minimum Trade Margin 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4% of contract value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Settlement Type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Physical Delivery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Contract Symbol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AU </w:t>
                  </w:r>
                </w:p>
              </w:tc>
            </w:tr>
            <w:tr w:rsidR="00895647" w:rsidRPr="00895647" w:rsidTr="00163A57"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 </w:t>
                  </w:r>
                  <w:r w:rsidR="00163A57" w:rsidRPr="00163A5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Listing </w:t>
                  </w: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>Exchange</w:t>
                  </w:r>
                </w:p>
              </w:tc>
              <w:tc>
                <w:tcPr>
                  <w:tcW w:w="0" w:type="auto"/>
                  <w:hideMark/>
                </w:tcPr>
                <w:p w:rsidR="00895647" w:rsidRPr="00895647" w:rsidRDefault="00895647" w:rsidP="00895647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895647">
                    <w:rPr>
                      <w:rFonts w:ascii="Times New Roman" w:eastAsia="宋体" w:hAnsi="Times New Roman" w:cs="Times New Roman"/>
                      <w:color w:val="3B3B3B"/>
                      <w:kern w:val="0"/>
                      <w:sz w:val="17"/>
                      <w:szCs w:val="17"/>
                    </w:rPr>
                    <w:t xml:space="preserve">SHFE </w:t>
                  </w:r>
                </w:p>
              </w:tc>
            </w:tr>
          </w:tbl>
          <w:p w:rsidR="00895647" w:rsidRPr="00895647" w:rsidRDefault="00895647" w:rsidP="008956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95647" w:rsidRPr="00895647" w:rsidRDefault="00895647" w:rsidP="00895647">
      <w:pPr>
        <w:widowControl/>
        <w:jc w:val="left"/>
        <w:rPr>
          <w:rFonts w:ascii="Times New Roman" w:eastAsia="宋体" w:hAnsi="Times New Roman" w:cs="Times New Roman"/>
          <w:vanish/>
          <w:kern w:val="0"/>
          <w:sz w:val="24"/>
          <w:szCs w:val="24"/>
        </w:rPr>
      </w:pPr>
    </w:p>
    <w:p w:rsidR="00FE53C1" w:rsidRDefault="00FE53C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95647" w:rsidRPr="00895647" w:rsidTr="00163A57">
        <w:tc>
          <w:tcPr>
            <w:tcW w:w="5000" w:type="pct"/>
            <w:vAlign w:val="center"/>
            <w:hideMark/>
          </w:tcPr>
          <w:p w:rsidR="00895647" w:rsidRPr="00895647" w:rsidRDefault="00895647" w:rsidP="0089564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56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163A57" w:rsidRPr="00163A57" w:rsidRDefault="00163A57" w:rsidP="00163A57">
      <w:pPr>
        <w:widowControl/>
        <w:spacing w:before="100" w:beforeAutospacing="1" w:after="100" w:afterAutospacing="1"/>
        <w:jc w:val="left"/>
        <w:outlineLvl w:val="0"/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</w:pPr>
      <w:r w:rsidRPr="00163A57"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  <w:t>Appendix to Gold Futures Contract of Shanghai Futures Exchange</w:t>
      </w:r>
    </w:p>
    <w:p w:rsidR="00163A57" w:rsidRPr="00163A57" w:rsidRDefault="00163A57" w:rsidP="00163A5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I. Delivery Unit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</w:t>
      </w:r>
      <w:r w:rsidR="00971C01">
        <w:rPr>
          <w:rFonts w:ascii="Times New Roman" w:eastAsia="宋体" w:hAnsi="Times New Roman" w:cs="Times New Roman" w:hint="eastAsia"/>
          <w:kern w:val="0"/>
          <w:sz w:val="24"/>
          <w:szCs w:val="24"/>
        </w:rPr>
        <w:t>contract</w:t>
      </w: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971C01">
        <w:rPr>
          <w:rFonts w:ascii="Times New Roman" w:eastAsia="宋体" w:hAnsi="Times New Roman" w:cs="Times New Roman" w:hint="eastAsia"/>
          <w:kern w:val="0"/>
          <w:sz w:val="24"/>
          <w:szCs w:val="24"/>
        </w:rPr>
        <w:t>size</w:t>
      </w: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Gold</w:t>
      </w:r>
      <w:r w:rsidR="00971C0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futures</w:t>
      </w: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1 kilogram/lot</w:t>
      </w:r>
      <w:r w:rsidR="001F0CFD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1F0CFD"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="00971C0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he </w:t>
      </w: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>delivery unit is standard weight (net weight) 3 kilogram</w:t>
      </w:r>
      <w:r w:rsidR="00971C0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per standard </w:t>
      </w: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warrant, and the delivery shall be made in </w:t>
      </w:r>
      <w:r w:rsidR="00971C01">
        <w:rPr>
          <w:rFonts w:ascii="Times New Roman" w:eastAsia="宋体" w:hAnsi="Times New Roman" w:cs="Times New Roman" w:hint="eastAsia"/>
          <w:kern w:val="0"/>
          <w:sz w:val="24"/>
          <w:szCs w:val="24"/>
        </w:rPr>
        <w:t>the</w:t>
      </w: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integral multiple</w:t>
      </w:r>
      <w:r w:rsidR="00971C01">
        <w:rPr>
          <w:rFonts w:ascii="Times New Roman" w:eastAsia="宋体" w:hAnsi="Times New Roman" w:cs="Times New Roman" w:hint="eastAsia"/>
          <w:kern w:val="0"/>
          <w:sz w:val="24"/>
          <w:szCs w:val="24"/>
        </w:rPr>
        <w:t>s</w:t>
      </w: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</w:t>
      </w:r>
      <w:r w:rsidR="00A153E9">
        <w:rPr>
          <w:rFonts w:ascii="Times New Roman" w:eastAsia="宋体" w:hAnsi="Times New Roman" w:cs="Times New Roman" w:hint="eastAsia"/>
          <w:kern w:val="0"/>
          <w:sz w:val="24"/>
          <w:szCs w:val="24"/>
        </w:rPr>
        <w:t>the delivery unit</w:t>
      </w: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II. Quality Standards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(1) The gold </w:t>
      </w:r>
      <w:r w:rsidR="00CF055E">
        <w:rPr>
          <w:rFonts w:ascii="Times New Roman" w:eastAsia="宋体" w:hAnsi="Times New Roman" w:cs="Times New Roman"/>
          <w:kern w:val="0"/>
          <w:sz w:val="24"/>
          <w:szCs w:val="24"/>
        </w:rPr>
        <w:t>content</w:t>
      </w: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gold bullions for the physical delivery of this contract shall not be lower than 99.95%.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(2) The chemical composition of domestic gold bullions shall also meet the specifications in the following table: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29250" cy="1304925"/>
            <wp:effectExtent l="19050" t="0" r="0" b="0"/>
            <wp:docPr id="1" name="图片 1" descr="http://www.shfe.com.cn/upload/dir_20111216/13927_2011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fe.com.cn/upload/dir_20111216/13927_20111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Other specifications shall comply with the requirements of the GB/T4134-2003 standard.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(3) The delivery gold bullions are 1 kilogram standard gold bullions (with gold content of not less than 99.99%) or 3 kilogram standard gold bullions (with gold content of not less than 99.95%).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(4) For 3 kilogram gold bullions, the allowed weight (net weight) shortage or surplus for each gold bullion shall not exceed ±50 grams; while for 1 kilogram gold bullions, the weight of each gold bullion shall not be less than 1000 grams, counted as 1000 grams for those over 1000 grams.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scale difference of each gold bullion shall not exceed ±0.1 gram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(5) The gold for each warrant must consist of gold bullions produced by the same producer, of the same grade, with the same trademark, quality grade and block shape.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(6) The gold bullions for each warrant must be of a registered brand approved or recognized by SHFE with the corresponding quality certificate.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III. Producers and Registered Brands Recognized by SHFE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gold bullions for physical delivery must be of a brand registered with SHFE, or standard bullions of the suppliers and refiners of </w:t>
      </w:r>
      <w:r w:rsidR="00556CB1" w:rsidRPr="00556CB1">
        <w:rPr>
          <w:rFonts w:ascii="Times New Roman" w:eastAsia="宋体" w:hAnsi="Times New Roman" w:cs="Times New Roman"/>
          <w:kern w:val="0"/>
          <w:sz w:val="24"/>
          <w:szCs w:val="24"/>
        </w:rPr>
        <w:t xml:space="preserve">Good Delivery List </w:t>
      </w: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of LBMA and accepted by SHFE for physical delivery. The specific registered brands and levels of premium &amp; discount shall be separately prescribed and announced by SHFE.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IV. Designated Delivery Warehouses </w:t>
      </w:r>
    </w:p>
    <w:p w:rsidR="00163A57" w:rsidRPr="00163A57" w:rsidRDefault="00163A57" w:rsidP="00163A57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63A57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Designated Delivery Warehouses shall be designated and separately announced by SHFE. </w:t>
      </w:r>
    </w:p>
    <w:p w:rsidR="00A96C59" w:rsidRPr="00163A57" w:rsidRDefault="00A96C59">
      <w:pPr>
        <w:rPr>
          <w:rFonts w:ascii="Times New Roman" w:hAnsi="Times New Roman" w:cs="Times New Roman"/>
        </w:rPr>
      </w:pPr>
    </w:p>
    <w:sectPr w:rsidR="00A96C59" w:rsidRPr="00163A57" w:rsidSect="00553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9054A8" w16cid:durableId="218A616A"/>
  <w16cid:commentId w16cid:paraId="170C6E7A" w16cid:durableId="218A616B"/>
  <w16cid:commentId w16cid:paraId="52F6EFB2" w16cid:durableId="218A616C"/>
  <w16cid:commentId w16cid:paraId="66567466" w16cid:durableId="218A61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36" w:rsidRDefault="00F20636" w:rsidP="00EB446B">
      <w:r>
        <w:separator/>
      </w:r>
    </w:p>
  </w:endnote>
  <w:endnote w:type="continuationSeparator" w:id="0">
    <w:p w:rsidR="00F20636" w:rsidRDefault="00F20636" w:rsidP="00EB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36" w:rsidRDefault="00F20636" w:rsidP="00EB446B">
      <w:r>
        <w:separator/>
      </w:r>
    </w:p>
  </w:footnote>
  <w:footnote w:type="continuationSeparator" w:id="0">
    <w:p w:rsidR="00F20636" w:rsidRDefault="00F20636" w:rsidP="00EB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647"/>
    <w:rsid w:val="00163A57"/>
    <w:rsid w:val="001F0CFD"/>
    <w:rsid w:val="0025615E"/>
    <w:rsid w:val="0026378E"/>
    <w:rsid w:val="002D6DB7"/>
    <w:rsid w:val="003B5500"/>
    <w:rsid w:val="00481C02"/>
    <w:rsid w:val="004A4CBE"/>
    <w:rsid w:val="00530385"/>
    <w:rsid w:val="00530B42"/>
    <w:rsid w:val="00553B19"/>
    <w:rsid w:val="00556CB1"/>
    <w:rsid w:val="008312D3"/>
    <w:rsid w:val="00895647"/>
    <w:rsid w:val="00941A9D"/>
    <w:rsid w:val="00967408"/>
    <w:rsid w:val="00971C01"/>
    <w:rsid w:val="00A153E9"/>
    <w:rsid w:val="00A96C59"/>
    <w:rsid w:val="00AC5039"/>
    <w:rsid w:val="00AC734A"/>
    <w:rsid w:val="00CF055E"/>
    <w:rsid w:val="00EB446B"/>
    <w:rsid w:val="00F20636"/>
    <w:rsid w:val="00F50C2F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83C0E6-2B83-41BC-8D16-3C5810B3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1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56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5647"/>
    <w:rPr>
      <w:rFonts w:ascii="宋体" w:eastAsia="宋体" w:hAnsi="宋体" w:cs="宋体"/>
      <w:b/>
      <w:bCs/>
      <w:kern w:val="36"/>
      <w:sz w:val="24"/>
      <w:szCs w:val="24"/>
    </w:rPr>
  </w:style>
  <w:style w:type="paragraph" w:customStyle="1" w:styleId="article-date">
    <w:name w:val="article-date"/>
    <w:basedOn w:val="a"/>
    <w:rsid w:val="008956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3038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3038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3038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3038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53038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303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0385"/>
    <w:rPr>
      <w:sz w:val="18"/>
      <w:szCs w:val="18"/>
    </w:rPr>
  </w:style>
  <w:style w:type="paragraph" w:styleId="a7">
    <w:name w:val="Revision"/>
    <w:hidden/>
    <w:uiPriority w:val="99"/>
    <w:semiHidden/>
    <w:rsid w:val="00163A57"/>
  </w:style>
  <w:style w:type="table" w:styleId="a8">
    <w:name w:val="Table Grid"/>
    <w:basedOn w:val="a1"/>
    <w:uiPriority w:val="59"/>
    <w:rsid w:val="0016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163A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link w:val="Char2"/>
    <w:uiPriority w:val="99"/>
    <w:unhideWhenUsed/>
    <w:rsid w:val="00EB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EB446B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EB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EB4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2933</Characters>
  <Application>Microsoft Office Word</Application>
  <DocSecurity>0</DocSecurity>
  <Lines>24</Lines>
  <Paragraphs>6</Paragraphs>
  <ScaleCrop>false</ScaleCrop>
  <Company>SHFE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仝童</cp:lastModifiedBy>
  <cp:revision>4</cp:revision>
  <dcterms:created xsi:type="dcterms:W3CDTF">2019-12-02T07:50:00Z</dcterms:created>
  <dcterms:modified xsi:type="dcterms:W3CDTF">2019-12-02T09:39:00Z</dcterms:modified>
</cp:coreProperties>
</file>