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37" w:rsidRPr="008B60D4" w:rsidRDefault="00C70A37" w:rsidP="00C70A37">
      <w:pPr>
        <w:spacing w:afterLines="100" w:after="312" w:line="276" w:lineRule="auto"/>
        <w:jc w:val="left"/>
        <w:rPr>
          <w:rFonts w:ascii="Times New Roman" w:eastAsia="宋体" w:hAnsi="Times New Roman" w:cs="Times New Roman"/>
          <w:b/>
          <w:bCs/>
          <w:sz w:val="22"/>
        </w:rPr>
      </w:pPr>
      <w:r w:rsidRPr="008B60D4">
        <w:rPr>
          <w:rFonts w:ascii="Times New Roman" w:eastAsia="宋体" w:hAnsi="Times New Roman" w:cs="Times New Roman"/>
          <w:b/>
          <w:bCs/>
          <w:sz w:val="22"/>
        </w:rPr>
        <w:t>Appendix 1</w:t>
      </w:r>
    </w:p>
    <w:p w:rsidR="00C70A37" w:rsidRPr="008B60D4" w:rsidRDefault="00C70A37" w:rsidP="00C70A37">
      <w:pPr>
        <w:spacing w:afterLines="150" w:after="468" w:line="276" w:lineRule="auto"/>
        <w:jc w:val="center"/>
        <w:rPr>
          <w:rFonts w:ascii="Times New Roman" w:eastAsia="宋体" w:hAnsi="Times New Roman" w:cs="Times New Roman"/>
          <w:b/>
          <w:bCs/>
          <w:sz w:val="24"/>
          <w:szCs w:val="24"/>
        </w:rPr>
      </w:pPr>
      <w:r w:rsidRPr="008B60D4">
        <w:rPr>
          <w:rFonts w:ascii="Times New Roman" w:eastAsia="宋体" w:hAnsi="Times New Roman" w:cs="Times New Roman"/>
          <w:b/>
          <w:bCs/>
          <w:sz w:val="24"/>
          <w:szCs w:val="24"/>
        </w:rPr>
        <w:t xml:space="preserve">Explanation of </w:t>
      </w:r>
      <w:r w:rsidRPr="008B60D4">
        <w:rPr>
          <w:rFonts w:ascii="Times New Roman" w:eastAsia="宋体" w:hAnsi="Times New Roman" w:cs="Times New Roman" w:hint="eastAsia"/>
          <w:b/>
          <w:bCs/>
          <w:sz w:val="24"/>
          <w:szCs w:val="24"/>
        </w:rPr>
        <w:t>Revisions</w:t>
      </w:r>
      <w:r w:rsidRPr="008B60D4">
        <w:rPr>
          <w:rFonts w:ascii="Times New Roman" w:eastAsia="宋体" w:hAnsi="Times New Roman" w:cs="Times New Roman"/>
          <w:b/>
          <w:bCs/>
          <w:sz w:val="24"/>
          <w:szCs w:val="24"/>
        </w:rPr>
        <w:t xml:space="preserve"> to the </w:t>
      </w:r>
      <w:r w:rsidRPr="008B60D4">
        <w:rPr>
          <w:rFonts w:ascii="Times New Roman" w:eastAsia="宋体" w:hAnsi="Times New Roman" w:cs="Times New Roman"/>
          <w:b/>
          <w:bCs/>
          <w:i/>
          <w:iCs/>
          <w:sz w:val="24"/>
          <w:szCs w:val="24"/>
        </w:rPr>
        <w:t xml:space="preserve">Clearing Rules of the Shanghai International Energy Exchange </w:t>
      </w:r>
      <w:r w:rsidRPr="008B60D4">
        <w:rPr>
          <w:rFonts w:ascii="Times New Roman" w:eastAsia="宋体" w:hAnsi="Times New Roman" w:cs="Times New Roman"/>
          <w:b/>
          <w:bCs/>
          <w:sz w:val="24"/>
          <w:szCs w:val="24"/>
        </w:rPr>
        <w:t>and Related Rules</w:t>
      </w:r>
    </w:p>
    <w:p w:rsidR="00C70A37" w:rsidRPr="008B60D4" w:rsidRDefault="00C70A37" w:rsidP="00C70A37">
      <w:pPr>
        <w:spacing w:afterLines="100" w:after="312" w:line="276" w:lineRule="auto"/>
        <w:jc w:val="left"/>
        <w:rPr>
          <w:rFonts w:ascii="Times New Roman" w:eastAsia="宋体" w:hAnsi="Times New Roman" w:cs="Times New Roman"/>
          <w:sz w:val="22"/>
        </w:rPr>
      </w:pPr>
      <w:r w:rsidRPr="008B60D4">
        <w:rPr>
          <w:rFonts w:ascii="Times New Roman" w:eastAsia="宋体" w:hAnsi="Times New Roman" w:cs="Times New Roman"/>
          <w:sz w:val="22"/>
        </w:rPr>
        <w:t xml:space="preserve">Government bonds </w:t>
      </w:r>
      <w:r w:rsidRPr="008B60D4">
        <w:rPr>
          <w:rFonts w:ascii="Times New Roman" w:eastAsia="宋体" w:hAnsi="Times New Roman" w:cs="Times New Roman" w:hint="eastAsia"/>
          <w:sz w:val="22"/>
        </w:rPr>
        <w:t xml:space="preserve">are </w:t>
      </w:r>
      <w:r w:rsidRPr="008B60D4">
        <w:rPr>
          <w:rFonts w:ascii="Times New Roman" w:eastAsia="宋体" w:hAnsi="Times New Roman" w:cs="Times New Roman"/>
          <w:sz w:val="22"/>
        </w:rPr>
        <w:t>high-quality collateral</w:t>
      </w:r>
      <w:r w:rsidRPr="008B60D4">
        <w:rPr>
          <w:rFonts w:ascii="Times New Roman" w:eastAsia="宋体" w:hAnsi="Times New Roman" w:cs="Times New Roman" w:hint="eastAsia"/>
          <w:sz w:val="22"/>
        </w:rPr>
        <w:t xml:space="preserve">s </w:t>
      </w:r>
      <w:r w:rsidRPr="008B60D4">
        <w:rPr>
          <w:rFonts w:ascii="Times New Roman" w:eastAsia="宋体" w:hAnsi="Times New Roman" w:cs="Times New Roman"/>
          <w:sz w:val="22"/>
        </w:rPr>
        <w:t>given</w:t>
      </w:r>
      <w:r w:rsidRPr="008B60D4">
        <w:rPr>
          <w:rFonts w:ascii="Times New Roman" w:eastAsia="宋体" w:hAnsi="Times New Roman" w:cs="Times New Roman" w:hint="eastAsia"/>
          <w:sz w:val="22"/>
        </w:rPr>
        <w:t xml:space="preserve"> their </w:t>
      </w:r>
      <w:r w:rsidRPr="008B60D4">
        <w:rPr>
          <w:rFonts w:ascii="Times New Roman" w:eastAsia="宋体" w:hAnsi="Times New Roman" w:cs="Times New Roman"/>
          <w:sz w:val="22"/>
        </w:rPr>
        <w:t xml:space="preserve">stable value and strong liquidity. </w:t>
      </w:r>
      <w:r w:rsidRPr="008B60D4">
        <w:rPr>
          <w:rFonts w:ascii="Times New Roman" w:eastAsia="宋体" w:hAnsi="Times New Roman" w:cs="Times New Roman" w:hint="eastAsia"/>
          <w:sz w:val="22"/>
        </w:rPr>
        <w:t>Accepting g</w:t>
      </w:r>
      <w:r w:rsidRPr="008B60D4">
        <w:rPr>
          <w:rFonts w:ascii="Times New Roman" w:eastAsia="宋体" w:hAnsi="Times New Roman" w:cs="Times New Roman"/>
          <w:sz w:val="22"/>
        </w:rPr>
        <w:t xml:space="preserve">overnment bonds </w:t>
      </w:r>
      <w:r w:rsidRPr="008B60D4">
        <w:rPr>
          <w:rFonts w:ascii="Times New Roman" w:eastAsia="宋体" w:hAnsi="Times New Roman" w:cs="Times New Roman" w:hint="eastAsia"/>
          <w:sz w:val="22"/>
        </w:rPr>
        <w:t>a</w:t>
      </w:r>
      <w:r w:rsidRPr="008B60D4">
        <w:rPr>
          <w:rFonts w:ascii="Times New Roman" w:eastAsia="宋体" w:hAnsi="Times New Roman" w:cs="Times New Roman"/>
          <w:sz w:val="22"/>
        </w:rPr>
        <w:t xml:space="preserve">s margin </w:t>
      </w:r>
      <w:r w:rsidRPr="008B60D4">
        <w:rPr>
          <w:rFonts w:ascii="Times New Roman" w:eastAsia="宋体" w:hAnsi="Times New Roman" w:cs="Times New Roman" w:hint="eastAsia"/>
          <w:sz w:val="22"/>
        </w:rPr>
        <w:t>will expand the coverage of collateralizable securities</w:t>
      </w:r>
      <w:r w:rsidRPr="008B60D4">
        <w:rPr>
          <w:rFonts w:ascii="Times New Roman" w:eastAsia="宋体" w:hAnsi="Times New Roman" w:cs="Times New Roman"/>
          <w:sz w:val="22"/>
        </w:rPr>
        <w:t xml:space="preserve">, lower the trading cost of investors, </w:t>
      </w:r>
      <w:r w:rsidRPr="008B60D4">
        <w:rPr>
          <w:rFonts w:ascii="Times New Roman" w:eastAsia="宋体" w:hAnsi="Times New Roman" w:cs="Times New Roman" w:hint="eastAsia"/>
          <w:sz w:val="22"/>
        </w:rPr>
        <w:t xml:space="preserve">and increase </w:t>
      </w:r>
      <w:r w:rsidRPr="008B60D4">
        <w:rPr>
          <w:rFonts w:ascii="Times New Roman" w:eastAsia="宋体" w:hAnsi="Times New Roman" w:cs="Times New Roman"/>
          <w:sz w:val="22"/>
        </w:rPr>
        <w:t xml:space="preserve">the </w:t>
      </w:r>
      <w:r w:rsidRPr="008B60D4">
        <w:rPr>
          <w:rFonts w:ascii="Times New Roman" w:eastAsia="宋体" w:hAnsi="Times New Roman" w:cs="Times New Roman" w:hint="eastAsia"/>
          <w:sz w:val="22"/>
        </w:rPr>
        <w:t>utilization</w:t>
      </w:r>
      <w:r w:rsidRPr="008B60D4">
        <w:rPr>
          <w:rFonts w:ascii="Times New Roman" w:eastAsia="宋体" w:hAnsi="Times New Roman" w:cs="Times New Roman"/>
          <w:sz w:val="22"/>
        </w:rPr>
        <w:t xml:space="preserve"> of fund</w:t>
      </w:r>
      <w:r w:rsidRPr="008B60D4">
        <w:rPr>
          <w:rFonts w:ascii="Times New Roman" w:eastAsia="宋体" w:hAnsi="Times New Roman" w:cs="Times New Roman" w:hint="eastAsia"/>
          <w:sz w:val="22"/>
        </w:rPr>
        <w:t>s</w:t>
      </w:r>
      <w:r w:rsidRPr="008B60D4">
        <w:rPr>
          <w:rFonts w:ascii="Times New Roman" w:eastAsia="宋体" w:hAnsi="Times New Roman" w:cs="Times New Roman"/>
          <w:sz w:val="22"/>
        </w:rPr>
        <w:t xml:space="preserve">, </w:t>
      </w:r>
      <w:r w:rsidRPr="008B60D4">
        <w:rPr>
          <w:rFonts w:ascii="Times New Roman" w:eastAsia="宋体" w:hAnsi="Times New Roman" w:cs="Times New Roman" w:hint="eastAsia"/>
          <w:sz w:val="22"/>
        </w:rPr>
        <w:t>thus</w:t>
      </w:r>
      <w:r w:rsidRPr="008B60D4">
        <w:rPr>
          <w:rFonts w:ascii="Times New Roman" w:eastAsia="宋体" w:hAnsi="Times New Roman" w:cs="Times New Roman"/>
          <w:sz w:val="22"/>
        </w:rPr>
        <w:t xml:space="preserve"> </w:t>
      </w:r>
      <w:r w:rsidRPr="008B60D4">
        <w:rPr>
          <w:rFonts w:ascii="Times New Roman" w:eastAsia="宋体" w:hAnsi="Times New Roman" w:cs="Times New Roman" w:hint="eastAsia"/>
          <w:sz w:val="22"/>
        </w:rPr>
        <w:t>improving</w:t>
      </w:r>
      <w:r w:rsidRPr="008B60D4">
        <w:rPr>
          <w:rFonts w:ascii="Times New Roman" w:eastAsia="宋体" w:hAnsi="Times New Roman" w:cs="Times New Roman"/>
          <w:sz w:val="22"/>
        </w:rPr>
        <w:t xml:space="preserve"> market operation. To roll out this </w:t>
      </w:r>
      <w:r w:rsidRPr="008B60D4">
        <w:rPr>
          <w:rFonts w:ascii="Times New Roman" w:eastAsia="宋体" w:hAnsi="Times New Roman" w:cs="Times New Roman" w:hint="eastAsia"/>
          <w:sz w:val="22"/>
        </w:rPr>
        <w:t xml:space="preserve">new </w:t>
      </w:r>
      <w:r w:rsidRPr="008B60D4">
        <w:rPr>
          <w:rFonts w:ascii="Times New Roman" w:eastAsia="宋体" w:hAnsi="Times New Roman" w:cs="Times New Roman"/>
          <w:sz w:val="22"/>
        </w:rPr>
        <w:t xml:space="preserve">business, </w:t>
      </w:r>
      <w:r w:rsidRPr="008B60D4">
        <w:rPr>
          <w:rFonts w:ascii="Times New Roman" w:eastAsia="宋体" w:hAnsi="Times New Roman" w:cs="Times New Roman" w:hint="eastAsia"/>
          <w:sz w:val="22"/>
        </w:rPr>
        <w:t xml:space="preserve">the </w:t>
      </w:r>
      <w:r w:rsidRPr="008B60D4">
        <w:rPr>
          <w:rFonts w:ascii="Times New Roman" w:eastAsia="宋体" w:hAnsi="Times New Roman" w:cs="Times New Roman"/>
          <w:sz w:val="22"/>
        </w:rPr>
        <w:t xml:space="preserve">Shanghai International Energy Exchange (the “Exchange”) proposes to revise the </w:t>
      </w:r>
      <w:r w:rsidRPr="008B60D4">
        <w:rPr>
          <w:rFonts w:ascii="Times New Roman" w:eastAsia="宋体" w:hAnsi="Times New Roman" w:cs="Times New Roman"/>
          <w:i/>
          <w:iCs/>
          <w:sz w:val="22"/>
        </w:rPr>
        <w:t>Clearing Rules of the Shanghai International Energy Exchange</w:t>
      </w:r>
      <w:r w:rsidRPr="008B60D4">
        <w:rPr>
          <w:rFonts w:ascii="Times New Roman" w:eastAsia="宋体" w:hAnsi="Times New Roman" w:cs="Times New Roman"/>
          <w:sz w:val="22"/>
        </w:rPr>
        <w:t xml:space="preserve"> (“</w:t>
      </w:r>
      <w:r w:rsidRPr="008B60D4">
        <w:rPr>
          <w:rFonts w:ascii="Times New Roman" w:eastAsia="宋体" w:hAnsi="Times New Roman" w:cs="Times New Roman"/>
          <w:i/>
          <w:iCs/>
          <w:sz w:val="22"/>
        </w:rPr>
        <w:t>Clearing Rules</w:t>
      </w:r>
      <w:r w:rsidRPr="008B60D4">
        <w:rPr>
          <w:rFonts w:ascii="Times New Roman" w:eastAsia="宋体" w:hAnsi="Times New Roman" w:cs="Times New Roman"/>
          <w:sz w:val="22"/>
        </w:rPr>
        <w:t>”) and</w:t>
      </w:r>
      <w:r w:rsidRPr="008B60D4">
        <w:rPr>
          <w:rFonts w:ascii="Times New Roman" w:eastAsia="宋体" w:hAnsi="Times New Roman" w:cs="Times New Roman"/>
          <w:i/>
          <w:iCs/>
          <w:sz w:val="22"/>
        </w:rPr>
        <w:t xml:space="preserve"> Delivery Rules of the Shanghai International Energy Exchange</w:t>
      </w:r>
      <w:r w:rsidRPr="008B60D4">
        <w:rPr>
          <w:rFonts w:ascii="Times New Roman" w:eastAsia="宋体" w:hAnsi="Times New Roman" w:cs="Times New Roman"/>
          <w:sz w:val="22"/>
        </w:rPr>
        <w:t xml:space="preserve"> (“</w:t>
      </w:r>
      <w:r w:rsidRPr="008B60D4">
        <w:rPr>
          <w:rFonts w:ascii="Times New Roman" w:eastAsia="宋体" w:hAnsi="Times New Roman" w:cs="Times New Roman"/>
          <w:i/>
          <w:iCs/>
          <w:sz w:val="22"/>
        </w:rPr>
        <w:t>Delivery Rules</w:t>
      </w:r>
      <w:r w:rsidRPr="008B60D4">
        <w:rPr>
          <w:rFonts w:ascii="Times New Roman" w:eastAsia="宋体" w:hAnsi="Times New Roman" w:cs="Times New Roman"/>
          <w:sz w:val="22"/>
        </w:rPr>
        <w:t>”)</w:t>
      </w:r>
      <w:r w:rsidRPr="008B60D4">
        <w:rPr>
          <w:rFonts w:ascii="Times New Roman" w:eastAsia="宋体" w:hAnsi="Times New Roman" w:cs="Times New Roman" w:hint="eastAsia"/>
          <w:sz w:val="22"/>
        </w:rPr>
        <w:t xml:space="preserve">. </w:t>
      </w:r>
      <w:r w:rsidRPr="008B60D4">
        <w:rPr>
          <w:rFonts w:ascii="Times New Roman" w:eastAsia="宋体" w:hAnsi="Times New Roman" w:cs="Times New Roman"/>
          <w:sz w:val="22"/>
        </w:rPr>
        <w:t>Major revisions</w:t>
      </w:r>
      <w:r w:rsidRPr="008B60D4">
        <w:rPr>
          <w:rFonts w:ascii="Times New Roman" w:eastAsia="宋体" w:hAnsi="Times New Roman" w:cs="Times New Roman" w:hint="eastAsia"/>
          <w:sz w:val="22"/>
        </w:rPr>
        <w:t xml:space="preserve"> are explained </w:t>
      </w:r>
      <w:r w:rsidRPr="008B60D4">
        <w:rPr>
          <w:rFonts w:ascii="Times New Roman" w:eastAsia="宋体" w:hAnsi="Times New Roman" w:cs="Times New Roman"/>
          <w:sz w:val="22"/>
        </w:rPr>
        <w:t xml:space="preserve">as </w:t>
      </w:r>
      <w:r w:rsidRPr="008B60D4">
        <w:rPr>
          <w:rFonts w:ascii="Times New Roman" w:eastAsia="宋体" w:hAnsi="Times New Roman" w:cs="Times New Roman" w:hint="eastAsia"/>
          <w:sz w:val="22"/>
        </w:rPr>
        <w:t>below</w:t>
      </w:r>
      <w:r w:rsidRPr="008B60D4">
        <w:rPr>
          <w:rFonts w:ascii="Times New Roman" w:eastAsia="宋体" w:hAnsi="Times New Roman" w:cs="Times New Roman"/>
          <w:sz w:val="22"/>
        </w:rPr>
        <w:t>:</w:t>
      </w:r>
    </w:p>
    <w:p w:rsidR="00C70A37" w:rsidRPr="008B60D4" w:rsidRDefault="00C70A37" w:rsidP="00C70A37">
      <w:pPr>
        <w:spacing w:afterLines="100" w:after="312" w:line="276" w:lineRule="auto"/>
        <w:jc w:val="left"/>
        <w:rPr>
          <w:rFonts w:ascii="Times New Roman" w:eastAsia="宋体" w:hAnsi="Times New Roman" w:cs="Times New Roman"/>
          <w:i/>
          <w:iCs/>
          <w:sz w:val="22"/>
        </w:rPr>
      </w:pPr>
      <w:r w:rsidRPr="008B60D4">
        <w:rPr>
          <w:rFonts w:ascii="Times New Roman" w:eastAsia="宋体" w:hAnsi="Times New Roman" w:cs="Times New Roman"/>
          <w:sz w:val="22"/>
        </w:rPr>
        <w:t xml:space="preserve">1. Major revisions to the </w:t>
      </w:r>
      <w:r w:rsidRPr="008B60D4">
        <w:rPr>
          <w:rFonts w:ascii="Times New Roman" w:eastAsia="宋体" w:hAnsi="Times New Roman" w:cs="Times New Roman"/>
          <w:i/>
          <w:iCs/>
          <w:sz w:val="22"/>
        </w:rPr>
        <w:t>Clearing Rules</w:t>
      </w:r>
    </w:p>
    <w:p w:rsidR="00C70A37" w:rsidRPr="008B60D4" w:rsidRDefault="00C70A37" w:rsidP="00C70A37">
      <w:pPr>
        <w:spacing w:afterLines="100" w:after="312" w:line="276" w:lineRule="auto"/>
        <w:jc w:val="left"/>
        <w:rPr>
          <w:rFonts w:ascii="Times New Roman" w:eastAsia="宋体" w:hAnsi="Times New Roman" w:cs="Times New Roman"/>
          <w:sz w:val="22"/>
        </w:rPr>
      </w:pPr>
      <w:r w:rsidRPr="008B60D4">
        <w:rPr>
          <w:rFonts w:ascii="Times New Roman" w:eastAsia="宋体" w:hAnsi="Times New Roman" w:cs="Times New Roman"/>
          <w:sz w:val="22"/>
        </w:rPr>
        <w:t>First,</w:t>
      </w:r>
      <w:r w:rsidRPr="008B60D4">
        <w:rPr>
          <w:rFonts w:ascii="Times New Roman" w:eastAsia="宋体" w:hAnsi="Times New Roman" w:cs="Times New Roman" w:hint="eastAsia"/>
          <w:sz w:val="22"/>
        </w:rPr>
        <w:t xml:space="preserve"> </w:t>
      </w:r>
      <w:r w:rsidRPr="008B60D4">
        <w:rPr>
          <w:rFonts w:ascii="Times New Roman" w:eastAsia="宋体" w:hAnsi="Times New Roman" w:cs="Times New Roman"/>
          <w:sz w:val="22"/>
        </w:rPr>
        <w:t>in Article 73 of the</w:t>
      </w:r>
      <w:r w:rsidRPr="008B60D4">
        <w:rPr>
          <w:rFonts w:ascii="Times New Roman" w:eastAsia="宋体" w:hAnsi="Times New Roman" w:cs="Times New Roman"/>
          <w:i/>
          <w:iCs/>
          <w:sz w:val="22"/>
        </w:rPr>
        <w:t xml:space="preserve"> Clearing Rules</w:t>
      </w:r>
      <w:r w:rsidRPr="008B60D4">
        <w:rPr>
          <w:rFonts w:ascii="Times New Roman" w:eastAsia="宋体" w:hAnsi="Times New Roman" w:cs="Times New Roman" w:hint="eastAsia"/>
          <w:sz w:val="22"/>
        </w:rPr>
        <w:t xml:space="preserve">, </w:t>
      </w:r>
      <w:r w:rsidRPr="008B60D4">
        <w:rPr>
          <w:rFonts w:ascii="Times New Roman" w:eastAsia="宋体" w:hAnsi="Times New Roman" w:cs="Times New Roman"/>
          <w:sz w:val="22"/>
        </w:rPr>
        <w:t xml:space="preserve">the Exchange has added the “book-entry </w:t>
      </w:r>
      <w:r w:rsidRPr="008B60D4">
        <w:rPr>
          <w:rFonts w:ascii="Times New Roman" w:eastAsia="宋体" w:hAnsi="Times New Roman" w:cs="Times New Roman" w:hint="eastAsia"/>
          <w:sz w:val="22"/>
        </w:rPr>
        <w:t>g</w:t>
      </w:r>
      <w:r w:rsidRPr="008B60D4">
        <w:rPr>
          <w:rFonts w:ascii="Times New Roman" w:eastAsia="宋体" w:hAnsi="Times New Roman" w:cs="Times New Roman"/>
          <w:sz w:val="22"/>
        </w:rPr>
        <w:t>overnment bonds issued by the Ministry of Finance of the People’s Republic of China in the Chinese Mainland”</w:t>
      </w:r>
      <w:r w:rsidRPr="008B60D4">
        <w:rPr>
          <w:rFonts w:ascii="Times New Roman" w:eastAsia="宋体" w:hAnsi="Times New Roman" w:cs="Times New Roman" w:hint="eastAsia"/>
          <w:sz w:val="22"/>
        </w:rPr>
        <w:t xml:space="preserve"> as another asset</w:t>
      </w:r>
      <w:r w:rsidRPr="008B60D4">
        <w:rPr>
          <w:rFonts w:ascii="Times New Roman" w:eastAsia="宋体" w:hAnsi="Times New Roman" w:cs="Times New Roman"/>
          <w:sz w:val="22"/>
        </w:rPr>
        <w:t xml:space="preserve"> that can be </w:t>
      </w:r>
      <w:r w:rsidRPr="008B60D4">
        <w:rPr>
          <w:rFonts w:ascii="Times New Roman" w:eastAsia="宋体" w:hAnsi="Times New Roman" w:cs="Times New Roman" w:hint="eastAsia"/>
          <w:sz w:val="22"/>
        </w:rPr>
        <w:t>used as margin,</w:t>
      </w:r>
      <w:r w:rsidRPr="008B60D4">
        <w:rPr>
          <w:rFonts w:ascii="Times New Roman" w:eastAsia="宋体" w:hAnsi="Times New Roman" w:cs="Times New Roman"/>
          <w:sz w:val="22"/>
        </w:rPr>
        <w:t xml:space="preserve"> clarify</w:t>
      </w:r>
      <w:r w:rsidRPr="008B60D4">
        <w:rPr>
          <w:rFonts w:ascii="Times New Roman" w:eastAsia="宋体" w:hAnsi="Times New Roman" w:cs="Times New Roman" w:hint="eastAsia"/>
          <w:sz w:val="22"/>
        </w:rPr>
        <w:t>ing</w:t>
      </w:r>
      <w:r w:rsidRPr="008B60D4">
        <w:rPr>
          <w:rFonts w:ascii="Times New Roman" w:eastAsia="宋体" w:hAnsi="Times New Roman" w:cs="Times New Roman"/>
          <w:sz w:val="22"/>
        </w:rPr>
        <w:t xml:space="preserve"> that government bonds </w:t>
      </w:r>
      <w:r w:rsidRPr="008B60D4">
        <w:rPr>
          <w:rFonts w:ascii="Times New Roman" w:eastAsia="宋体" w:hAnsi="Times New Roman" w:cs="Times New Roman" w:hint="eastAsia"/>
          <w:sz w:val="22"/>
        </w:rPr>
        <w:t>are collateralizable</w:t>
      </w:r>
      <w:r w:rsidRPr="008B60D4">
        <w:rPr>
          <w:rFonts w:ascii="Times New Roman" w:eastAsia="宋体" w:hAnsi="Times New Roman" w:cs="Times New Roman"/>
          <w:sz w:val="22"/>
        </w:rPr>
        <w:t>.</w:t>
      </w:r>
    </w:p>
    <w:p w:rsidR="00C70A37" w:rsidRPr="008B60D4" w:rsidRDefault="00C70A37" w:rsidP="00C70A37">
      <w:pPr>
        <w:spacing w:afterLines="100" w:after="312" w:line="276" w:lineRule="auto"/>
        <w:jc w:val="left"/>
        <w:rPr>
          <w:rFonts w:ascii="Times New Roman" w:eastAsia="宋体" w:hAnsi="Times New Roman" w:cs="Times New Roman"/>
          <w:sz w:val="22"/>
        </w:rPr>
      </w:pPr>
      <w:r w:rsidRPr="008B60D4">
        <w:rPr>
          <w:rFonts w:ascii="Times New Roman" w:eastAsia="宋体" w:hAnsi="Times New Roman" w:cs="Times New Roman"/>
          <w:sz w:val="22"/>
        </w:rPr>
        <w:t xml:space="preserve">Second, the Exchange </w:t>
      </w:r>
      <w:r w:rsidRPr="008B60D4">
        <w:rPr>
          <w:rFonts w:ascii="Times New Roman" w:eastAsia="宋体" w:hAnsi="Times New Roman" w:cs="Times New Roman" w:hint="eastAsia"/>
          <w:sz w:val="22"/>
        </w:rPr>
        <w:t xml:space="preserve">has clarified that a </w:t>
      </w:r>
      <w:r w:rsidRPr="008B60D4">
        <w:rPr>
          <w:rFonts w:ascii="Times New Roman" w:eastAsia="宋体" w:hAnsi="Times New Roman" w:cs="Times New Roman"/>
          <w:sz w:val="22"/>
        </w:rPr>
        <w:t>Client, Overseas Intermediary, or OSP</w:t>
      </w:r>
      <w:r w:rsidRPr="008B60D4">
        <w:rPr>
          <w:rFonts w:ascii="Times New Roman" w:eastAsia="宋体" w:hAnsi="Times New Roman" w:cs="Times New Roman" w:hint="eastAsia"/>
          <w:sz w:val="22"/>
        </w:rPr>
        <w:t xml:space="preserve"> will be deemed to have consented to its carrying FF Member</w:t>
      </w:r>
      <w:r w:rsidRPr="008B60D4">
        <w:rPr>
          <w:rFonts w:ascii="Times New Roman" w:eastAsia="宋体" w:hAnsi="Times New Roman" w:cs="Times New Roman"/>
          <w:sz w:val="22"/>
        </w:rPr>
        <w:t>’</w:t>
      </w:r>
      <w:r w:rsidRPr="008B60D4">
        <w:rPr>
          <w:rFonts w:ascii="Times New Roman" w:eastAsia="宋体" w:hAnsi="Times New Roman" w:cs="Times New Roman" w:hint="eastAsia"/>
          <w:sz w:val="22"/>
        </w:rPr>
        <w:t>s submission of its assets as margin, by adding a paragraph that reads</w:t>
      </w:r>
      <w:r w:rsidRPr="008B60D4">
        <w:rPr>
          <w:rFonts w:ascii="Times New Roman" w:eastAsia="宋体" w:hAnsi="Times New Roman" w:cs="Times New Roman"/>
          <w:sz w:val="22"/>
        </w:rPr>
        <w:t xml:space="preserve"> “A Client, an Overseas Intermediary, or an OSP that uses any asset as margin shall be deemed to have allowed its carrying FF Member to submit the assets to the Exchange as margin.”</w:t>
      </w:r>
    </w:p>
    <w:p w:rsidR="00C70A37" w:rsidRPr="008B60D4" w:rsidRDefault="00C70A37" w:rsidP="00C70A37">
      <w:pPr>
        <w:spacing w:afterLines="100" w:after="312" w:line="276" w:lineRule="auto"/>
        <w:jc w:val="left"/>
        <w:rPr>
          <w:rFonts w:ascii="Times New Roman" w:eastAsia="宋体" w:hAnsi="Times New Roman" w:cs="Times New Roman"/>
          <w:sz w:val="22"/>
        </w:rPr>
      </w:pPr>
      <w:r w:rsidRPr="008B60D4">
        <w:rPr>
          <w:rFonts w:ascii="Times New Roman" w:eastAsia="宋体" w:hAnsi="Times New Roman" w:cs="Times New Roman"/>
          <w:sz w:val="22"/>
        </w:rPr>
        <w:t xml:space="preserve">Third, the Exchange has added an authorization </w:t>
      </w:r>
      <w:r w:rsidRPr="008B60D4">
        <w:rPr>
          <w:rFonts w:ascii="Times New Roman" w:eastAsia="宋体" w:hAnsi="Times New Roman" w:cs="Times New Roman" w:hint="eastAsia"/>
          <w:sz w:val="22"/>
        </w:rPr>
        <w:t>paragraph</w:t>
      </w:r>
      <w:r w:rsidRPr="008B60D4">
        <w:rPr>
          <w:rFonts w:ascii="Times New Roman" w:eastAsia="宋体" w:hAnsi="Times New Roman" w:cs="Times New Roman"/>
          <w:sz w:val="22"/>
        </w:rPr>
        <w:t>, which prescribes that “A Client, an OSP, an Overseas Intermediary, or a Member that uses any assets as margin shall be deemed to have authorized the Exchange to transfer the assets or register them as pledged collateral.”</w:t>
      </w:r>
    </w:p>
    <w:p w:rsidR="00C70A37" w:rsidRPr="008B60D4" w:rsidRDefault="00C70A37" w:rsidP="00C70A37">
      <w:pPr>
        <w:spacing w:afterLines="100" w:after="312" w:line="276" w:lineRule="auto"/>
        <w:jc w:val="left"/>
        <w:rPr>
          <w:rFonts w:ascii="Times New Roman" w:eastAsia="宋体" w:hAnsi="Times New Roman" w:cs="Times New Roman"/>
          <w:sz w:val="22"/>
        </w:rPr>
      </w:pPr>
      <w:r w:rsidRPr="008B60D4">
        <w:rPr>
          <w:rFonts w:ascii="Times New Roman" w:eastAsia="宋体" w:hAnsi="Times New Roman" w:cs="Times New Roman"/>
          <w:sz w:val="22"/>
        </w:rPr>
        <w:t xml:space="preserve">Fourth, the Exchange has required that </w:t>
      </w:r>
      <w:r w:rsidRPr="008B60D4">
        <w:rPr>
          <w:rFonts w:ascii="Times New Roman" w:eastAsia="宋体" w:hAnsi="Times New Roman" w:cs="Times New Roman" w:hint="eastAsia"/>
          <w:sz w:val="22"/>
        </w:rPr>
        <w:t>t</w:t>
      </w:r>
      <w:r w:rsidRPr="008B60D4">
        <w:rPr>
          <w:rFonts w:ascii="Times New Roman" w:eastAsia="宋体" w:hAnsi="Times New Roman" w:cs="Times New Roman"/>
          <w:sz w:val="22"/>
        </w:rPr>
        <w:t>he government bonds to be used as margin each time shall have a total face value of at least RMB one million yuan</w:t>
      </w:r>
      <w:r w:rsidRPr="008B60D4">
        <w:rPr>
          <w:rFonts w:ascii="Times New Roman" w:eastAsia="宋体" w:hAnsi="Times New Roman" w:cs="Times New Roman" w:hint="eastAsia"/>
          <w:sz w:val="22"/>
        </w:rPr>
        <w:t>, which is set to ensure that relevant entities</w:t>
      </w:r>
      <w:r w:rsidRPr="008B60D4">
        <w:rPr>
          <w:rFonts w:ascii="Times New Roman" w:eastAsia="宋体" w:hAnsi="Times New Roman" w:cs="Times New Roman"/>
          <w:sz w:val="22"/>
        </w:rPr>
        <w:t xml:space="preserve"> </w:t>
      </w:r>
      <w:r w:rsidRPr="008B60D4">
        <w:rPr>
          <w:rFonts w:ascii="Times New Roman" w:eastAsia="宋体" w:hAnsi="Times New Roman" w:cs="Times New Roman" w:hint="eastAsia"/>
          <w:sz w:val="22"/>
        </w:rPr>
        <w:t xml:space="preserve">have proper </w:t>
      </w:r>
      <w:r w:rsidRPr="008B60D4">
        <w:rPr>
          <w:rFonts w:ascii="Times New Roman" w:eastAsia="宋体" w:hAnsi="Times New Roman" w:cs="Times New Roman"/>
          <w:sz w:val="22"/>
        </w:rPr>
        <w:t>economic strength and risk control capacity</w:t>
      </w:r>
      <w:r w:rsidRPr="008B60D4">
        <w:rPr>
          <w:rFonts w:ascii="Times New Roman" w:eastAsia="宋体" w:hAnsi="Times New Roman" w:cs="Times New Roman" w:hint="eastAsia"/>
          <w:sz w:val="22"/>
        </w:rPr>
        <w:t xml:space="preserve"> and the collateral business can be conducted efficiently. </w:t>
      </w:r>
    </w:p>
    <w:p w:rsidR="00C70A37" w:rsidRPr="008B60D4" w:rsidRDefault="00C70A37" w:rsidP="00C70A37">
      <w:pPr>
        <w:spacing w:afterLines="100" w:after="312" w:line="276" w:lineRule="auto"/>
        <w:jc w:val="left"/>
        <w:rPr>
          <w:rFonts w:ascii="Times New Roman" w:eastAsia="宋体" w:hAnsi="Times New Roman" w:cs="Times New Roman"/>
          <w:sz w:val="22"/>
        </w:rPr>
      </w:pPr>
      <w:r w:rsidRPr="008B60D4">
        <w:rPr>
          <w:rFonts w:ascii="Times New Roman" w:eastAsia="宋体" w:hAnsi="Times New Roman" w:cs="Times New Roman"/>
          <w:sz w:val="22"/>
        </w:rPr>
        <w:t xml:space="preserve">Fifth, the Exchange has </w:t>
      </w:r>
      <w:r w:rsidRPr="008B60D4">
        <w:rPr>
          <w:rFonts w:ascii="Times New Roman" w:eastAsia="宋体" w:hAnsi="Times New Roman" w:cs="Times New Roman" w:hint="eastAsia"/>
          <w:sz w:val="22"/>
        </w:rPr>
        <w:t>specified</w:t>
      </w:r>
      <w:r w:rsidRPr="008B60D4">
        <w:rPr>
          <w:rFonts w:ascii="Times New Roman" w:eastAsia="宋体" w:hAnsi="Times New Roman" w:cs="Times New Roman"/>
          <w:sz w:val="22"/>
        </w:rPr>
        <w:t xml:space="preserve"> the benchmark price of </w:t>
      </w:r>
      <w:r w:rsidRPr="008B60D4">
        <w:rPr>
          <w:rFonts w:ascii="Times New Roman" w:eastAsia="宋体" w:hAnsi="Times New Roman" w:cs="Times New Roman" w:hint="eastAsia"/>
          <w:sz w:val="22"/>
        </w:rPr>
        <w:t xml:space="preserve">collateralized </w:t>
      </w:r>
      <w:r w:rsidRPr="008B60D4">
        <w:rPr>
          <w:rFonts w:ascii="Times New Roman" w:eastAsia="宋体" w:hAnsi="Times New Roman" w:cs="Times New Roman"/>
          <w:sz w:val="22"/>
        </w:rPr>
        <w:t xml:space="preserve">treasury bonds: “For treasury bonds used as margin, the benchmark price shall be the lowest of the valuations provided by the custodian. At daily clearing, the Exchange will use the net of the benchmark </w:t>
      </w:r>
      <w:r w:rsidRPr="008B60D4">
        <w:rPr>
          <w:rFonts w:ascii="Times New Roman" w:eastAsia="宋体" w:hAnsi="Times New Roman" w:cs="Times New Roman"/>
          <w:sz w:val="22"/>
        </w:rPr>
        <w:lastRenderedPageBreak/>
        <w:t>price of the government bonds of the previous trading day for calculating the market value. The Exchange has the right to adjust such benchmark price.”</w:t>
      </w:r>
    </w:p>
    <w:p w:rsidR="00C70A37" w:rsidRPr="008B60D4" w:rsidRDefault="00C70A37" w:rsidP="00C70A37">
      <w:pPr>
        <w:spacing w:afterLines="100" w:after="312" w:line="276" w:lineRule="auto"/>
        <w:jc w:val="left"/>
        <w:rPr>
          <w:rFonts w:ascii="Times New Roman" w:eastAsia="宋体" w:hAnsi="Times New Roman" w:cs="Times New Roman"/>
          <w:kern w:val="0"/>
          <w:sz w:val="22"/>
        </w:rPr>
      </w:pPr>
      <w:r w:rsidRPr="008B60D4">
        <w:rPr>
          <w:rFonts w:ascii="Times New Roman" w:eastAsia="宋体" w:hAnsi="Times New Roman" w:cs="Times New Roman"/>
          <w:kern w:val="0"/>
          <w:sz w:val="22"/>
        </w:rPr>
        <w:t>Sixth, the Exchange has</w:t>
      </w:r>
      <w:r w:rsidRPr="008B60D4">
        <w:rPr>
          <w:rFonts w:ascii="Times New Roman" w:eastAsia="宋体" w:hAnsi="Times New Roman" w:cs="Times New Roman" w:hint="eastAsia"/>
          <w:kern w:val="0"/>
          <w:sz w:val="22"/>
        </w:rPr>
        <w:t xml:space="preserve"> </w:t>
      </w:r>
      <w:r w:rsidRPr="008B60D4">
        <w:rPr>
          <w:rFonts w:ascii="Times New Roman" w:eastAsia="宋体" w:hAnsi="Times New Roman" w:cs="Times New Roman"/>
          <w:kern w:val="0"/>
          <w:sz w:val="22"/>
        </w:rPr>
        <w:t xml:space="preserve">further detailed and revised the procedures for posting securities as margin, the attribution of interest paid on government bonds </w:t>
      </w:r>
      <w:r w:rsidRPr="008B60D4">
        <w:rPr>
          <w:rFonts w:ascii="Times New Roman" w:eastAsia="宋体" w:hAnsi="Times New Roman" w:cs="Times New Roman" w:hint="eastAsia"/>
          <w:kern w:val="0"/>
          <w:sz w:val="22"/>
        </w:rPr>
        <w:t>used</w:t>
      </w:r>
      <w:r w:rsidRPr="008B60D4">
        <w:rPr>
          <w:rFonts w:ascii="Times New Roman" w:eastAsia="宋体" w:hAnsi="Times New Roman" w:cs="Times New Roman"/>
          <w:kern w:val="0"/>
          <w:sz w:val="22"/>
        </w:rPr>
        <w:t xml:space="preserve"> as margin, and the period </w:t>
      </w:r>
      <w:r w:rsidRPr="008B60D4">
        <w:rPr>
          <w:rFonts w:ascii="Times New Roman" w:eastAsia="宋体" w:hAnsi="Times New Roman" w:cs="Times New Roman" w:hint="eastAsia"/>
          <w:kern w:val="0"/>
          <w:sz w:val="22"/>
        </w:rPr>
        <w:t>during which s</w:t>
      </w:r>
      <w:r w:rsidRPr="008B60D4">
        <w:rPr>
          <w:rFonts w:ascii="Times New Roman" w:eastAsia="宋体" w:hAnsi="Times New Roman" w:cs="Times New Roman"/>
          <w:kern w:val="0"/>
          <w:sz w:val="22"/>
        </w:rPr>
        <w:t xml:space="preserve">ecurities </w:t>
      </w:r>
      <w:r w:rsidRPr="008B60D4">
        <w:rPr>
          <w:rFonts w:ascii="Times New Roman" w:eastAsia="宋体" w:hAnsi="Times New Roman" w:cs="Times New Roman" w:hint="eastAsia"/>
          <w:kern w:val="0"/>
          <w:sz w:val="22"/>
        </w:rPr>
        <w:t>may be collateralized</w:t>
      </w:r>
      <w:r w:rsidRPr="008B60D4">
        <w:rPr>
          <w:rFonts w:ascii="Times New Roman" w:eastAsia="宋体" w:hAnsi="Times New Roman" w:cs="Times New Roman"/>
          <w:kern w:val="0"/>
          <w:sz w:val="22"/>
        </w:rPr>
        <w:t>, among others.</w:t>
      </w:r>
    </w:p>
    <w:p w:rsidR="00C70A37" w:rsidRPr="008B60D4" w:rsidRDefault="00C70A37" w:rsidP="00C70A37">
      <w:pPr>
        <w:spacing w:afterLines="100" w:after="312" w:line="276" w:lineRule="auto"/>
        <w:jc w:val="left"/>
        <w:rPr>
          <w:rFonts w:ascii="Times New Roman" w:eastAsia="宋体" w:hAnsi="Times New Roman" w:cs="Times New Roman"/>
          <w:i/>
          <w:iCs/>
          <w:kern w:val="0"/>
          <w:sz w:val="22"/>
        </w:rPr>
      </w:pPr>
      <w:r w:rsidRPr="008B60D4">
        <w:rPr>
          <w:rFonts w:ascii="Times New Roman" w:eastAsia="宋体" w:hAnsi="Times New Roman" w:cs="Times New Roman"/>
          <w:kern w:val="0"/>
          <w:sz w:val="22"/>
        </w:rPr>
        <w:t xml:space="preserve">2. Major revisions to the </w:t>
      </w:r>
      <w:r w:rsidRPr="008B60D4">
        <w:rPr>
          <w:rFonts w:ascii="Times New Roman" w:eastAsia="宋体" w:hAnsi="Times New Roman" w:cs="Times New Roman"/>
          <w:i/>
          <w:iCs/>
          <w:kern w:val="0"/>
          <w:sz w:val="22"/>
        </w:rPr>
        <w:t>Delivery Rules</w:t>
      </w:r>
    </w:p>
    <w:p w:rsidR="00C70A37" w:rsidRPr="008B60D4" w:rsidRDefault="00C70A37" w:rsidP="00C70A37">
      <w:pPr>
        <w:spacing w:afterLines="100" w:after="312" w:line="276" w:lineRule="auto"/>
        <w:jc w:val="left"/>
        <w:rPr>
          <w:rFonts w:ascii="Times New Roman" w:eastAsia="宋体" w:hAnsi="Times New Roman" w:cs="Times New Roman"/>
          <w:kern w:val="0"/>
          <w:sz w:val="22"/>
        </w:rPr>
      </w:pPr>
      <w:r w:rsidRPr="008B60D4">
        <w:rPr>
          <w:rFonts w:ascii="Times New Roman" w:eastAsia="宋体" w:hAnsi="Times New Roman" w:cs="Times New Roman"/>
          <w:kern w:val="0"/>
          <w:sz w:val="22"/>
        </w:rPr>
        <w:t xml:space="preserve">The Exchange has deleted relevant provisions on using standard warrants as margin in the </w:t>
      </w:r>
      <w:r w:rsidRPr="008B60D4">
        <w:rPr>
          <w:rFonts w:ascii="Times New Roman" w:eastAsia="宋体" w:hAnsi="Times New Roman" w:cs="Times New Roman"/>
          <w:i/>
          <w:iCs/>
          <w:kern w:val="0"/>
          <w:sz w:val="22"/>
        </w:rPr>
        <w:t>Delivery Rules</w:t>
      </w:r>
      <w:r w:rsidRPr="008B60D4">
        <w:rPr>
          <w:rFonts w:ascii="Times New Roman" w:eastAsia="宋体" w:hAnsi="Times New Roman" w:cs="Times New Roman"/>
          <w:kern w:val="0"/>
          <w:sz w:val="22"/>
        </w:rPr>
        <w:t xml:space="preserve">, </w:t>
      </w:r>
      <w:r w:rsidRPr="008B60D4">
        <w:rPr>
          <w:rFonts w:ascii="Times New Roman" w:eastAsia="宋体" w:hAnsi="Times New Roman" w:cs="Times New Roman" w:hint="eastAsia"/>
          <w:kern w:val="0"/>
          <w:sz w:val="22"/>
        </w:rPr>
        <w:t>since</w:t>
      </w:r>
      <w:r w:rsidRPr="008B60D4">
        <w:rPr>
          <w:rFonts w:ascii="Times New Roman" w:eastAsia="宋体" w:hAnsi="Times New Roman" w:cs="Times New Roman"/>
          <w:kern w:val="0"/>
          <w:sz w:val="22"/>
        </w:rPr>
        <w:t xml:space="preserve"> the </w:t>
      </w:r>
      <w:r w:rsidRPr="008B60D4">
        <w:rPr>
          <w:rFonts w:ascii="Times New Roman" w:eastAsia="宋体" w:hAnsi="Times New Roman" w:cs="Times New Roman" w:hint="eastAsia"/>
          <w:kern w:val="0"/>
          <w:sz w:val="22"/>
        </w:rPr>
        <w:t xml:space="preserve">revised </w:t>
      </w:r>
      <w:r w:rsidRPr="008B60D4">
        <w:rPr>
          <w:rFonts w:ascii="Times New Roman" w:eastAsia="宋体" w:hAnsi="Times New Roman" w:cs="Times New Roman"/>
          <w:i/>
          <w:iCs/>
          <w:kern w:val="0"/>
          <w:sz w:val="22"/>
        </w:rPr>
        <w:t>Clearing Rules</w:t>
      </w:r>
      <w:r w:rsidRPr="008B60D4">
        <w:rPr>
          <w:rFonts w:ascii="Times New Roman" w:eastAsia="宋体" w:hAnsi="Times New Roman" w:cs="Times New Roman" w:hint="eastAsia"/>
          <w:kern w:val="0"/>
          <w:sz w:val="22"/>
        </w:rPr>
        <w:t xml:space="preserve"> has included </w:t>
      </w:r>
      <w:r w:rsidRPr="008B60D4">
        <w:rPr>
          <w:rFonts w:ascii="Times New Roman" w:eastAsia="宋体" w:hAnsi="Times New Roman" w:cs="Times New Roman"/>
          <w:kern w:val="0"/>
          <w:sz w:val="22"/>
        </w:rPr>
        <w:t xml:space="preserve">provisions on </w:t>
      </w:r>
      <w:r w:rsidRPr="008B60D4">
        <w:rPr>
          <w:rFonts w:ascii="Times New Roman" w:eastAsia="宋体" w:hAnsi="Times New Roman" w:cs="Times New Roman" w:hint="eastAsia"/>
          <w:kern w:val="0"/>
          <w:sz w:val="22"/>
        </w:rPr>
        <w:t xml:space="preserve">the collateralization of </w:t>
      </w:r>
      <w:r w:rsidRPr="008B60D4">
        <w:rPr>
          <w:rFonts w:ascii="Times New Roman" w:eastAsia="宋体" w:hAnsi="Times New Roman" w:cs="Times New Roman"/>
          <w:kern w:val="0"/>
          <w:sz w:val="22"/>
        </w:rPr>
        <w:t>securities.</w:t>
      </w:r>
    </w:p>
    <w:p w:rsidR="00C70A37" w:rsidRPr="008B60D4" w:rsidRDefault="00C70A37" w:rsidP="00C70A37"/>
    <w:p w:rsidR="00D173AB" w:rsidRPr="00C70A37" w:rsidRDefault="00D173AB">
      <w:bookmarkStart w:id="0" w:name="_GoBack"/>
      <w:bookmarkEnd w:id="0"/>
    </w:p>
    <w:sectPr w:rsidR="00D173AB" w:rsidRPr="00C70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C7" w:rsidRDefault="002752C7" w:rsidP="00C70A37">
      <w:r>
        <w:separator/>
      </w:r>
    </w:p>
  </w:endnote>
  <w:endnote w:type="continuationSeparator" w:id="0">
    <w:p w:rsidR="002752C7" w:rsidRDefault="002752C7" w:rsidP="00C7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C7" w:rsidRDefault="002752C7" w:rsidP="00C70A37">
      <w:r>
        <w:separator/>
      </w:r>
    </w:p>
  </w:footnote>
  <w:footnote w:type="continuationSeparator" w:id="0">
    <w:p w:rsidR="002752C7" w:rsidRDefault="002752C7" w:rsidP="00C7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84"/>
    <w:rsid w:val="002752C7"/>
    <w:rsid w:val="00C70A37"/>
    <w:rsid w:val="00D173AB"/>
    <w:rsid w:val="00F7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2FD77-5CCE-46B2-973F-A252C747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A37"/>
    <w:rPr>
      <w:sz w:val="18"/>
      <w:szCs w:val="18"/>
    </w:rPr>
  </w:style>
  <w:style w:type="paragraph" w:styleId="a4">
    <w:name w:val="footer"/>
    <w:basedOn w:val="a"/>
    <w:link w:val="Char0"/>
    <w:uiPriority w:val="99"/>
    <w:unhideWhenUsed/>
    <w:rsid w:val="00C70A37"/>
    <w:pPr>
      <w:tabs>
        <w:tab w:val="center" w:pos="4153"/>
        <w:tab w:val="right" w:pos="8306"/>
      </w:tabs>
      <w:snapToGrid w:val="0"/>
      <w:jc w:val="left"/>
    </w:pPr>
    <w:rPr>
      <w:sz w:val="18"/>
      <w:szCs w:val="18"/>
    </w:rPr>
  </w:style>
  <w:style w:type="character" w:customStyle="1" w:styleId="Char0">
    <w:name w:val="页脚 Char"/>
    <w:basedOn w:val="a0"/>
    <w:link w:val="a4"/>
    <w:uiPriority w:val="99"/>
    <w:rsid w:val="00C70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Company>SHFE</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陆曦</dc:creator>
  <cp:keywords/>
  <dc:description/>
  <cp:lastModifiedBy>陆曦</cp:lastModifiedBy>
  <cp:revision>2</cp:revision>
  <dcterms:created xsi:type="dcterms:W3CDTF">2021-01-04T02:44:00Z</dcterms:created>
  <dcterms:modified xsi:type="dcterms:W3CDTF">2021-01-04T02:44:00Z</dcterms:modified>
</cp:coreProperties>
</file>