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92" w:rsidRDefault="000F7492" w:rsidP="000F7492">
      <w:pPr>
        <w:widowControl/>
        <w:shd w:val="clear" w:color="auto" w:fill="FFFFFF"/>
        <w:spacing w:after="210"/>
        <w:jc w:val="left"/>
        <w:outlineLvl w:val="1"/>
        <w:rPr>
          <w:rFonts w:ascii="方正大标宋简体" w:eastAsia="方正大标宋简体" w:hAnsi="Microsoft YaHei UI" w:cs="宋体"/>
          <w:bCs/>
          <w:spacing w:val="8"/>
          <w:kern w:val="0"/>
          <w:sz w:val="40"/>
          <w:szCs w:val="40"/>
        </w:rPr>
      </w:pPr>
      <w:r>
        <w:rPr>
          <w:rFonts w:ascii="方正大标宋简体" w:eastAsia="方正大标宋简体" w:hAnsi="Microsoft YaHei UI" w:cs="宋体" w:hint="eastAsia"/>
          <w:bCs/>
          <w:spacing w:val="8"/>
          <w:kern w:val="0"/>
          <w:sz w:val="40"/>
          <w:szCs w:val="40"/>
        </w:rPr>
        <w:t>附件</w:t>
      </w:r>
    </w:p>
    <w:p w:rsidR="000C7120" w:rsidRPr="000F7492" w:rsidRDefault="000C7120" w:rsidP="000C2E79">
      <w:pPr>
        <w:widowControl/>
        <w:shd w:val="clear" w:color="auto" w:fill="FFFFFF"/>
        <w:spacing w:after="210"/>
        <w:jc w:val="center"/>
        <w:outlineLvl w:val="1"/>
        <w:rPr>
          <w:rFonts w:ascii="方正大标宋简体" w:eastAsia="方正大标宋简体" w:hAnsi="Microsoft YaHei UI" w:cs="宋体"/>
          <w:bCs/>
          <w:spacing w:val="8"/>
          <w:kern w:val="0"/>
          <w:sz w:val="40"/>
          <w:szCs w:val="40"/>
        </w:rPr>
      </w:pPr>
      <w:r w:rsidRPr="000F7492">
        <w:rPr>
          <w:rFonts w:ascii="方正大标宋简体" w:eastAsia="方正大标宋简体" w:hAnsi="Microsoft YaHei UI" w:cs="宋体" w:hint="eastAsia"/>
          <w:bCs/>
          <w:spacing w:val="8"/>
          <w:kern w:val="0"/>
          <w:sz w:val="40"/>
          <w:szCs w:val="40"/>
        </w:rPr>
        <w:t>上期所2019-2020年度优秀分析师奖项（名单）</w:t>
      </w:r>
    </w:p>
    <w:p w:rsidR="008A7197" w:rsidRPr="000F7492" w:rsidRDefault="000F7492" w:rsidP="008920C6">
      <w:pPr>
        <w:spacing w:line="600" w:lineRule="exact"/>
        <w:rPr>
          <w:rStyle w:val="a3"/>
          <w:rFonts w:ascii="方正黑体简体" w:eastAsia="方正黑体简体" w:hAnsi="Times New Roman" w:cs="Times New Roman"/>
          <w:b w:val="0"/>
          <w:spacing w:val="8"/>
          <w:sz w:val="30"/>
          <w:szCs w:val="30"/>
          <w:shd w:val="clear" w:color="auto" w:fill="FFFFFF"/>
        </w:rPr>
      </w:pPr>
      <w:r w:rsidRPr="000F7492">
        <w:rPr>
          <w:rStyle w:val="a3"/>
          <w:rFonts w:ascii="方正黑体简体" w:eastAsia="方正黑体简体" w:hAnsi="Times New Roman" w:cs="Times New Roman" w:hint="eastAsia"/>
          <w:b w:val="0"/>
          <w:spacing w:val="8"/>
          <w:sz w:val="30"/>
          <w:szCs w:val="30"/>
          <w:shd w:val="clear" w:color="auto" w:fill="FFFFFF"/>
        </w:rPr>
        <w:t>一、</w:t>
      </w:r>
      <w:r w:rsidR="00C866FD" w:rsidRPr="000F7492">
        <w:rPr>
          <w:rStyle w:val="a3"/>
          <w:rFonts w:ascii="方正黑体简体" w:eastAsia="方正黑体简体" w:hAnsi="Times New Roman" w:cs="Times New Roman" w:hint="eastAsia"/>
          <w:b w:val="0"/>
          <w:spacing w:val="8"/>
          <w:sz w:val="30"/>
          <w:szCs w:val="30"/>
          <w:shd w:val="clear" w:color="auto" w:fill="FFFFFF"/>
        </w:rPr>
        <w:t>上海期货交易所奖项</w:t>
      </w:r>
    </w:p>
    <w:p w:rsidR="00C866FD" w:rsidRPr="000F7492" w:rsidRDefault="000F7492" w:rsidP="008920C6">
      <w:pPr>
        <w:spacing w:line="600" w:lineRule="exact"/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方正楷体简体" w:eastAsia="方正楷体简体" w:hAnsi="Times New Roman" w:cs="Times New Roman" w:hint="eastAsia"/>
          <w:spacing w:val="8"/>
          <w:sz w:val="30"/>
          <w:szCs w:val="30"/>
          <w:shd w:val="clear" w:color="auto" w:fill="FFFFFF"/>
        </w:rPr>
        <w:t>（一）</w:t>
      </w:r>
      <w:r w:rsidR="00C866FD" w:rsidRPr="000F7492"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  <w:t>优秀</w:t>
      </w:r>
      <w:r w:rsidR="00012B54" w:rsidRPr="000F7492"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  <w:t>投研</w:t>
      </w:r>
      <w:r w:rsidR="00C866FD" w:rsidRPr="000F7492"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  <w:t>团队奖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国泰君安期货产业服务研究所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方正中期期货研究院（投资咨询部）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国投安信期货研究院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东证衍生品研究院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光大期货研究所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申银万国期货研究所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中信期货研究咨询部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南华期货研究所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华泰期货研究院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广发期货发展研究中心</w:t>
      </w:r>
    </w:p>
    <w:p w:rsidR="00C866FD" w:rsidRPr="000F7492" w:rsidRDefault="000F7492" w:rsidP="008920C6">
      <w:pPr>
        <w:spacing w:line="600" w:lineRule="exact"/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方正楷体简体" w:eastAsia="方正楷体简体" w:hAnsi="Times New Roman" w:cs="Times New Roman" w:hint="eastAsia"/>
          <w:spacing w:val="8"/>
          <w:sz w:val="30"/>
          <w:szCs w:val="30"/>
          <w:shd w:val="clear" w:color="auto" w:fill="FFFFFF"/>
        </w:rPr>
        <w:t>（二）</w:t>
      </w:r>
      <w:r w:rsidR="00C866FD" w:rsidRPr="000F7492"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  <w:t>优秀产业服务团队奖</w:t>
      </w:r>
    </w:p>
    <w:p w:rsidR="00C866FD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1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C866FD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优秀有色金属产业服务团队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中信期货有色金属团队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首创期货有色金属产业服务团队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金瑞期货研究所有色组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国投安信期货研究院有色团队</w:t>
      </w:r>
    </w:p>
    <w:p w:rsidR="00C866FD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2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C866FD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优秀黑色金属产业服务团队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一德期货黑色事业部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lastRenderedPageBreak/>
        <w:t>光大期货研究所黑色研究团队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中信期货黑色金属研究团队</w:t>
      </w:r>
    </w:p>
    <w:p w:rsidR="00C866FD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3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C866FD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优秀贵金属产业服务团队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中信期货贵金属团队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招金期货贵金属研究院（集团事业部）</w:t>
      </w:r>
    </w:p>
    <w:p w:rsidR="00C866FD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4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C866FD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优秀能化产业服务团队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中信期货能化团队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国投安信期货研究院化工团队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国泰君安期货产业服务研究所能化团队</w:t>
      </w:r>
    </w:p>
    <w:p w:rsidR="00C866FD" w:rsidRPr="000F7492" w:rsidRDefault="000F7492" w:rsidP="008920C6">
      <w:pPr>
        <w:spacing w:line="600" w:lineRule="exact"/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方正楷体简体" w:eastAsia="方正楷体简体" w:hAnsi="Times New Roman" w:cs="Times New Roman" w:hint="eastAsia"/>
          <w:spacing w:val="8"/>
          <w:sz w:val="30"/>
          <w:szCs w:val="30"/>
          <w:shd w:val="clear" w:color="auto" w:fill="FFFFFF"/>
        </w:rPr>
        <w:t>（三）</w:t>
      </w:r>
      <w:r w:rsidR="00C866FD" w:rsidRPr="000F7492"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  <w:t>优秀分析师个人奖项</w:t>
      </w:r>
    </w:p>
    <w:p w:rsidR="00C866FD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1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C866FD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优秀宏观分析师奖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史家亮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宝城期货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程小勇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顾琛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华泰期货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徐闻宇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中粮期货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柳瑾</w:t>
      </w:r>
    </w:p>
    <w:p w:rsidR="00C866FD" w:rsidRPr="000F7492" w:rsidRDefault="000F7492" w:rsidP="008920C6">
      <w:pPr>
        <w:spacing w:line="600" w:lineRule="exact"/>
        <w:rPr>
          <w:rStyle w:val="a3"/>
          <w:b w:val="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2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C866FD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优秀有色金属分析师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国泰君安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王蓉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中银期货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刘超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胡彬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光大期货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展大鹏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国元期货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范芮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申万期货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王云飞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lastRenderedPageBreak/>
        <w:t>国泰君安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季先飞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覃静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国投安信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肖静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顾冯达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东证期货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曹洋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五矿经易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侯亚鹏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广州期货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黎俊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金瑞期货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王思然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中粮期货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卫来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国贸期货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方富强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首创期货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张小凯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中信建投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江露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中原期货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刘培洋</w:t>
      </w:r>
    </w:p>
    <w:p w:rsidR="00C866FD" w:rsidRPr="000F7492" w:rsidRDefault="00C866FD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金瑞期货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李丽</w:t>
      </w:r>
    </w:p>
    <w:p w:rsidR="009B10B5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3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9B10B5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优秀黑色金属分析师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曾宁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国泰君安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邵婉</w:t>
      </w:r>
      <w:r w:rsidRPr="000F7492">
        <w:rPr>
          <w:rFonts w:ascii="Times New Roman" w:hAnsi="Times New Roman" w:cs="Times New Roman"/>
          <w:sz w:val="30"/>
          <w:szCs w:val="30"/>
        </w:rPr>
        <w:t>嫕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一德期货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李博雅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光大期货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邱跃成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卜咪咪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东证期货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顾萌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海证期货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石头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兴业期货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魏莹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lastRenderedPageBreak/>
        <w:t>中银期货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吕肖华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永安期货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陈俊杰</w:t>
      </w:r>
    </w:p>
    <w:p w:rsidR="009B10B5" w:rsidRPr="000F7492" w:rsidRDefault="000F7492" w:rsidP="008920C6">
      <w:pPr>
        <w:spacing w:line="600" w:lineRule="exact"/>
        <w:rPr>
          <w:rStyle w:val="a3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4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9B10B5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优秀贵金属分析师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招金期货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梁永慧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中信建投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王彦青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黄岩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杨力</w:t>
      </w:r>
    </w:p>
    <w:p w:rsidR="009B10B5" w:rsidRPr="000F7492" w:rsidRDefault="009B10B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东证期货徐颖</w:t>
      </w:r>
    </w:p>
    <w:p w:rsidR="002F4A51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5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2F4A51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优秀能化分析师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建信期货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郑玮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国泰君安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高琳琳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杨家明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银河期货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潘盛杰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中银期货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曹擎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大地期货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吕悦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海通期货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刘威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华泰期货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陈莉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李青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东证期货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金晓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申万期货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倪梦雪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国投安信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李云旭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鲁证期货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高萍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东证期货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曹璐</w:t>
      </w:r>
    </w:p>
    <w:p w:rsidR="002F4A51" w:rsidRPr="000F7492" w:rsidRDefault="002F4A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lastRenderedPageBreak/>
        <w:t>中油燃料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周皓</w:t>
      </w:r>
    </w:p>
    <w:p w:rsidR="00FE60B0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6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FE60B0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优秀衍生品分析师</w:t>
      </w:r>
    </w:p>
    <w:p w:rsidR="00FE60B0" w:rsidRPr="000F7492" w:rsidRDefault="00FE60B0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牛秋乐</w:t>
      </w:r>
    </w:p>
    <w:p w:rsidR="00FE60B0" w:rsidRPr="000F7492" w:rsidRDefault="00FE60B0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一德期货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刘晓艺</w:t>
      </w:r>
    </w:p>
    <w:p w:rsidR="00FE60B0" w:rsidRPr="000F7492" w:rsidRDefault="00FE60B0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申万期货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吴广奇</w:t>
      </w:r>
    </w:p>
    <w:p w:rsidR="00FE60B0" w:rsidRPr="000F7492" w:rsidRDefault="00FE60B0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海通期货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李碧澄</w:t>
      </w:r>
    </w:p>
    <w:p w:rsidR="00FE60B0" w:rsidRPr="000F7492" w:rsidRDefault="00FE60B0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广州期货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叶倩宁</w:t>
      </w:r>
    </w:p>
    <w:p w:rsidR="00260999" w:rsidRPr="000F7492" w:rsidRDefault="000F7492" w:rsidP="008920C6">
      <w:pPr>
        <w:spacing w:line="600" w:lineRule="exact"/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7</w:t>
      </w:r>
      <w:r>
        <w:rPr>
          <w:rStyle w:val="a3"/>
          <w:rFonts w:ascii="Times New Roman" w:eastAsia="方正仿宋简体" w:hAnsi="Times New Roman" w:cs="Times New Roman" w:hint="eastAsia"/>
          <w:spacing w:val="8"/>
          <w:sz w:val="30"/>
          <w:szCs w:val="30"/>
          <w:shd w:val="clear" w:color="auto" w:fill="FFFFFF"/>
        </w:rPr>
        <w:t>．</w:t>
      </w:r>
      <w:r w:rsidR="00260999" w:rsidRPr="000F7492">
        <w:rPr>
          <w:rStyle w:val="a3"/>
          <w:rFonts w:ascii="Times New Roman" w:eastAsia="方正仿宋简体" w:hAnsi="Times New Roman" w:cs="Times New Roman"/>
          <w:spacing w:val="8"/>
          <w:sz w:val="30"/>
          <w:szCs w:val="30"/>
          <w:shd w:val="clear" w:color="auto" w:fill="FFFFFF"/>
        </w:rPr>
        <w:t>优秀分析师新人奖</w:t>
      </w:r>
    </w:p>
    <w:p w:rsidR="00260999" w:rsidRPr="000F7492" w:rsidRDefault="00260999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中信建投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张少达</w:t>
      </w:r>
    </w:p>
    <w:p w:rsidR="00260999" w:rsidRPr="000F7492" w:rsidRDefault="00260999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姜秀铭</w:t>
      </w:r>
    </w:p>
    <w:p w:rsidR="00260999" w:rsidRPr="000F7492" w:rsidRDefault="00260999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申万期货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李公然</w:t>
      </w:r>
    </w:p>
    <w:p w:rsidR="008816F5" w:rsidRPr="000F7492" w:rsidRDefault="008816F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国投安信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刘冬博</w:t>
      </w:r>
    </w:p>
    <w:p w:rsidR="008816F5" w:rsidRPr="000F7492" w:rsidRDefault="008816F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招商期货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赵嘉瑜</w:t>
      </w:r>
    </w:p>
    <w:p w:rsidR="008816F5" w:rsidRPr="000F7492" w:rsidRDefault="008816F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光大期货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谢钰</w:t>
      </w:r>
    </w:p>
    <w:p w:rsidR="008816F5" w:rsidRPr="000F7492" w:rsidRDefault="008816F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国贸期货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谢灵</w:t>
      </w:r>
    </w:p>
    <w:p w:rsidR="008816F5" w:rsidRPr="000F7492" w:rsidRDefault="008816F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金瑞期货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杜飞</w:t>
      </w:r>
    </w:p>
    <w:p w:rsidR="008816F5" w:rsidRPr="000F7492" w:rsidRDefault="008816F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首创期货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孙芳芳</w:t>
      </w:r>
    </w:p>
    <w:p w:rsidR="008816F5" w:rsidRPr="000F7492" w:rsidRDefault="008816F5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冯世佃</w:t>
      </w:r>
    </w:p>
    <w:p w:rsidR="006A6451" w:rsidRPr="000F7492" w:rsidRDefault="000F7492" w:rsidP="008920C6">
      <w:pPr>
        <w:spacing w:line="600" w:lineRule="exact"/>
        <w:rPr>
          <w:rStyle w:val="a3"/>
          <w:rFonts w:ascii="方正黑体简体" w:eastAsia="方正黑体简体" w:hAnsi="Times New Roman" w:cs="Times New Roman"/>
          <w:b w:val="0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方正黑体简体" w:eastAsia="方正黑体简体" w:hAnsi="Times New Roman" w:cs="Times New Roman" w:hint="eastAsia"/>
          <w:b w:val="0"/>
          <w:spacing w:val="8"/>
          <w:sz w:val="30"/>
          <w:szCs w:val="30"/>
          <w:shd w:val="clear" w:color="auto" w:fill="FFFFFF"/>
        </w:rPr>
        <w:t>二、</w:t>
      </w:r>
      <w:r w:rsidR="006A6451" w:rsidRPr="000F7492">
        <w:rPr>
          <w:rStyle w:val="a3"/>
          <w:rFonts w:ascii="方正黑体简体" w:eastAsia="方正黑体简体" w:hAnsi="Times New Roman" w:cs="Times New Roman"/>
          <w:b w:val="0"/>
          <w:spacing w:val="8"/>
          <w:sz w:val="30"/>
          <w:szCs w:val="30"/>
          <w:shd w:val="clear" w:color="auto" w:fill="FFFFFF"/>
        </w:rPr>
        <w:t>上海国际能源交易中心奖项</w:t>
      </w:r>
    </w:p>
    <w:p w:rsidR="006A6451" w:rsidRPr="000F7492" w:rsidRDefault="000F7492" w:rsidP="008920C6">
      <w:pPr>
        <w:spacing w:line="600" w:lineRule="exact"/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方正楷体简体" w:eastAsia="方正楷体简体" w:hAnsi="Times New Roman" w:cs="Times New Roman" w:hint="eastAsia"/>
          <w:spacing w:val="8"/>
          <w:sz w:val="30"/>
          <w:szCs w:val="30"/>
          <w:shd w:val="clear" w:color="auto" w:fill="FFFFFF"/>
        </w:rPr>
        <w:t>（一）</w:t>
      </w:r>
      <w:r w:rsidR="006A6451" w:rsidRPr="000F7492">
        <w:rPr>
          <w:rStyle w:val="a3"/>
          <w:rFonts w:ascii="方正楷体简体" w:eastAsia="方正楷体简体" w:hAnsi="Times New Roman" w:cs="Times New Roman" w:hint="eastAsia"/>
          <w:spacing w:val="8"/>
          <w:sz w:val="30"/>
          <w:szCs w:val="30"/>
          <w:shd w:val="clear" w:color="auto" w:fill="FFFFFF"/>
        </w:rPr>
        <w:t>优秀产业服务团队奖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东证衍生品研究院能源研究小组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方正中期期货</w:t>
      </w:r>
      <w:r w:rsidR="00C667D4" w:rsidRPr="000F7492">
        <w:rPr>
          <w:rFonts w:ascii="Times New Roman" w:eastAsia="方正仿宋简体" w:hAnsi="Times New Roman" w:cs="Times New Roman"/>
          <w:sz w:val="30"/>
          <w:szCs w:val="30"/>
        </w:rPr>
        <w:t>研究院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石油化工团队</w:t>
      </w:r>
      <w:bookmarkStart w:id="0" w:name="_GoBack"/>
      <w:bookmarkEnd w:id="0"/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国投安信期货研究院能源团队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lastRenderedPageBreak/>
        <w:t>国泰君安期货产业服务研究所能源服务研发团队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海通期货能源研发中心</w:t>
      </w:r>
    </w:p>
    <w:p w:rsidR="006A6451" w:rsidRPr="000F7492" w:rsidRDefault="000F7492" w:rsidP="008920C6">
      <w:pPr>
        <w:spacing w:line="600" w:lineRule="exact"/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方正楷体简体" w:eastAsia="方正楷体简体" w:hAnsi="Times New Roman" w:cs="Times New Roman" w:hint="eastAsia"/>
          <w:spacing w:val="8"/>
          <w:sz w:val="30"/>
          <w:szCs w:val="30"/>
          <w:shd w:val="clear" w:color="auto" w:fill="FFFFFF"/>
        </w:rPr>
        <w:t>（二）</w:t>
      </w:r>
      <w:r w:rsidR="006A6451" w:rsidRPr="000F7492">
        <w:rPr>
          <w:rStyle w:val="a3"/>
          <w:rFonts w:ascii="方正楷体简体" w:eastAsia="方正楷体简体" w:hAnsi="Times New Roman" w:cs="Times New Roman"/>
          <w:spacing w:val="8"/>
          <w:sz w:val="30"/>
          <w:szCs w:val="30"/>
          <w:shd w:val="clear" w:color="auto" w:fill="FFFFFF"/>
        </w:rPr>
        <w:t>优秀分析师奖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海通期货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杨安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国泰君安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王笑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方正中期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隋晓影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华泰期货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潘翔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建信期货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李捷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国投安信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高明宇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宏源期货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詹建平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中信建投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李彦杰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申万期货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董超</w:t>
      </w:r>
    </w:p>
    <w:p w:rsidR="006A6451" w:rsidRPr="000F7492" w:rsidRDefault="006A6451" w:rsidP="008920C6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0F7492">
        <w:rPr>
          <w:rFonts w:ascii="Times New Roman" w:eastAsia="方正仿宋简体" w:hAnsi="Times New Roman" w:cs="Times New Roman"/>
          <w:sz w:val="30"/>
          <w:szCs w:val="30"/>
        </w:rPr>
        <w:t>国元期货</w:t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ab/>
      </w:r>
      <w:r w:rsidRPr="000F7492">
        <w:rPr>
          <w:rFonts w:ascii="Times New Roman" w:eastAsia="方正仿宋简体" w:hAnsi="Times New Roman" w:cs="Times New Roman"/>
          <w:sz w:val="30"/>
          <w:szCs w:val="30"/>
        </w:rPr>
        <w:t>张宇鹏</w:t>
      </w:r>
    </w:p>
    <w:sectPr w:rsidR="006A6451" w:rsidRPr="000F7492" w:rsidSect="00892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FD" w:rsidRDefault="00C260FD" w:rsidP="000F7492">
      <w:r>
        <w:separator/>
      </w:r>
    </w:p>
  </w:endnote>
  <w:endnote w:type="continuationSeparator" w:id="1">
    <w:p w:rsidR="00C260FD" w:rsidRDefault="00C260FD" w:rsidP="000F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B" w:rsidRDefault="003E38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4801044"/>
      <w:docPartObj>
        <w:docPartGallery w:val="Page Numbers (Bottom of Page)"/>
        <w:docPartUnique/>
      </w:docPartObj>
    </w:sdtPr>
    <w:sdtContent>
      <w:p w:rsidR="008920C6" w:rsidRPr="008920C6" w:rsidRDefault="00757BAC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920C6">
          <w:rPr>
            <w:rFonts w:ascii="Times New Roman" w:hAnsi="Times New Roman" w:cs="Times New Roman"/>
            <w:sz w:val="24"/>
          </w:rPr>
          <w:fldChar w:fldCharType="begin"/>
        </w:r>
        <w:r w:rsidR="008920C6" w:rsidRPr="008920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20C6">
          <w:rPr>
            <w:rFonts w:ascii="Times New Roman" w:hAnsi="Times New Roman" w:cs="Times New Roman"/>
            <w:sz w:val="24"/>
          </w:rPr>
          <w:fldChar w:fldCharType="separate"/>
        </w:r>
        <w:r w:rsidR="003E38EB" w:rsidRPr="003E38EB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3E38EB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8920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20C6" w:rsidRDefault="008920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B" w:rsidRDefault="003E38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FD" w:rsidRDefault="00C260FD" w:rsidP="000F7492">
      <w:r>
        <w:separator/>
      </w:r>
    </w:p>
  </w:footnote>
  <w:footnote w:type="continuationSeparator" w:id="1">
    <w:p w:rsidR="00C260FD" w:rsidRDefault="00C260FD" w:rsidP="000F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B" w:rsidRDefault="003E38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B" w:rsidRDefault="003E38EB" w:rsidP="003E38E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B" w:rsidRDefault="003E38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7F6"/>
    <w:multiLevelType w:val="hybridMultilevel"/>
    <w:tmpl w:val="90324E8C"/>
    <w:lvl w:ilvl="0" w:tplc="FAEE286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F290D"/>
    <w:multiLevelType w:val="hybridMultilevel"/>
    <w:tmpl w:val="AAB0D15C"/>
    <w:lvl w:ilvl="0" w:tplc="05889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46D1A"/>
    <w:multiLevelType w:val="hybridMultilevel"/>
    <w:tmpl w:val="C988F340"/>
    <w:lvl w:ilvl="0" w:tplc="4FF00F1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9113A6"/>
    <w:multiLevelType w:val="hybridMultilevel"/>
    <w:tmpl w:val="F7A2B8A2"/>
    <w:lvl w:ilvl="0" w:tplc="92AA0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F7B88"/>
    <w:multiLevelType w:val="hybridMultilevel"/>
    <w:tmpl w:val="A92A5058"/>
    <w:lvl w:ilvl="0" w:tplc="8C54FF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ADD"/>
    <w:rsid w:val="00012B54"/>
    <w:rsid w:val="000C2E79"/>
    <w:rsid w:val="000C7120"/>
    <w:rsid w:val="000F7492"/>
    <w:rsid w:val="00101181"/>
    <w:rsid w:val="00214795"/>
    <w:rsid w:val="00260999"/>
    <w:rsid w:val="002E1ADD"/>
    <w:rsid w:val="002F4A51"/>
    <w:rsid w:val="003E38EB"/>
    <w:rsid w:val="005E44D8"/>
    <w:rsid w:val="006A6451"/>
    <w:rsid w:val="00757BAC"/>
    <w:rsid w:val="008816F5"/>
    <w:rsid w:val="008920C6"/>
    <w:rsid w:val="008A7197"/>
    <w:rsid w:val="0098027E"/>
    <w:rsid w:val="009B10B5"/>
    <w:rsid w:val="009C4C7B"/>
    <w:rsid w:val="00A4336B"/>
    <w:rsid w:val="00C260FD"/>
    <w:rsid w:val="00C667D4"/>
    <w:rsid w:val="00C866FD"/>
    <w:rsid w:val="00CE1D41"/>
    <w:rsid w:val="00E03F11"/>
    <w:rsid w:val="00FE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C71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C712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C866FD"/>
    <w:rPr>
      <w:b/>
      <w:bCs/>
    </w:rPr>
  </w:style>
  <w:style w:type="paragraph" w:styleId="a4">
    <w:name w:val="List Paragraph"/>
    <w:basedOn w:val="a"/>
    <w:uiPriority w:val="34"/>
    <w:qFormat/>
    <w:rsid w:val="00C866FD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C866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F7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F749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F7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F74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189</Words>
  <Characters>1083</Characters>
  <Application>Microsoft Office Word</Application>
  <DocSecurity>0</DocSecurity>
  <Lines>9</Lines>
  <Paragraphs>2</Paragraphs>
  <ScaleCrop>false</ScaleCrop>
  <Company>SHFE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孙启轩</dc:creator>
  <cp:keywords/>
  <dc:description/>
  <cp:lastModifiedBy>bb</cp:lastModifiedBy>
  <cp:revision>21</cp:revision>
  <dcterms:created xsi:type="dcterms:W3CDTF">2021-01-15T08:32:00Z</dcterms:created>
  <dcterms:modified xsi:type="dcterms:W3CDTF">2021-01-26T09:09:00Z</dcterms:modified>
</cp:coreProperties>
</file>