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82" w:rsidRPr="00C2721E" w:rsidRDefault="006D1582" w:rsidP="006D1582">
      <w:pPr>
        <w:adjustRightInd w:val="0"/>
        <w:snapToGrid w:val="0"/>
        <w:spacing w:afterLines="100" w:line="276" w:lineRule="auto"/>
        <w:jc w:val="left"/>
        <w:rPr>
          <w:rFonts w:ascii="Times New Roman" w:eastAsia="宋体" w:hAnsi="Times New Roman"/>
          <w:b/>
          <w:bCs/>
          <w:color w:val="212121"/>
          <w:kern w:val="0"/>
          <w:sz w:val="22"/>
        </w:rPr>
      </w:pPr>
      <w:r w:rsidRPr="00C2721E">
        <w:rPr>
          <w:rFonts w:ascii="Times New Roman" w:eastAsia="宋体" w:hAnsi="Times New Roman"/>
          <w:b/>
          <w:bCs/>
          <w:color w:val="212121"/>
          <w:kern w:val="0"/>
          <w:sz w:val="22"/>
        </w:rPr>
        <w:t>Appendix 1</w:t>
      </w:r>
    </w:p>
    <w:p w:rsidR="006D1582" w:rsidRPr="00C2721E" w:rsidRDefault="006D1582" w:rsidP="006D1582">
      <w:pPr>
        <w:adjustRightInd w:val="0"/>
        <w:snapToGrid w:val="0"/>
        <w:spacing w:afterLines="100" w:line="276" w:lineRule="auto"/>
        <w:jc w:val="center"/>
        <w:rPr>
          <w:rFonts w:ascii="Times New Roman" w:eastAsia="宋体" w:hAnsi="Times New Roman"/>
          <w:b/>
          <w:bCs/>
          <w:color w:val="212121"/>
          <w:kern w:val="0"/>
          <w:sz w:val="24"/>
        </w:rPr>
      </w:pPr>
      <w:r w:rsidRPr="00C2721E">
        <w:rPr>
          <w:rFonts w:ascii="Times New Roman" w:eastAsia="宋体" w:hAnsi="Times New Roman"/>
          <w:b/>
          <w:bCs/>
          <w:color w:val="212121"/>
          <w:kern w:val="0"/>
          <w:sz w:val="24"/>
        </w:rPr>
        <w:t>SHFE Cast Aluminum Alloy Futures Contract Specifications</w:t>
      </w:r>
      <w:r w:rsidRPr="00C2721E">
        <w:rPr>
          <w:rFonts w:ascii="Times New Roman" w:eastAsia="宋体" w:hAnsi="Times New Roman" w:hint="eastAsia"/>
          <w:b/>
          <w:bCs/>
          <w:color w:val="212121"/>
          <w:kern w:val="0"/>
          <w:sz w:val="24"/>
        </w:rPr>
        <w:t xml:space="preserve"> </w:t>
      </w:r>
    </w:p>
    <w:tbl>
      <w:tblPr>
        <w:tblW w:w="8354" w:type="dxa"/>
        <w:shd w:val="clear" w:color="auto" w:fill="FFFFFF"/>
        <w:tblLayout w:type="fixed"/>
        <w:tblCellMar>
          <w:left w:w="0" w:type="dxa"/>
          <w:right w:w="0" w:type="dxa"/>
        </w:tblCellMar>
        <w:tblLook w:val="04A0"/>
      </w:tblPr>
      <w:tblGrid>
        <w:gridCol w:w="3224"/>
        <w:gridCol w:w="5130"/>
      </w:tblGrid>
      <w:tr w:rsidR="006D1582" w:rsidRPr="00C2721E" w:rsidTr="009306B7">
        <w:trPr>
          <w:trHeight w:val="444"/>
        </w:trPr>
        <w:tc>
          <w:tcPr>
            <w:tcW w:w="32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hint="eastAsia"/>
              </w:rPr>
              <w:br w:type="page"/>
            </w:r>
            <w:r w:rsidRPr="00C2721E">
              <w:rPr>
                <w:rFonts w:ascii="Times New Roman" w:eastAsia="宋体" w:hAnsi="Times New Roman"/>
                <w:color w:val="212121"/>
                <w:kern w:val="0"/>
                <w:sz w:val="22"/>
              </w:rPr>
              <w:t>Product</w:t>
            </w:r>
          </w:p>
        </w:tc>
        <w:tc>
          <w:tcPr>
            <w:tcW w:w="51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Cast Aluminum Alloy</w:t>
            </w:r>
          </w:p>
        </w:tc>
      </w:tr>
      <w:tr w:rsidR="006D1582" w:rsidRPr="00C2721E" w:rsidTr="009306B7">
        <w:trPr>
          <w:trHeight w:val="421"/>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Contract Size</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10 metric tons/lot</w:t>
            </w:r>
          </w:p>
        </w:tc>
      </w:tr>
      <w:tr w:rsidR="006D1582" w:rsidRPr="00C2721E" w:rsidTr="009306B7">
        <w:trPr>
          <w:trHeight w:val="420"/>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Price Quotation</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Yuan (RMB)/metric ton</w:t>
            </w:r>
          </w:p>
        </w:tc>
      </w:tr>
      <w:tr w:rsidR="006D1582" w:rsidRPr="00C2721E" w:rsidTr="009306B7">
        <w:trPr>
          <w:trHeight w:val="636"/>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Minimum Price Fluctuation</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5 Yuan/metric ton</w:t>
            </w:r>
          </w:p>
        </w:tc>
      </w:tr>
      <w:tr w:rsidR="006D1582" w:rsidRPr="00C2721E" w:rsidTr="009306B7">
        <w:trPr>
          <w:trHeight w:val="636"/>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Daily Price Limit</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Within ±3% of the settlement price of the preceding trading day</w:t>
            </w:r>
          </w:p>
        </w:tc>
      </w:tr>
      <w:tr w:rsidR="006D1582" w:rsidRPr="00C2721E" w:rsidTr="009306B7">
        <w:trPr>
          <w:trHeight w:val="578"/>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Listed Contracts</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Monthly contract for the most recent 12 months</w:t>
            </w:r>
          </w:p>
        </w:tc>
      </w:tr>
      <w:tr w:rsidR="006D1582" w:rsidRPr="00C2721E" w:rsidTr="009306B7">
        <w:trPr>
          <w:trHeight w:val="636"/>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Trading Hours</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9:00 a.m. to 11:30 a.m., 1:30 p.m. to 3:00 p.m., and other hours specified by the Exchange (Beijing Time)</w:t>
            </w:r>
          </w:p>
        </w:tc>
      </w:tr>
      <w:tr w:rsidR="006D1582" w:rsidRPr="00C2721E" w:rsidTr="009306B7">
        <w:trPr>
          <w:trHeight w:val="636"/>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Last Trading Day</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15th day of the contract month (postponed accordingly if it is a legal holiday in China and subject to separate adjustment and announcement by the Exchange if it falls in the Spring Festival month or any other month specially designated by the Exchange)</w:t>
            </w:r>
          </w:p>
        </w:tc>
      </w:tr>
      <w:tr w:rsidR="006D1582" w:rsidRPr="00C2721E" w:rsidTr="009306B7">
        <w:trPr>
          <w:trHeight w:val="471"/>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Delivery Period</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hint="eastAsia"/>
                <w:color w:val="212121"/>
                <w:kern w:val="0"/>
                <w:sz w:val="22"/>
              </w:rPr>
              <w:t>Two</w:t>
            </w:r>
            <w:r w:rsidRPr="00C2721E">
              <w:rPr>
                <w:rFonts w:ascii="Times New Roman" w:eastAsia="宋体" w:hAnsi="Times New Roman"/>
                <w:color w:val="212121"/>
                <w:kern w:val="0"/>
                <w:sz w:val="22"/>
              </w:rPr>
              <w:t xml:space="preserve"> consecutive business days after the last trading day</w:t>
            </w:r>
          </w:p>
        </w:tc>
      </w:tr>
      <w:tr w:rsidR="006D1582" w:rsidRPr="00C2721E" w:rsidTr="009306B7">
        <w:trPr>
          <w:trHeight w:val="636"/>
        </w:trPr>
        <w:tc>
          <w:tcPr>
            <w:tcW w:w="3224" w:type="dxa"/>
            <w:tcBorders>
              <w:top w:val="nil"/>
              <w:left w:val="single" w:sz="8" w:space="0" w:color="auto"/>
              <w:bottom w:val="single" w:sz="8" w:space="0" w:color="auto"/>
              <w:right w:val="single" w:sz="8" w:space="0" w:color="auto"/>
            </w:tcBorders>
            <w:shd w:val="clear" w:color="auto" w:fill="FFFFFF"/>
            <w:vAlign w:val="center"/>
          </w:tcPr>
          <w:p w:rsidR="006D1582" w:rsidRPr="00C2721E" w:rsidRDefault="006D1582" w:rsidP="009306B7">
            <w:pPr>
              <w:adjustRightInd w:val="0"/>
              <w:snapToGrid w:val="0"/>
              <w:spacing w:beforeLines="25" w:afterLines="25" w:line="276" w:lineRule="auto"/>
              <w:rPr>
                <w:rFonts w:ascii="Times New Roman" w:hAnsi="Times New Roman"/>
                <w:sz w:val="22"/>
              </w:rPr>
            </w:pPr>
            <w:r w:rsidRPr="00C2721E">
              <w:rPr>
                <w:rFonts w:ascii="Times New Roman" w:eastAsia="宋体" w:hAnsi="Times New Roman"/>
                <w:color w:val="212121"/>
                <w:kern w:val="0"/>
                <w:sz w:val="22"/>
              </w:rPr>
              <w:t>Grade and Quality Specifications</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hAnsi="Times New Roman"/>
                <w:sz w:val="22"/>
              </w:rPr>
            </w:pPr>
            <w:r w:rsidRPr="00C2721E">
              <w:rPr>
                <w:rFonts w:ascii="Times New Roman" w:eastAsia="宋体" w:hAnsi="Times New Roman"/>
                <w:color w:val="212121"/>
                <w:kern w:val="0"/>
                <w:sz w:val="22"/>
              </w:rPr>
              <w:t>Cast</w:t>
            </w:r>
            <w:r w:rsidRPr="00C2721E">
              <w:rPr>
                <w:rFonts w:ascii="Times New Roman" w:eastAsia="宋体" w:hAnsi="Times New Roman" w:hint="eastAsia"/>
                <w:color w:val="212121"/>
                <w:kern w:val="0"/>
                <w:sz w:val="22"/>
              </w:rPr>
              <w:t xml:space="preserve"> </w:t>
            </w:r>
            <w:r w:rsidRPr="00C2721E">
              <w:rPr>
                <w:rFonts w:ascii="Times New Roman" w:eastAsia="宋体" w:hAnsi="Times New Roman"/>
                <w:color w:val="212121"/>
                <w:kern w:val="0"/>
                <w:sz w:val="22"/>
              </w:rPr>
              <w:t xml:space="preserve">aluminum alloy ingots. Please </w:t>
            </w:r>
            <w:r w:rsidRPr="00C2721E">
              <w:rPr>
                <w:rFonts w:ascii="Times New Roman" w:eastAsia="宋体" w:hAnsi="Times New Roman" w:hint="eastAsia"/>
                <w:color w:val="212121"/>
                <w:kern w:val="0"/>
                <w:sz w:val="22"/>
              </w:rPr>
              <w:t xml:space="preserve">refer to </w:t>
            </w:r>
            <w:r w:rsidRPr="00C2721E">
              <w:rPr>
                <w:rFonts w:ascii="Times New Roman" w:eastAsia="宋体" w:hAnsi="Times New Roman"/>
                <w:color w:val="212121"/>
                <w:kern w:val="0"/>
                <w:sz w:val="22"/>
              </w:rPr>
              <w:t>the</w:t>
            </w:r>
            <w:r w:rsidRPr="00C2721E">
              <w:rPr>
                <w:rFonts w:ascii="Times New Roman" w:eastAsia="宋体" w:hAnsi="Times New Roman" w:hint="eastAsia"/>
                <w:color w:val="212121"/>
                <w:kern w:val="0"/>
                <w:sz w:val="22"/>
              </w:rPr>
              <w:t xml:space="preserve"> Appendix for detailed quality standards</w:t>
            </w:r>
          </w:p>
        </w:tc>
      </w:tr>
      <w:tr w:rsidR="006D1582" w:rsidRPr="00C2721E" w:rsidTr="009306B7">
        <w:trPr>
          <w:trHeight w:val="539"/>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Delivery Venue</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 xml:space="preserve">Delivery </w:t>
            </w:r>
            <w:r w:rsidRPr="00C2721E">
              <w:rPr>
                <w:rFonts w:ascii="Times New Roman" w:eastAsia="宋体" w:hAnsi="Times New Roman" w:hint="eastAsia"/>
                <w:color w:val="212121"/>
                <w:kern w:val="0"/>
                <w:sz w:val="22"/>
              </w:rPr>
              <w:t>v</w:t>
            </w:r>
            <w:r w:rsidRPr="00C2721E">
              <w:rPr>
                <w:rFonts w:ascii="Times New Roman" w:eastAsia="宋体" w:hAnsi="Times New Roman"/>
                <w:color w:val="212121"/>
                <w:kern w:val="0"/>
                <w:sz w:val="22"/>
              </w:rPr>
              <w:t>enue</w:t>
            </w:r>
            <w:r w:rsidRPr="00C2721E">
              <w:rPr>
                <w:rFonts w:ascii="Times New Roman" w:eastAsia="宋体" w:hAnsi="Times New Roman" w:hint="eastAsia"/>
                <w:color w:val="212121"/>
                <w:kern w:val="0"/>
                <w:sz w:val="22"/>
              </w:rPr>
              <w:t xml:space="preserve">s of the Exchange </w:t>
            </w:r>
          </w:p>
        </w:tc>
      </w:tr>
      <w:tr w:rsidR="006D1582" w:rsidRPr="00C2721E" w:rsidTr="009306B7">
        <w:trPr>
          <w:trHeight w:val="547"/>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Minimum Trading Margin</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5% of the contract value</w:t>
            </w:r>
          </w:p>
        </w:tc>
      </w:tr>
      <w:tr w:rsidR="006D1582" w:rsidRPr="00C2721E" w:rsidTr="009306B7">
        <w:trPr>
          <w:trHeight w:val="413"/>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Settlement Type</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Physical delivery</w:t>
            </w:r>
          </w:p>
        </w:tc>
      </w:tr>
      <w:tr w:rsidR="006D1582" w:rsidRPr="00C2721E" w:rsidTr="009306B7">
        <w:trPr>
          <w:trHeight w:val="563"/>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Delivery Unit</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30 metric tons</w:t>
            </w:r>
          </w:p>
        </w:tc>
      </w:tr>
      <w:tr w:rsidR="006D1582" w:rsidRPr="00C2721E" w:rsidTr="009306B7">
        <w:trPr>
          <w:trHeight w:val="543"/>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Contract Symbol</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AD</w:t>
            </w:r>
          </w:p>
        </w:tc>
      </w:tr>
      <w:tr w:rsidR="006D1582" w:rsidRPr="00C2721E" w:rsidTr="009306B7">
        <w:trPr>
          <w:trHeight w:val="70"/>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Listing Exchange</w:t>
            </w:r>
          </w:p>
        </w:tc>
        <w:tc>
          <w:tcPr>
            <w:tcW w:w="5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D1582" w:rsidRPr="00C2721E" w:rsidRDefault="006D1582" w:rsidP="009306B7">
            <w:pPr>
              <w:widowControl/>
              <w:adjustRightInd w:val="0"/>
              <w:snapToGrid w:val="0"/>
              <w:spacing w:beforeLines="25" w:afterLines="25"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Shanghai Futures Exchange</w:t>
            </w:r>
          </w:p>
        </w:tc>
      </w:tr>
    </w:tbl>
    <w:p w:rsidR="006D1582" w:rsidRPr="00C2721E" w:rsidRDefault="006D1582" w:rsidP="006D1582">
      <w:pPr>
        <w:widowControl/>
        <w:adjustRightInd w:val="0"/>
        <w:snapToGrid w:val="0"/>
        <w:spacing w:afterLines="100" w:line="276" w:lineRule="auto"/>
        <w:jc w:val="center"/>
        <w:rPr>
          <w:rFonts w:ascii="Times New Roman" w:eastAsia="宋体" w:hAnsi="Times New Roman"/>
          <w:b/>
          <w:bCs/>
          <w:color w:val="212121"/>
          <w:kern w:val="0"/>
          <w:sz w:val="22"/>
        </w:rPr>
      </w:pPr>
    </w:p>
    <w:p w:rsidR="006D1582" w:rsidRPr="00C2721E" w:rsidRDefault="006D1582" w:rsidP="006D1582">
      <w:pPr>
        <w:widowControl/>
        <w:jc w:val="left"/>
        <w:rPr>
          <w:rFonts w:ascii="Times New Roman" w:eastAsia="宋体" w:hAnsi="Times New Roman"/>
          <w:b/>
          <w:bCs/>
          <w:color w:val="212121"/>
          <w:kern w:val="0"/>
          <w:sz w:val="22"/>
        </w:rPr>
      </w:pPr>
      <w:r w:rsidRPr="00C2721E">
        <w:rPr>
          <w:rFonts w:ascii="Times New Roman" w:eastAsia="宋体" w:hAnsi="Times New Roman"/>
          <w:b/>
          <w:bCs/>
          <w:color w:val="212121"/>
          <w:kern w:val="0"/>
          <w:sz w:val="22"/>
        </w:rPr>
        <w:br w:type="page"/>
      </w:r>
    </w:p>
    <w:p w:rsidR="006D1582" w:rsidRPr="00C2721E" w:rsidRDefault="006D1582" w:rsidP="006D1582">
      <w:pPr>
        <w:widowControl/>
        <w:adjustRightInd w:val="0"/>
        <w:snapToGrid w:val="0"/>
        <w:spacing w:afterLines="100" w:line="276" w:lineRule="auto"/>
        <w:jc w:val="center"/>
        <w:rPr>
          <w:rFonts w:ascii="Times New Roman" w:eastAsia="宋体" w:hAnsi="Times New Roman"/>
          <w:b/>
          <w:bCs/>
          <w:color w:val="212121"/>
          <w:kern w:val="0"/>
          <w:sz w:val="24"/>
        </w:rPr>
      </w:pPr>
      <w:r w:rsidRPr="00C2721E">
        <w:rPr>
          <w:rFonts w:ascii="Times New Roman" w:eastAsia="宋体" w:hAnsi="Times New Roman"/>
          <w:b/>
          <w:bCs/>
          <w:color w:val="212121"/>
          <w:kern w:val="0"/>
          <w:sz w:val="24"/>
        </w:rPr>
        <w:lastRenderedPageBreak/>
        <w:t>Appendix to SHFE Cast Aluminum Alloy Futures Contract Specifications</w:t>
      </w:r>
    </w:p>
    <w:p w:rsidR="006D1582" w:rsidRPr="00C2721E" w:rsidRDefault="006D1582" w:rsidP="006D1582">
      <w:pPr>
        <w:tabs>
          <w:tab w:val="left" w:pos="567"/>
        </w:tabs>
        <w:adjustRightInd w:val="0"/>
        <w:snapToGrid w:val="0"/>
        <w:spacing w:afterLines="100" w:line="276" w:lineRule="auto"/>
        <w:jc w:val="left"/>
        <w:rPr>
          <w:rFonts w:ascii="Times New Roman" w:hAnsi="Times New Roman"/>
          <w:b/>
          <w:bCs/>
          <w:sz w:val="22"/>
        </w:rPr>
      </w:pPr>
      <w:r w:rsidRPr="00C2721E">
        <w:rPr>
          <w:rFonts w:ascii="Times New Roman" w:hAnsi="Times New Roman"/>
          <w:b/>
          <w:bCs/>
          <w:sz w:val="22"/>
        </w:rPr>
        <w:t>I.</w:t>
      </w:r>
      <w:r w:rsidRPr="00C2721E">
        <w:rPr>
          <w:rFonts w:ascii="Times New Roman" w:hAnsi="Times New Roman"/>
          <w:b/>
          <w:bCs/>
          <w:sz w:val="22"/>
        </w:rPr>
        <w:tab/>
        <w:t>Delivery Unit</w:t>
      </w:r>
    </w:p>
    <w:p w:rsidR="006D1582" w:rsidRPr="00C2721E" w:rsidRDefault="006D1582" w:rsidP="006D1582">
      <w:pPr>
        <w:widowControl/>
        <w:shd w:val="clear" w:color="auto" w:fill="FFFFFF"/>
        <w:adjustRightInd w:val="0"/>
        <w:snapToGrid w:val="0"/>
        <w:spacing w:afterLines="100" w:line="276" w:lineRule="auto"/>
        <w:jc w:val="left"/>
        <w:rPr>
          <w:rFonts w:ascii="Times New Roman" w:eastAsia="宋体" w:hAnsi="Times New Roman"/>
          <w:color w:val="212121"/>
          <w:kern w:val="0"/>
          <w:sz w:val="22"/>
        </w:rPr>
      </w:pPr>
      <w:r w:rsidRPr="00C2721E">
        <w:rPr>
          <w:rFonts w:ascii="Times New Roman" w:hAnsi="Times New Roman"/>
          <w:sz w:val="22"/>
        </w:rPr>
        <w:t xml:space="preserve">The contract size </w:t>
      </w:r>
      <w:proofErr w:type="spellStart"/>
      <w:r w:rsidRPr="00C2721E">
        <w:rPr>
          <w:rFonts w:ascii="Times New Roman" w:hAnsi="Times New Roman"/>
          <w:sz w:val="22"/>
        </w:rPr>
        <w:t>for</w:t>
      </w:r>
      <w:proofErr w:type="spellEnd"/>
      <w:r w:rsidRPr="00C2721E">
        <w:rPr>
          <w:rFonts w:ascii="Times New Roman" w:hAnsi="Times New Roman"/>
          <w:sz w:val="22"/>
        </w:rPr>
        <w:t xml:space="preserve"> </w:t>
      </w:r>
      <w:r w:rsidRPr="00C2721E">
        <w:rPr>
          <w:rFonts w:ascii="Times New Roman" w:eastAsia="宋体" w:hAnsi="Times New Roman"/>
          <w:color w:val="212121"/>
          <w:kern w:val="0"/>
          <w:sz w:val="22"/>
        </w:rPr>
        <w:t xml:space="preserve">cast aluminum alloy futures is </w:t>
      </w:r>
      <w:r w:rsidRPr="00C2721E">
        <w:rPr>
          <w:rFonts w:ascii="Times New Roman" w:eastAsia="宋体" w:hAnsi="Times New Roman" w:hint="eastAsia"/>
          <w:color w:val="212121"/>
          <w:kern w:val="0"/>
          <w:sz w:val="22"/>
        </w:rPr>
        <w:t>10</w:t>
      </w:r>
      <w:r w:rsidRPr="00C2721E">
        <w:rPr>
          <w:rFonts w:ascii="Times New Roman" w:eastAsia="宋体" w:hAnsi="Times New Roman"/>
          <w:color w:val="212121"/>
          <w:kern w:val="0"/>
          <w:sz w:val="22"/>
        </w:rPr>
        <w:t xml:space="preserve"> metric tons per lot</w:t>
      </w:r>
      <w:r w:rsidRPr="00C2721E">
        <w:rPr>
          <w:rFonts w:ascii="Times New Roman" w:hAnsi="Times New Roman"/>
          <w:sz w:val="22"/>
        </w:rPr>
        <w:t xml:space="preserve">; the delivery unit </w:t>
      </w:r>
      <w:r w:rsidRPr="00C2721E">
        <w:rPr>
          <w:rFonts w:ascii="Times New Roman" w:eastAsia="宋体" w:hAnsi="Times New Roman"/>
          <w:color w:val="212121"/>
          <w:kern w:val="0"/>
          <w:sz w:val="22"/>
        </w:rPr>
        <w:t xml:space="preserve">is </w:t>
      </w:r>
      <w:r w:rsidRPr="00C2721E">
        <w:rPr>
          <w:rFonts w:ascii="Times New Roman" w:eastAsia="宋体" w:hAnsi="Times New Roman" w:hint="eastAsia"/>
          <w:color w:val="212121"/>
          <w:kern w:val="0"/>
          <w:sz w:val="22"/>
        </w:rPr>
        <w:t>30</w:t>
      </w:r>
      <w:r w:rsidRPr="00C2721E">
        <w:rPr>
          <w:rFonts w:ascii="Times New Roman" w:eastAsia="宋体" w:hAnsi="Times New Roman"/>
          <w:color w:val="212121"/>
          <w:kern w:val="0"/>
          <w:sz w:val="22"/>
        </w:rPr>
        <w:t xml:space="preserve"> metric tons per standard warrant. Delivery shall be made in whole standard warran</w:t>
      </w:r>
      <w:r w:rsidRPr="00C2721E">
        <w:rPr>
          <w:rFonts w:ascii="Times New Roman" w:eastAsia="宋体" w:hAnsi="Times New Roman"/>
          <w:sz w:val="22"/>
        </w:rPr>
        <w:t>ts.</w:t>
      </w:r>
    </w:p>
    <w:p w:rsidR="006D1582" w:rsidRPr="00C2721E" w:rsidRDefault="006D1582" w:rsidP="006D1582">
      <w:pPr>
        <w:tabs>
          <w:tab w:val="left" w:pos="567"/>
        </w:tabs>
        <w:adjustRightInd w:val="0"/>
        <w:snapToGrid w:val="0"/>
        <w:spacing w:afterLines="100" w:line="276" w:lineRule="auto"/>
        <w:jc w:val="left"/>
        <w:rPr>
          <w:rFonts w:ascii="Times New Roman" w:hAnsi="Times New Roman"/>
          <w:b/>
          <w:bCs/>
          <w:sz w:val="22"/>
        </w:rPr>
      </w:pPr>
      <w:r w:rsidRPr="00C2721E">
        <w:rPr>
          <w:rFonts w:ascii="Times New Roman" w:hAnsi="Times New Roman"/>
          <w:b/>
          <w:bCs/>
          <w:sz w:val="22"/>
        </w:rPr>
        <w:t>II.</w:t>
      </w:r>
      <w:r w:rsidRPr="00C2721E">
        <w:rPr>
          <w:rFonts w:ascii="Times New Roman" w:hAnsi="Times New Roman"/>
          <w:b/>
          <w:bCs/>
          <w:sz w:val="22"/>
        </w:rPr>
        <w:tab/>
        <w:t xml:space="preserve">Quality Standards </w:t>
      </w:r>
    </w:p>
    <w:p w:rsidR="006D1582" w:rsidRPr="00C2721E" w:rsidRDefault="006D1582" w:rsidP="006D1582">
      <w:pPr>
        <w:adjustRightInd w:val="0"/>
        <w:snapToGrid w:val="0"/>
        <w:spacing w:afterLines="100" w:line="276" w:lineRule="auto"/>
        <w:ind w:left="567" w:hanging="567"/>
        <w:jc w:val="left"/>
        <w:rPr>
          <w:rFonts w:ascii="Times New Roman" w:eastAsia="宋体" w:hAnsi="Times New Roman"/>
          <w:color w:val="212121"/>
          <w:kern w:val="0"/>
          <w:sz w:val="22"/>
        </w:rPr>
      </w:pPr>
      <w:r w:rsidRPr="00C2721E">
        <w:rPr>
          <w:rFonts w:ascii="Times New Roman" w:eastAsia="宋体" w:hAnsi="Times New Roman" w:hint="eastAsia"/>
          <w:color w:val="212121"/>
          <w:kern w:val="0"/>
          <w:sz w:val="22"/>
        </w:rPr>
        <w:t>1.</w:t>
      </w:r>
      <w:r w:rsidRPr="00C2721E">
        <w:rPr>
          <w:rFonts w:ascii="Times New Roman" w:eastAsia="宋体" w:hAnsi="Times New Roman"/>
          <w:color w:val="212121"/>
          <w:kern w:val="0"/>
          <w:sz w:val="22"/>
        </w:rPr>
        <w:tab/>
      </w:r>
      <w:r w:rsidRPr="00C2721E">
        <w:rPr>
          <w:rFonts w:ascii="Times New Roman" w:eastAsia="宋体" w:hAnsi="Times New Roman" w:hint="eastAsia"/>
          <w:color w:val="212121"/>
          <w:kern w:val="0"/>
          <w:sz w:val="22"/>
        </w:rPr>
        <w:t>The chemical composition of c</w:t>
      </w:r>
      <w:r w:rsidRPr="00C2721E">
        <w:rPr>
          <w:rFonts w:ascii="Times New Roman" w:eastAsia="宋体" w:hAnsi="Times New Roman"/>
          <w:color w:val="212121"/>
          <w:kern w:val="0"/>
          <w:sz w:val="22"/>
        </w:rPr>
        <w:t>ast aluminum alloy</w:t>
      </w:r>
      <w:r w:rsidRPr="00C2721E">
        <w:rPr>
          <w:rFonts w:ascii="Times New Roman" w:eastAsia="宋体" w:hAnsi="Times New Roman"/>
          <w:color w:val="333333"/>
          <w:kern w:val="0"/>
          <w:sz w:val="22"/>
        </w:rPr>
        <w:t xml:space="preserve"> used for physical delivery</w:t>
      </w:r>
      <w:r w:rsidRPr="00C2721E">
        <w:rPr>
          <w:rFonts w:ascii="Times New Roman" w:eastAsia="宋体" w:hAnsi="Times New Roman"/>
          <w:color w:val="212121"/>
          <w:kern w:val="0"/>
          <w:sz w:val="22"/>
        </w:rPr>
        <w:t xml:space="preserve"> </w:t>
      </w:r>
      <w:r w:rsidRPr="00C2721E">
        <w:rPr>
          <w:rFonts w:ascii="Times New Roman" w:hAnsi="Times New Roman"/>
          <w:sz w:val="22"/>
        </w:rPr>
        <w:t xml:space="preserve">shall </w:t>
      </w:r>
      <w:r w:rsidRPr="00C2721E">
        <w:rPr>
          <w:rFonts w:ascii="Times New Roman" w:hAnsi="Times New Roman" w:hint="eastAsia"/>
          <w:sz w:val="22"/>
        </w:rPr>
        <w:t>meet</w:t>
      </w:r>
      <w:r w:rsidRPr="00C2721E">
        <w:rPr>
          <w:rFonts w:ascii="Times New Roman" w:hAnsi="Times New Roman"/>
          <w:sz w:val="22"/>
        </w:rPr>
        <w:t xml:space="preserve"> the specifications of</w:t>
      </w:r>
      <w:r w:rsidRPr="00C2721E">
        <w:rPr>
          <w:rFonts w:ascii="Times New Roman" w:eastAsia="宋体" w:hAnsi="Times New Roman"/>
          <w:color w:val="212121"/>
          <w:kern w:val="0"/>
          <w:sz w:val="22"/>
        </w:rPr>
        <w:t xml:space="preserve"> </w:t>
      </w:r>
      <w:r w:rsidRPr="00C2721E">
        <w:rPr>
          <w:rFonts w:ascii="Times New Roman" w:hAnsi="Times New Roman"/>
        </w:rPr>
        <w:t>383Y.3</w:t>
      </w:r>
      <w:r w:rsidRPr="00C2721E">
        <w:rPr>
          <w:rFonts w:ascii="Times New Roman" w:eastAsia="宋体" w:hAnsi="Times New Roman"/>
          <w:color w:val="212121"/>
          <w:kern w:val="0"/>
          <w:sz w:val="22"/>
        </w:rPr>
        <w:t xml:space="preserve"> as prescribed in </w:t>
      </w:r>
      <w:r w:rsidRPr="00C2721E">
        <w:rPr>
          <w:rFonts w:ascii="Times New Roman" w:hAnsi="Times New Roman"/>
        </w:rPr>
        <w:t>GB/T 8733-2016</w:t>
      </w:r>
      <w:r w:rsidRPr="00C2721E">
        <w:rPr>
          <w:rFonts w:ascii="Times New Roman" w:eastAsia="宋体" w:hAnsi="Times New Roman"/>
          <w:color w:val="212121"/>
          <w:kern w:val="0"/>
          <w:sz w:val="22"/>
        </w:rPr>
        <w:t xml:space="preserve"> or </w:t>
      </w:r>
      <w:r w:rsidRPr="00C2721E">
        <w:rPr>
          <w:rFonts w:ascii="Times New Roman" w:hAnsi="Times New Roman"/>
        </w:rPr>
        <w:t>AD12.1</w:t>
      </w:r>
      <w:r w:rsidRPr="00C2721E">
        <w:rPr>
          <w:rFonts w:ascii="Times New Roman" w:eastAsia="宋体" w:hAnsi="Times New Roman"/>
          <w:color w:val="212121"/>
          <w:kern w:val="0"/>
          <w:sz w:val="22"/>
        </w:rPr>
        <w:t xml:space="preserve"> as prescribed in </w:t>
      </w:r>
      <w:r w:rsidRPr="00C2721E">
        <w:rPr>
          <w:rFonts w:ascii="Times New Roman" w:hAnsi="Times New Roman"/>
        </w:rPr>
        <w:t>JIS H 2118:2006</w:t>
      </w:r>
      <w:r w:rsidRPr="00C2721E">
        <w:rPr>
          <w:rFonts w:ascii="Times New Roman" w:eastAsia="宋体" w:hAnsi="Times New Roman" w:hint="eastAsia"/>
          <w:color w:val="212121"/>
          <w:kern w:val="0"/>
          <w:sz w:val="22"/>
        </w:rPr>
        <w:t>, as well as the following requirements:</w:t>
      </w:r>
    </w:p>
    <w:p w:rsidR="006D1582" w:rsidRPr="00C2721E" w:rsidRDefault="006D1582" w:rsidP="006D1582">
      <w:pPr>
        <w:tabs>
          <w:tab w:val="left" w:pos="1176"/>
        </w:tabs>
        <w:adjustRightInd w:val="0"/>
        <w:snapToGrid w:val="0"/>
        <w:spacing w:afterLines="100" w:line="276" w:lineRule="auto"/>
        <w:ind w:left="1162" w:hanging="602"/>
        <w:jc w:val="left"/>
        <w:rPr>
          <w:rFonts w:ascii="Times New Roman" w:hAnsi="Times New Roman"/>
          <w:sz w:val="22"/>
        </w:rPr>
      </w:pPr>
      <w:r w:rsidRPr="00C2721E">
        <w:rPr>
          <w:rFonts w:ascii="Times New Roman" w:hAnsi="Times New Roman"/>
          <w:sz w:val="22"/>
        </w:rPr>
        <w:t>(1)</w:t>
      </w:r>
      <w:r w:rsidRPr="00C2721E">
        <w:rPr>
          <w:rFonts w:ascii="Times New Roman" w:hAnsi="Times New Roman"/>
          <w:sz w:val="22"/>
        </w:rPr>
        <w:tab/>
        <w:t xml:space="preserve">Lead content </w:t>
      </w:r>
      <w:r w:rsidRPr="00C2721E">
        <w:rPr>
          <w:rFonts w:ascii="Times New Roman" w:hAnsi="Times New Roman" w:hint="eastAsia"/>
          <w:sz w:val="22"/>
        </w:rPr>
        <w:t xml:space="preserve">shall </w:t>
      </w:r>
      <w:r w:rsidRPr="00C2721E">
        <w:rPr>
          <w:rFonts w:ascii="Times New Roman" w:hAnsi="Times New Roman"/>
          <w:sz w:val="22"/>
        </w:rPr>
        <w:t>not exceed 0.1%;</w:t>
      </w:r>
    </w:p>
    <w:p w:rsidR="006D1582" w:rsidRPr="00C2721E" w:rsidRDefault="006D1582" w:rsidP="006D1582">
      <w:pPr>
        <w:tabs>
          <w:tab w:val="left" w:pos="1176"/>
        </w:tabs>
        <w:adjustRightInd w:val="0"/>
        <w:snapToGrid w:val="0"/>
        <w:spacing w:afterLines="100" w:line="276" w:lineRule="auto"/>
        <w:ind w:left="1162" w:hanging="602"/>
        <w:jc w:val="left"/>
        <w:rPr>
          <w:rFonts w:ascii="Times New Roman" w:hAnsi="Times New Roman"/>
          <w:sz w:val="22"/>
        </w:rPr>
      </w:pPr>
      <w:r w:rsidRPr="00C2721E">
        <w:rPr>
          <w:rFonts w:ascii="Times New Roman" w:hAnsi="Times New Roman"/>
          <w:sz w:val="22"/>
        </w:rPr>
        <w:t>(2)</w:t>
      </w:r>
      <w:r w:rsidRPr="00C2721E">
        <w:rPr>
          <w:rFonts w:ascii="Times New Roman" w:hAnsi="Times New Roman"/>
          <w:sz w:val="22"/>
        </w:rPr>
        <w:tab/>
        <w:t>Pinhole</w:t>
      </w:r>
      <w:r w:rsidRPr="00C2721E">
        <w:rPr>
          <w:rFonts w:ascii="Times New Roman" w:hAnsi="Times New Roman" w:hint="eastAsia"/>
          <w:sz w:val="22"/>
        </w:rPr>
        <w:t>s shall</w:t>
      </w:r>
      <w:r w:rsidRPr="00C2721E">
        <w:rPr>
          <w:rFonts w:ascii="Times New Roman" w:hAnsi="Times New Roman"/>
          <w:sz w:val="22"/>
        </w:rPr>
        <w:t xml:space="preserve"> meet Grade II</w:t>
      </w:r>
      <w:r w:rsidRPr="00C2721E">
        <w:rPr>
          <w:rFonts w:ascii="Times New Roman" w:hAnsi="Times New Roman" w:hint="eastAsia"/>
          <w:sz w:val="22"/>
        </w:rPr>
        <w:t xml:space="preserve"> or above</w:t>
      </w:r>
      <w:r w:rsidRPr="00C2721E">
        <w:rPr>
          <w:rFonts w:ascii="Times New Roman" w:hAnsi="Times New Roman"/>
          <w:sz w:val="22"/>
        </w:rPr>
        <w:t>;</w:t>
      </w:r>
    </w:p>
    <w:p w:rsidR="006D1582" w:rsidRPr="00C2721E" w:rsidRDefault="006D1582" w:rsidP="006D1582">
      <w:pPr>
        <w:tabs>
          <w:tab w:val="left" w:pos="1176"/>
        </w:tabs>
        <w:adjustRightInd w:val="0"/>
        <w:snapToGrid w:val="0"/>
        <w:spacing w:afterLines="100" w:line="276" w:lineRule="auto"/>
        <w:ind w:left="1162" w:hanging="602"/>
        <w:jc w:val="left"/>
        <w:rPr>
          <w:rFonts w:ascii="Times New Roman" w:hAnsi="Times New Roman"/>
          <w:sz w:val="22"/>
        </w:rPr>
      </w:pPr>
      <w:r w:rsidRPr="00C2721E">
        <w:rPr>
          <w:rFonts w:ascii="Times New Roman" w:hAnsi="Times New Roman"/>
          <w:sz w:val="22"/>
        </w:rPr>
        <w:t>(3)</w:t>
      </w:r>
      <w:r w:rsidRPr="00C2721E">
        <w:rPr>
          <w:rFonts w:ascii="Times New Roman" w:hAnsi="Times New Roman"/>
          <w:sz w:val="22"/>
        </w:rPr>
        <w:tab/>
        <w:t xml:space="preserve">Slag </w:t>
      </w:r>
      <w:r w:rsidRPr="00C2721E">
        <w:rPr>
          <w:rFonts w:ascii="Times New Roman" w:hAnsi="Times New Roman" w:hint="eastAsia"/>
          <w:sz w:val="22"/>
        </w:rPr>
        <w:t xml:space="preserve">inclusion shall </w:t>
      </w:r>
      <w:r w:rsidRPr="00C2721E">
        <w:rPr>
          <w:rFonts w:ascii="Times New Roman" w:hAnsi="Times New Roman"/>
          <w:sz w:val="22"/>
        </w:rPr>
        <w:t>have</w:t>
      </w:r>
      <w:r w:rsidRPr="00C2721E">
        <w:rPr>
          <w:rFonts w:ascii="Times New Roman" w:hAnsi="Times New Roman" w:hint="eastAsia"/>
          <w:sz w:val="22"/>
        </w:rPr>
        <w:t xml:space="preserve"> a</w:t>
      </w:r>
      <w:r w:rsidRPr="00C2721E">
        <w:rPr>
          <w:rFonts w:ascii="Times New Roman" w:hAnsi="Times New Roman"/>
          <w:sz w:val="22"/>
        </w:rPr>
        <w:t xml:space="preserve"> K value </w:t>
      </w:r>
      <w:r w:rsidRPr="00C2721E">
        <w:rPr>
          <w:rFonts w:ascii="方正仿宋简体" w:eastAsia="方正仿宋简体" w:hAnsi="Times New Roman" w:hint="eastAsia"/>
          <w:sz w:val="22"/>
        </w:rPr>
        <w:t xml:space="preserve">≤ </w:t>
      </w:r>
      <w:r w:rsidRPr="00C2721E">
        <w:rPr>
          <w:rFonts w:ascii="Times New Roman" w:hAnsi="Times New Roman"/>
          <w:sz w:val="22"/>
        </w:rPr>
        <w:t>0.2;</w:t>
      </w:r>
      <w:r w:rsidRPr="00C2721E">
        <w:rPr>
          <w:rFonts w:ascii="Times New Roman" w:hAnsi="Times New Roman" w:hint="eastAsia"/>
          <w:sz w:val="22"/>
        </w:rPr>
        <w:t xml:space="preserve"> and</w:t>
      </w:r>
    </w:p>
    <w:p w:rsidR="006D1582" w:rsidRPr="00C2721E" w:rsidRDefault="006D1582" w:rsidP="006D1582">
      <w:pPr>
        <w:tabs>
          <w:tab w:val="left" w:pos="1176"/>
        </w:tabs>
        <w:adjustRightInd w:val="0"/>
        <w:snapToGrid w:val="0"/>
        <w:spacing w:afterLines="100" w:line="276" w:lineRule="auto"/>
        <w:ind w:left="1162" w:hanging="602"/>
        <w:jc w:val="left"/>
        <w:rPr>
          <w:rFonts w:ascii="Times New Roman" w:hAnsi="Times New Roman"/>
          <w:sz w:val="22"/>
        </w:rPr>
      </w:pPr>
      <w:r w:rsidRPr="00C2721E">
        <w:rPr>
          <w:rFonts w:ascii="Times New Roman" w:hAnsi="Times New Roman"/>
          <w:sz w:val="22"/>
        </w:rPr>
        <w:t>(4)</w:t>
      </w:r>
      <w:r w:rsidRPr="00C2721E">
        <w:rPr>
          <w:rFonts w:ascii="Times New Roman" w:hAnsi="Times New Roman"/>
          <w:sz w:val="22"/>
        </w:rPr>
        <w:tab/>
        <w:t xml:space="preserve">The ingot </w:t>
      </w:r>
      <w:r w:rsidRPr="00C2721E">
        <w:rPr>
          <w:rFonts w:ascii="Times New Roman" w:hAnsi="Times New Roman" w:hint="eastAsia"/>
          <w:sz w:val="22"/>
        </w:rPr>
        <w:t xml:space="preserve">casting </w:t>
      </w:r>
      <w:r w:rsidRPr="00C2721E">
        <w:rPr>
          <w:rFonts w:ascii="Times New Roman" w:hAnsi="Times New Roman"/>
          <w:sz w:val="22"/>
        </w:rPr>
        <w:t xml:space="preserve">fracture </w:t>
      </w:r>
      <w:r w:rsidRPr="00C2721E">
        <w:rPr>
          <w:rFonts w:ascii="Times New Roman" w:hAnsi="Times New Roman" w:hint="eastAsia"/>
          <w:sz w:val="22"/>
        </w:rPr>
        <w:t>shall have a</w:t>
      </w:r>
      <w:r w:rsidRPr="00C2721E">
        <w:rPr>
          <w:rFonts w:ascii="Times New Roman" w:hAnsi="Times New Roman"/>
          <w:sz w:val="22"/>
        </w:rPr>
        <w:t xml:space="preserve"> dense</w:t>
      </w:r>
      <w:r w:rsidRPr="00C2721E">
        <w:rPr>
          <w:rFonts w:ascii="Times New Roman" w:hAnsi="Times New Roman" w:hint="eastAsia"/>
          <w:sz w:val="22"/>
        </w:rPr>
        <w:t xml:space="preserve"> structure</w:t>
      </w:r>
      <w:r w:rsidRPr="00C2721E">
        <w:rPr>
          <w:rFonts w:ascii="Times New Roman" w:hAnsi="Times New Roman"/>
          <w:sz w:val="22"/>
        </w:rPr>
        <w:t>, without slag or inclusions.</w:t>
      </w:r>
    </w:p>
    <w:p w:rsidR="006D1582" w:rsidRPr="00C2721E" w:rsidRDefault="006D1582" w:rsidP="006D1582">
      <w:pPr>
        <w:adjustRightInd w:val="0"/>
        <w:snapToGrid w:val="0"/>
        <w:spacing w:afterLines="100" w:line="276" w:lineRule="auto"/>
        <w:ind w:left="567" w:hanging="567"/>
        <w:jc w:val="left"/>
        <w:rPr>
          <w:rFonts w:ascii="Times New Roman" w:hAnsi="Times New Roman"/>
          <w:sz w:val="22"/>
        </w:rPr>
      </w:pPr>
      <w:r w:rsidRPr="00C2721E">
        <w:rPr>
          <w:rFonts w:ascii="Times New Roman" w:hAnsi="Times New Roman"/>
          <w:sz w:val="22"/>
        </w:rPr>
        <w:t>2.</w:t>
      </w:r>
      <w:r w:rsidRPr="00C2721E">
        <w:rPr>
          <w:rFonts w:ascii="Times New Roman" w:hAnsi="Times New Roman"/>
          <w:sz w:val="22"/>
        </w:rPr>
        <w:tab/>
      </w:r>
      <w:r w:rsidRPr="00C2721E">
        <w:rPr>
          <w:rFonts w:ascii="Times New Roman" w:hAnsi="Times New Roman" w:hint="eastAsia"/>
          <w:sz w:val="22"/>
        </w:rPr>
        <w:t>Deliverable cast aluminum alloy shall be in the form of ingots. Each ingot shall weigh</w:t>
      </w:r>
      <w:r w:rsidRPr="00C2721E">
        <w:rPr>
          <w:rFonts w:ascii="Times New Roman" w:hAnsi="Times New Roman"/>
          <w:sz w:val="22"/>
        </w:rPr>
        <w:t xml:space="preserve"> 6 kg ± 1 kg</w:t>
      </w:r>
      <w:r w:rsidRPr="00C2721E">
        <w:rPr>
          <w:rFonts w:ascii="Times New Roman" w:hAnsi="Times New Roman" w:hint="eastAsia"/>
          <w:sz w:val="22"/>
        </w:rPr>
        <w:t>.</w:t>
      </w:r>
    </w:p>
    <w:p w:rsidR="006D1582" w:rsidRPr="00C2721E" w:rsidRDefault="006D1582" w:rsidP="006D1582">
      <w:pPr>
        <w:adjustRightInd w:val="0"/>
        <w:snapToGrid w:val="0"/>
        <w:spacing w:afterLines="100" w:line="276" w:lineRule="auto"/>
        <w:ind w:left="567" w:hanging="567"/>
        <w:jc w:val="left"/>
        <w:rPr>
          <w:rFonts w:ascii="Times New Roman" w:hAnsi="Times New Roman"/>
          <w:sz w:val="22"/>
        </w:rPr>
      </w:pPr>
      <w:r w:rsidRPr="00C2721E">
        <w:rPr>
          <w:rFonts w:ascii="Times New Roman" w:hAnsi="Times New Roman"/>
          <w:sz w:val="22"/>
        </w:rPr>
        <w:t>3.</w:t>
      </w:r>
      <w:r w:rsidRPr="00C2721E">
        <w:rPr>
          <w:rFonts w:ascii="Times New Roman" w:hAnsi="Times New Roman"/>
          <w:sz w:val="22"/>
        </w:rPr>
        <w:tab/>
        <w:t>Cast aluminum alloy underlying each standard warrant shall be of a registered brand approved by SHFE, accompanied by corresponding certificate of quality.</w:t>
      </w:r>
    </w:p>
    <w:p w:rsidR="006D1582" w:rsidRPr="00C2721E" w:rsidRDefault="006D1582" w:rsidP="006D1582">
      <w:pPr>
        <w:adjustRightInd w:val="0"/>
        <w:snapToGrid w:val="0"/>
        <w:spacing w:afterLines="100" w:line="276" w:lineRule="auto"/>
        <w:ind w:left="567" w:hanging="567"/>
        <w:jc w:val="left"/>
        <w:rPr>
          <w:rFonts w:ascii="Times New Roman" w:hAnsi="Times New Roman"/>
          <w:sz w:val="22"/>
        </w:rPr>
      </w:pPr>
      <w:r w:rsidRPr="00C2721E">
        <w:rPr>
          <w:rFonts w:ascii="Times New Roman" w:hAnsi="Times New Roman" w:hint="eastAsia"/>
          <w:sz w:val="22"/>
        </w:rPr>
        <w:t>4.</w:t>
      </w:r>
      <w:r w:rsidRPr="00C2721E">
        <w:rPr>
          <w:rFonts w:ascii="Times New Roman" w:hAnsi="Times New Roman"/>
          <w:sz w:val="22"/>
        </w:rPr>
        <w:tab/>
        <w:t xml:space="preserve">Cast aluminum alloy underlying each standard warrant shall consist of commodity of the same manufacturer, </w:t>
      </w:r>
      <w:r w:rsidRPr="00C2721E">
        <w:rPr>
          <w:rFonts w:ascii="Times New Roman" w:hAnsi="Times New Roman" w:hint="eastAsia"/>
          <w:sz w:val="22"/>
        </w:rPr>
        <w:t>grade (</w:t>
      </w:r>
      <w:r w:rsidRPr="00C2721E">
        <w:rPr>
          <w:rFonts w:ascii="Times New Roman" w:hAnsi="Times New Roman"/>
          <w:sz w:val="22"/>
        </w:rPr>
        <w:t>designation</w:t>
      </w:r>
      <w:r w:rsidRPr="00C2721E">
        <w:rPr>
          <w:rFonts w:ascii="Times New Roman" w:hAnsi="Times New Roman" w:hint="eastAsia"/>
          <w:sz w:val="22"/>
        </w:rPr>
        <w:t>)</w:t>
      </w:r>
      <w:r w:rsidRPr="00C2721E">
        <w:rPr>
          <w:rFonts w:ascii="Times New Roman" w:hAnsi="Times New Roman"/>
          <w:sz w:val="22"/>
        </w:rPr>
        <w:t>, registered trademark, shape, and packaged quantity (secured into bundles of similar weight)</w:t>
      </w:r>
      <w:r w:rsidRPr="00C2721E">
        <w:rPr>
          <w:rFonts w:ascii="Times New Roman" w:hAnsi="Times New Roman" w:hint="eastAsia"/>
          <w:sz w:val="22"/>
        </w:rPr>
        <w:t xml:space="preserve">, </w:t>
      </w:r>
      <w:r w:rsidRPr="00C2721E">
        <w:rPr>
          <w:rFonts w:ascii="Times New Roman" w:hAnsi="Times New Roman"/>
          <w:sz w:val="22"/>
        </w:rPr>
        <w:t xml:space="preserve">and have their dates of production spanning no more than </w:t>
      </w:r>
      <w:r w:rsidRPr="00C2721E">
        <w:rPr>
          <w:rFonts w:ascii="Times New Roman" w:hAnsi="Times New Roman" w:hint="eastAsia"/>
          <w:sz w:val="22"/>
        </w:rPr>
        <w:t>60</w:t>
      </w:r>
      <w:r w:rsidRPr="00C2721E">
        <w:rPr>
          <w:rFonts w:ascii="Times New Roman" w:hAnsi="Times New Roman"/>
          <w:sz w:val="22"/>
        </w:rPr>
        <w:t xml:space="preserve"> consecutive days. The earliest of such dates shall be taken as the date of production on the standard warrant.</w:t>
      </w:r>
    </w:p>
    <w:p w:rsidR="006D1582" w:rsidRPr="00C2721E" w:rsidRDefault="006D1582" w:rsidP="006D1582">
      <w:pPr>
        <w:adjustRightInd w:val="0"/>
        <w:snapToGrid w:val="0"/>
        <w:spacing w:afterLines="100" w:line="276" w:lineRule="auto"/>
        <w:ind w:left="567" w:hanging="567"/>
        <w:jc w:val="left"/>
        <w:rPr>
          <w:rFonts w:ascii="Times New Roman" w:hAnsi="Times New Roman"/>
          <w:sz w:val="22"/>
        </w:rPr>
      </w:pPr>
      <w:r w:rsidRPr="00C2721E">
        <w:rPr>
          <w:rFonts w:ascii="Times New Roman" w:hAnsi="Times New Roman" w:hint="eastAsia"/>
          <w:sz w:val="22"/>
        </w:rPr>
        <w:t>5.</w:t>
      </w:r>
      <w:r w:rsidRPr="00C2721E">
        <w:rPr>
          <w:rFonts w:ascii="Times New Roman" w:hAnsi="Times New Roman"/>
          <w:sz w:val="22"/>
        </w:rPr>
        <w:tab/>
        <w:t xml:space="preserve">Cast aluminum alloy </w:t>
      </w:r>
      <w:r w:rsidRPr="00C2721E">
        <w:rPr>
          <w:rFonts w:ascii="Times New Roman" w:hAnsi="Times New Roman" w:hint="eastAsia"/>
          <w:sz w:val="22"/>
        </w:rPr>
        <w:t xml:space="preserve">shall be measured by net weight at delivery. For each standard warrant, the tolerance shall not exceed </w:t>
      </w:r>
      <w:r w:rsidRPr="00C2721E">
        <w:rPr>
          <w:rFonts w:ascii="方正仿宋简体" w:eastAsia="方正仿宋简体" w:hAnsi="Times New Roman" w:hint="eastAsia"/>
          <w:sz w:val="22"/>
        </w:rPr>
        <w:t>±</w:t>
      </w:r>
      <w:r w:rsidRPr="00C2721E">
        <w:rPr>
          <w:rFonts w:ascii="Times New Roman" w:hAnsi="Times New Roman" w:hint="eastAsia"/>
          <w:sz w:val="22"/>
        </w:rPr>
        <w:t xml:space="preserve">3% and the pound difference shall not exceed </w:t>
      </w:r>
      <w:r w:rsidRPr="00C2721E">
        <w:rPr>
          <w:rFonts w:ascii="方正仿宋简体" w:eastAsia="方正仿宋简体" w:hAnsi="Times New Roman" w:hint="eastAsia"/>
          <w:sz w:val="22"/>
        </w:rPr>
        <w:t>±</w:t>
      </w:r>
      <w:r w:rsidRPr="00C2721E">
        <w:rPr>
          <w:rFonts w:ascii="Times New Roman" w:hAnsi="Times New Roman" w:hint="eastAsia"/>
          <w:sz w:val="22"/>
        </w:rPr>
        <w:t>0.1%.</w:t>
      </w:r>
    </w:p>
    <w:p w:rsidR="006D1582" w:rsidRPr="00C2721E" w:rsidRDefault="006D1582" w:rsidP="006D1582">
      <w:pPr>
        <w:adjustRightInd w:val="0"/>
        <w:snapToGrid w:val="0"/>
        <w:spacing w:afterLines="100" w:line="276" w:lineRule="auto"/>
        <w:ind w:left="567" w:hanging="567"/>
        <w:jc w:val="left"/>
        <w:rPr>
          <w:rFonts w:ascii="Times New Roman" w:eastAsia="宋体" w:hAnsi="Times New Roman"/>
          <w:color w:val="212121"/>
          <w:kern w:val="0"/>
          <w:sz w:val="22"/>
        </w:rPr>
      </w:pPr>
      <w:r w:rsidRPr="00C2721E">
        <w:rPr>
          <w:rFonts w:ascii="Times New Roman" w:eastAsia="宋体" w:hAnsi="Times New Roman" w:hint="eastAsia"/>
          <w:color w:val="212121"/>
          <w:kern w:val="0"/>
          <w:sz w:val="22"/>
        </w:rPr>
        <w:t>6.</w:t>
      </w:r>
      <w:r w:rsidRPr="00C2721E">
        <w:rPr>
          <w:rFonts w:ascii="Times New Roman" w:hAnsi="Times New Roman"/>
          <w:sz w:val="22"/>
        </w:rPr>
        <w:tab/>
        <w:t>Standard warrant shall be issued by a Delivery Warehouse</w:t>
      </w:r>
      <w:r w:rsidRPr="00C2721E">
        <w:rPr>
          <w:rFonts w:ascii="Times New Roman" w:hAnsi="Times New Roman" w:hint="eastAsia"/>
          <w:sz w:val="22"/>
        </w:rPr>
        <w:t xml:space="preserve"> of the Exchange</w:t>
      </w:r>
      <w:r w:rsidRPr="00C2721E">
        <w:rPr>
          <w:rFonts w:ascii="Times New Roman" w:hAnsi="Times New Roman"/>
          <w:sz w:val="22"/>
        </w:rPr>
        <w:t xml:space="preserve"> after conducting inspection and acceptance pursuant to applicable rules.</w:t>
      </w:r>
    </w:p>
    <w:p w:rsidR="006D1582" w:rsidRPr="00C2721E" w:rsidRDefault="006D1582" w:rsidP="006D1582">
      <w:pPr>
        <w:tabs>
          <w:tab w:val="left" w:pos="567"/>
        </w:tabs>
        <w:adjustRightInd w:val="0"/>
        <w:snapToGrid w:val="0"/>
        <w:spacing w:afterLines="100" w:line="276" w:lineRule="auto"/>
        <w:jc w:val="left"/>
        <w:rPr>
          <w:rFonts w:ascii="Times New Roman" w:hAnsi="Times New Roman"/>
          <w:b/>
          <w:bCs/>
          <w:sz w:val="22"/>
        </w:rPr>
      </w:pPr>
      <w:r w:rsidRPr="00C2721E">
        <w:rPr>
          <w:rFonts w:ascii="Times New Roman" w:hAnsi="Times New Roman"/>
          <w:b/>
          <w:bCs/>
          <w:sz w:val="22"/>
        </w:rPr>
        <w:t>III.</w:t>
      </w:r>
      <w:r w:rsidRPr="00C2721E">
        <w:rPr>
          <w:rFonts w:ascii="Times New Roman" w:hAnsi="Times New Roman"/>
          <w:b/>
          <w:bCs/>
          <w:sz w:val="22"/>
        </w:rPr>
        <w:tab/>
        <w:t xml:space="preserve">Manufacturers and Registered Brands Recognized by SHFE </w:t>
      </w:r>
    </w:p>
    <w:p w:rsidR="006D1582" w:rsidRPr="00C2721E" w:rsidRDefault="006D1582" w:rsidP="006D1582">
      <w:pPr>
        <w:widowControl/>
        <w:shd w:val="clear" w:color="auto" w:fill="FFFFFF"/>
        <w:adjustRightInd w:val="0"/>
        <w:snapToGrid w:val="0"/>
        <w:spacing w:afterLines="100" w:line="276" w:lineRule="auto"/>
        <w:jc w:val="left"/>
        <w:rPr>
          <w:rFonts w:ascii="Times New Roman" w:eastAsia="宋体" w:hAnsi="Times New Roman"/>
          <w:color w:val="212121"/>
          <w:kern w:val="0"/>
          <w:sz w:val="22"/>
        </w:rPr>
      </w:pPr>
      <w:r w:rsidRPr="00C2721E">
        <w:rPr>
          <w:rFonts w:ascii="Times New Roman" w:eastAsia="宋体" w:hAnsi="Times New Roman"/>
          <w:color w:val="212121"/>
          <w:kern w:val="0"/>
          <w:sz w:val="22"/>
        </w:rPr>
        <w:t>Cast aluminum alloy</w:t>
      </w:r>
      <w:r w:rsidRPr="00C2721E">
        <w:rPr>
          <w:rFonts w:ascii="Times New Roman" w:hAnsi="Times New Roman"/>
          <w:sz w:val="22"/>
        </w:rPr>
        <w:t xml:space="preserve"> used for physical delivery shall be of a brand registered with SHFE. The registered brands and the standards of premiums and discounts will be separately specified and announced by SHFE.</w:t>
      </w:r>
    </w:p>
    <w:p w:rsidR="006D1582" w:rsidRPr="00C2721E" w:rsidRDefault="006D1582" w:rsidP="006D1582">
      <w:pPr>
        <w:tabs>
          <w:tab w:val="left" w:pos="567"/>
        </w:tabs>
        <w:adjustRightInd w:val="0"/>
        <w:snapToGrid w:val="0"/>
        <w:spacing w:afterLines="100" w:line="276" w:lineRule="auto"/>
        <w:jc w:val="left"/>
        <w:rPr>
          <w:rFonts w:ascii="Times New Roman" w:hAnsi="Times New Roman"/>
          <w:b/>
          <w:bCs/>
          <w:sz w:val="22"/>
        </w:rPr>
      </w:pPr>
      <w:r w:rsidRPr="00C2721E">
        <w:rPr>
          <w:rFonts w:ascii="Times New Roman" w:hAnsi="Times New Roman"/>
          <w:b/>
          <w:bCs/>
          <w:sz w:val="22"/>
        </w:rPr>
        <w:lastRenderedPageBreak/>
        <w:t>IV.</w:t>
      </w:r>
      <w:r w:rsidRPr="00C2721E">
        <w:rPr>
          <w:rFonts w:ascii="Times New Roman" w:hAnsi="Times New Roman"/>
          <w:b/>
          <w:bCs/>
          <w:sz w:val="22"/>
        </w:rPr>
        <w:tab/>
        <w:t xml:space="preserve">Delivery Warehouses </w:t>
      </w:r>
    </w:p>
    <w:p w:rsidR="006D1582" w:rsidRPr="00C2721E" w:rsidRDefault="006D1582" w:rsidP="006D1582">
      <w:pPr>
        <w:adjustRightInd w:val="0"/>
        <w:snapToGrid w:val="0"/>
        <w:spacing w:afterLines="100" w:line="276" w:lineRule="auto"/>
        <w:jc w:val="left"/>
        <w:rPr>
          <w:rFonts w:ascii="Times New Roman" w:hAnsi="Times New Roman"/>
          <w:sz w:val="22"/>
        </w:rPr>
      </w:pPr>
      <w:r w:rsidRPr="00C2721E">
        <w:rPr>
          <w:rFonts w:ascii="Times New Roman" w:hAnsi="Times New Roman"/>
          <w:sz w:val="22"/>
        </w:rPr>
        <w:t xml:space="preserve">Delivery </w:t>
      </w:r>
      <w:r w:rsidRPr="00C2721E">
        <w:rPr>
          <w:rFonts w:ascii="Times New Roman" w:hAnsi="Times New Roman" w:hint="eastAsia"/>
          <w:sz w:val="22"/>
        </w:rPr>
        <w:t>W</w:t>
      </w:r>
      <w:r w:rsidRPr="00C2721E">
        <w:rPr>
          <w:rFonts w:ascii="Times New Roman" w:hAnsi="Times New Roman"/>
          <w:sz w:val="22"/>
        </w:rPr>
        <w:t>arehouses will be separately announced by SHFE, and the standards of premiums and discounts applied to Delivery Warehouses at different locations will be specified and announced by SHFE.</w:t>
      </w:r>
    </w:p>
    <w:p w:rsidR="00395549" w:rsidRPr="006D1582" w:rsidRDefault="00395549"/>
    <w:sectPr w:rsidR="00395549" w:rsidRPr="006D1582" w:rsidSect="003955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1582"/>
    <w:rsid w:val="00395549"/>
    <w:rsid w:val="006D1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2901</Characters>
  <Application>Microsoft Office Word</Application>
  <DocSecurity>0</DocSecurity>
  <Lines>24</Lines>
  <Paragraphs>6</Paragraphs>
  <ScaleCrop>false</ScaleCrop>
  <Company>SHFE</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1</cp:revision>
  <dcterms:created xsi:type="dcterms:W3CDTF">2025-05-22T05:57:00Z</dcterms:created>
  <dcterms:modified xsi:type="dcterms:W3CDTF">2025-05-22T05:57:00Z</dcterms:modified>
</cp:coreProperties>
</file>