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7FD3" w:rsidRPr="009B085B" w:rsidRDefault="00407FD3" w:rsidP="00407FD3">
      <w:pPr>
        <w:rPr>
          <w:rFonts w:ascii="Times New Roman" w:eastAsia="方正大标宋简体" w:hAnsi="Times New Roman" w:cs="Times New Roman"/>
          <w:b/>
          <w:sz w:val="48"/>
          <w:szCs w:val="42"/>
        </w:rPr>
      </w:pPr>
      <w:r w:rsidRPr="009B085B">
        <w:rPr>
          <w:rFonts w:ascii="Times New Roman" w:eastAsia="方正大标宋简体" w:hAnsi="Times New Roman" w:cs="Times New Roman"/>
          <w:b/>
          <w:sz w:val="32"/>
        </w:rPr>
        <w:t>Appendix 1</w:t>
      </w:r>
    </w:p>
    <w:p w:rsidR="00407FD3" w:rsidRPr="009B085B" w:rsidRDefault="00407FD3" w:rsidP="00407FD3">
      <w:pPr>
        <w:spacing w:line="560" w:lineRule="exact"/>
        <w:jc w:val="center"/>
        <w:rPr>
          <w:rFonts w:ascii="Times New Roman" w:hAnsi="Times New Roman" w:cs="Times New Roman"/>
          <w:b/>
          <w:bCs/>
          <w:sz w:val="32"/>
          <w:szCs w:val="30"/>
        </w:rPr>
      </w:pPr>
      <w:r w:rsidRPr="009B085B">
        <w:rPr>
          <w:rFonts w:ascii="Times New Roman" w:hAnsi="Times New Roman" w:cs="Times New Roman"/>
          <w:b/>
          <w:bCs/>
          <w:sz w:val="32"/>
          <w:szCs w:val="30"/>
        </w:rPr>
        <w:t>Comparison table of Revised Gold Futures Rules of the Shanghai Futures Exchange</w:t>
      </w:r>
    </w:p>
    <w:p w:rsidR="00407FD3" w:rsidRPr="009B085B" w:rsidRDefault="00407FD3" w:rsidP="00407FD3">
      <w:pPr>
        <w:spacing w:line="560" w:lineRule="exact"/>
        <w:ind w:firstLineChars="100" w:firstLine="240"/>
        <w:rPr>
          <w:rFonts w:ascii="Times New Roman" w:hAnsi="Times New Roman" w:cs="Times New Roman"/>
          <w:sz w:val="24"/>
          <w:szCs w:val="20"/>
        </w:rPr>
      </w:pPr>
      <w:r w:rsidRPr="009B085B">
        <w:rPr>
          <w:rFonts w:ascii="Times New Roman" w:hAnsi="Times New Roman" w:cs="Times New Roman"/>
          <w:sz w:val="24"/>
          <w:szCs w:val="20"/>
        </w:rPr>
        <w:t>Note: A double strikethrough indicates deleted content, and bold red font indicates new contents</w:t>
      </w:r>
    </w:p>
    <w:tbl>
      <w:tblPr>
        <w:tblW w:w="1392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33"/>
        <w:gridCol w:w="7088"/>
      </w:tblGrid>
      <w:tr w:rsidR="00407FD3" w:rsidRPr="009B085B" w:rsidTr="00287405">
        <w:trPr>
          <w:trHeight w:val="280"/>
        </w:trPr>
        <w:tc>
          <w:tcPr>
            <w:tcW w:w="6833" w:type="dxa"/>
            <w:shd w:val="clear" w:color="auto" w:fill="4F81BD" w:themeFill="accent1"/>
            <w:vAlign w:val="center"/>
            <w:hideMark/>
          </w:tcPr>
          <w:p w:rsidR="00407FD3" w:rsidRPr="009B085B" w:rsidRDefault="00407FD3" w:rsidP="00287405">
            <w:pPr>
              <w:widowControl/>
              <w:spacing w:line="560" w:lineRule="exact"/>
              <w:jc w:val="center"/>
              <w:rPr>
                <w:rFonts w:ascii="微软雅黑" w:eastAsia="微软雅黑" w:hAnsi="微软雅黑" w:cs="Times New Roman"/>
                <w:b/>
                <w:color w:val="FFFFFF" w:themeColor="background1"/>
                <w:kern w:val="0"/>
                <w:sz w:val="30"/>
                <w:szCs w:val="30"/>
              </w:rPr>
            </w:pPr>
            <w:r w:rsidRPr="009B085B">
              <w:rPr>
                <w:rFonts w:ascii="Times New Roman" w:eastAsia="微软雅黑" w:hAnsi="Times New Roman" w:cs="Times New Roman" w:hint="eastAsia"/>
                <w:b/>
                <w:color w:val="FFFFFF" w:themeColor="background1"/>
                <w:kern w:val="0"/>
                <w:sz w:val="28"/>
                <w:szCs w:val="30"/>
              </w:rPr>
              <w:t>C</w:t>
            </w:r>
            <w:r w:rsidRPr="009B085B">
              <w:rPr>
                <w:rFonts w:ascii="Times New Roman" w:eastAsia="微软雅黑" w:hAnsi="Times New Roman" w:cs="Times New Roman"/>
                <w:b/>
                <w:color w:val="FFFFFF" w:themeColor="background1"/>
                <w:kern w:val="0"/>
                <w:sz w:val="28"/>
                <w:szCs w:val="30"/>
              </w:rPr>
              <w:t>urrent Version</w:t>
            </w:r>
            <w:r w:rsidRPr="009B085B">
              <w:rPr>
                <w:rFonts w:ascii="Times New Roman" w:eastAsia="微软雅黑" w:hAnsi="Times New Roman" w:cs="Times New Roman"/>
                <w:b/>
                <w:color w:val="FFFFFF" w:themeColor="background1"/>
                <w:kern w:val="0"/>
                <w:sz w:val="28"/>
                <w:szCs w:val="30"/>
              </w:rPr>
              <w:t>（</w:t>
            </w:r>
            <w:r w:rsidRPr="009B085B">
              <w:rPr>
                <w:rFonts w:ascii="Times New Roman" w:eastAsia="微软雅黑" w:hAnsi="Times New Roman" w:cs="Times New Roman"/>
                <w:b/>
                <w:color w:val="FFFFFF" w:themeColor="background1"/>
                <w:kern w:val="0"/>
                <w:sz w:val="28"/>
                <w:szCs w:val="30"/>
              </w:rPr>
              <w:t>(effective from October 23, 2024</w:t>
            </w:r>
            <w:r w:rsidRPr="009B085B">
              <w:rPr>
                <w:rFonts w:ascii="Times New Roman" w:eastAsia="微软雅黑" w:hAnsi="Times New Roman" w:cs="Times New Roman"/>
                <w:b/>
                <w:color w:val="FFFFFF" w:themeColor="background1"/>
                <w:kern w:val="0"/>
                <w:sz w:val="28"/>
                <w:szCs w:val="30"/>
              </w:rPr>
              <w:t>）</w:t>
            </w:r>
          </w:p>
        </w:tc>
        <w:tc>
          <w:tcPr>
            <w:tcW w:w="7088" w:type="dxa"/>
            <w:shd w:val="clear" w:color="auto" w:fill="4F81BD" w:themeFill="accent1"/>
            <w:vAlign w:val="center"/>
            <w:hideMark/>
          </w:tcPr>
          <w:p w:rsidR="00407FD3" w:rsidRPr="009B085B" w:rsidRDefault="00407FD3" w:rsidP="00287405">
            <w:pPr>
              <w:widowControl/>
              <w:spacing w:line="560" w:lineRule="exact"/>
              <w:jc w:val="center"/>
              <w:rPr>
                <w:rFonts w:ascii="Times New Roman" w:eastAsia="微软雅黑" w:hAnsi="Times New Roman" w:cs="Times New Roman"/>
                <w:b/>
                <w:color w:val="FFFFFF" w:themeColor="background1"/>
                <w:kern w:val="0"/>
                <w:sz w:val="30"/>
                <w:szCs w:val="30"/>
              </w:rPr>
            </w:pPr>
            <w:r w:rsidRPr="009B085B">
              <w:rPr>
                <w:rFonts w:ascii="Times New Roman" w:eastAsia="微软雅黑" w:hAnsi="Times New Roman" w:cs="Times New Roman"/>
                <w:b/>
                <w:color w:val="FFFFFF" w:themeColor="background1"/>
                <w:kern w:val="0"/>
                <w:sz w:val="30"/>
                <w:szCs w:val="30"/>
              </w:rPr>
              <w:t>Revised Version</w:t>
            </w:r>
          </w:p>
        </w:tc>
      </w:tr>
      <w:tr w:rsidR="00407FD3" w:rsidRPr="009B085B" w:rsidTr="00287405">
        <w:trPr>
          <w:trHeight w:val="840"/>
        </w:trPr>
        <w:tc>
          <w:tcPr>
            <w:tcW w:w="6833" w:type="dxa"/>
            <w:shd w:val="clear" w:color="auto" w:fill="auto"/>
            <w:vAlign w:val="center"/>
            <w:hideMark/>
          </w:tcPr>
          <w:p w:rsidR="00407FD3" w:rsidRPr="009B085B" w:rsidRDefault="00407FD3" w:rsidP="00287405">
            <w:pPr>
              <w:widowControl/>
              <w:spacing w:line="560" w:lineRule="exact"/>
              <w:jc w:val="left"/>
              <w:rPr>
                <w:rFonts w:ascii="Times New Roman" w:eastAsia="方正仿宋简体" w:hAnsi="Times New Roman" w:cs="Times New Roman"/>
                <w:color w:val="000000"/>
                <w:kern w:val="0"/>
                <w:sz w:val="28"/>
                <w:szCs w:val="30"/>
              </w:rPr>
            </w:pPr>
            <w:r w:rsidRPr="009B085B">
              <w:rPr>
                <w:rFonts w:ascii="Times New Roman" w:eastAsia="方正仿宋简体" w:hAnsi="Times New Roman" w:cs="Times New Roman"/>
                <w:b/>
                <w:color w:val="000000"/>
                <w:kern w:val="0"/>
                <w:sz w:val="28"/>
                <w:szCs w:val="30"/>
              </w:rPr>
              <w:t xml:space="preserve">Article 35 </w:t>
            </w:r>
            <w:r w:rsidRPr="009B085B">
              <w:rPr>
                <w:rFonts w:ascii="Times New Roman" w:eastAsia="方正仿宋简体" w:hAnsi="Times New Roman" w:cs="Times New Roman"/>
                <w:color w:val="000000"/>
                <w:kern w:val="0"/>
                <w:sz w:val="28"/>
                <w:szCs w:val="30"/>
              </w:rPr>
              <w:t>Gold delivery settlement and invoicing procedures</w:t>
            </w:r>
          </w:p>
          <w:p w:rsidR="00407FD3" w:rsidRPr="009B085B" w:rsidRDefault="00407FD3" w:rsidP="00287405">
            <w:pPr>
              <w:widowControl/>
              <w:spacing w:line="560" w:lineRule="exact"/>
              <w:jc w:val="left"/>
              <w:rPr>
                <w:rFonts w:ascii="Times New Roman" w:eastAsia="方正仿宋简体" w:hAnsi="Times New Roman" w:cs="Times New Roman"/>
                <w:color w:val="000000"/>
                <w:kern w:val="0"/>
                <w:sz w:val="28"/>
                <w:szCs w:val="30"/>
              </w:rPr>
            </w:pPr>
            <w:r w:rsidRPr="009B085B">
              <w:rPr>
                <w:rFonts w:ascii="Times New Roman" w:eastAsia="方正仿宋简体" w:hAnsi="Times New Roman" w:cs="Times New Roman"/>
                <w:color w:val="000000"/>
                <w:kern w:val="0"/>
                <w:sz w:val="28"/>
                <w:szCs w:val="30"/>
              </w:rPr>
              <w:t>(</w:t>
            </w:r>
            <w:proofErr w:type="spellStart"/>
            <w:r w:rsidRPr="009B085B">
              <w:rPr>
                <w:rFonts w:ascii="Times New Roman" w:eastAsia="方正仿宋简体" w:hAnsi="Times New Roman" w:cs="Times New Roman"/>
                <w:color w:val="000000"/>
                <w:kern w:val="0"/>
                <w:sz w:val="28"/>
                <w:szCs w:val="30"/>
              </w:rPr>
              <w:t>i</w:t>
            </w:r>
            <w:proofErr w:type="spellEnd"/>
            <w:r w:rsidRPr="009B085B">
              <w:rPr>
                <w:rFonts w:ascii="Times New Roman" w:eastAsia="方正仿宋简体" w:hAnsi="Times New Roman" w:cs="Times New Roman"/>
                <w:color w:val="000000"/>
                <w:kern w:val="0"/>
                <w:sz w:val="28"/>
                <w:szCs w:val="30"/>
              </w:rPr>
              <w:t>) Delivery settlement of gold futures: the final settlement price for a gold futures contract is the volume-weighted average price of the contract’s execution in the last five (5) trading days on which it has been executed. The buyer and the seller shall settle the contract at its final settlement price at the delivery settlement.</w:t>
            </w:r>
          </w:p>
        </w:tc>
        <w:tc>
          <w:tcPr>
            <w:tcW w:w="7088" w:type="dxa"/>
            <w:shd w:val="clear" w:color="auto" w:fill="auto"/>
            <w:vAlign w:val="center"/>
            <w:hideMark/>
          </w:tcPr>
          <w:p w:rsidR="00407FD3" w:rsidRPr="009B085B" w:rsidRDefault="00407FD3" w:rsidP="00287405">
            <w:pPr>
              <w:widowControl/>
              <w:spacing w:line="560" w:lineRule="exact"/>
              <w:jc w:val="left"/>
              <w:rPr>
                <w:rFonts w:ascii="Times New Roman" w:eastAsia="方正仿宋简体" w:hAnsi="Times New Roman" w:cs="Times New Roman"/>
                <w:color w:val="000000"/>
                <w:kern w:val="0"/>
                <w:sz w:val="28"/>
                <w:szCs w:val="30"/>
              </w:rPr>
            </w:pPr>
            <w:r w:rsidRPr="009B085B">
              <w:rPr>
                <w:rFonts w:ascii="Times New Roman" w:eastAsia="方正仿宋简体" w:hAnsi="Times New Roman" w:cs="Times New Roman"/>
                <w:b/>
                <w:color w:val="000000"/>
                <w:kern w:val="0"/>
                <w:sz w:val="28"/>
                <w:szCs w:val="30"/>
              </w:rPr>
              <w:t xml:space="preserve">Article 35 </w:t>
            </w:r>
            <w:r w:rsidRPr="009B085B">
              <w:rPr>
                <w:rFonts w:ascii="Times New Roman" w:eastAsia="方正仿宋简体" w:hAnsi="Times New Roman" w:cs="Times New Roman"/>
                <w:color w:val="000000"/>
                <w:kern w:val="0"/>
                <w:sz w:val="28"/>
                <w:szCs w:val="30"/>
              </w:rPr>
              <w:t>Gold delivery settlement and invoicing procedures</w:t>
            </w:r>
          </w:p>
          <w:p w:rsidR="00407FD3" w:rsidRPr="009B085B" w:rsidRDefault="00407FD3" w:rsidP="00287405">
            <w:pPr>
              <w:widowControl/>
              <w:spacing w:line="560" w:lineRule="exact"/>
              <w:jc w:val="left"/>
              <w:rPr>
                <w:rFonts w:ascii="Times New Roman" w:eastAsia="方正仿宋简体" w:hAnsi="Times New Roman" w:cs="Times New Roman"/>
                <w:color w:val="000000"/>
                <w:kern w:val="0"/>
                <w:sz w:val="28"/>
                <w:szCs w:val="30"/>
              </w:rPr>
            </w:pPr>
            <w:r w:rsidRPr="009B085B">
              <w:rPr>
                <w:rFonts w:ascii="Times New Roman" w:eastAsia="方正仿宋简体" w:hAnsi="Times New Roman" w:cs="Times New Roman"/>
                <w:color w:val="000000"/>
                <w:kern w:val="0"/>
                <w:sz w:val="28"/>
                <w:szCs w:val="30"/>
              </w:rPr>
              <w:t>(</w:t>
            </w:r>
            <w:proofErr w:type="spellStart"/>
            <w:r w:rsidRPr="009B085B">
              <w:rPr>
                <w:rFonts w:ascii="Times New Roman" w:eastAsia="方正仿宋简体" w:hAnsi="Times New Roman" w:cs="Times New Roman"/>
                <w:color w:val="000000"/>
                <w:kern w:val="0"/>
                <w:sz w:val="28"/>
                <w:szCs w:val="30"/>
              </w:rPr>
              <w:t>i</w:t>
            </w:r>
            <w:proofErr w:type="spellEnd"/>
            <w:r w:rsidRPr="009B085B">
              <w:rPr>
                <w:rFonts w:ascii="Times New Roman" w:eastAsia="方正仿宋简体" w:hAnsi="Times New Roman" w:cs="Times New Roman"/>
                <w:color w:val="000000"/>
                <w:kern w:val="0"/>
                <w:sz w:val="28"/>
                <w:szCs w:val="30"/>
              </w:rPr>
              <w:t xml:space="preserve">) Delivery settlement of gold futures: the final settlement price for a gold futures contract is the </w:t>
            </w:r>
            <w:r w:rsidRPr="009B085B">
              <w:rPr>
                <w:rFonts w:ascii="Times New Roman" w:eastAsia="方正仿宋简体" w:hAnsi="Times New Roman" w:cs="Times New Roman"/>
                <w:b/>
                <w:color w:val="FF0000"/>
                <w:kern w:val="0"/>
                <w:sz w:val="28"/>
                <w:szCs w:val="30"/>
              </w:rPr>
              <w:t xml:space="preserve">arithmetic </w:t>
            </w:r>
            <w:r w:rsidRPr="009B085B">
              <w:rPr>
                <w:rFonts w:ascii="Times New Roman" w:eastAsia="方正仿宋简体" w:hAnsi="Times New Roman" w:cs="Times New Roman"/>
                <w:dstrike/>
                <w:color w:val="000000"/>
                <w:kern w:val="0"/>
                <w:sz w:val="28"/>
                <w:szCs w:val="30"/>
              </w:rPr>
              <w:t xml:space="preserve">volume-weighted </w:t>
            </w:r>
            <w:r w:rsidRPr="009B085B">
              <w:rPr>
                <w:rFonts w:ascii="Times New Roman" w:eastAsia="方正仿宋简体" w:hAnsi="Times New Roman" w:cs="Times New Roman"/>
                <w:color w:val="000000"/>
                <w:kern w:val="0"/>
                <w:sz w:val="28"/>
                <w:szCs w:val="30"/>
              </w:rPr>
              <w:t xml:space="preserve">average price of the </w:t>
            </w:r>
            <w:r w:rsidRPr="009B085B">
              <w:rPr>
                <w:rFonts w:ascii="Times New Roman" w:eastAsia="方正仿宋简体" w:hAnsi="Times New Roman" w:cs="Times New Roman"/>
                <w:b/>
                <w:color w:val="FF0000"/>
                <w:kern w:val="0"/>
                <w:sz w:val="28"/>
                <w:szCs w:val="30"/>
              </w:rPr>
              <w:t>settlement prices of that contract over the last five (5) trading days on which it was traded</w:t>
            </w:r>
            <w:r w:rsidRPr="009B085B">
              <w:rPr>
                <w:rFonts w:ascii="Times New Roman" w:eastAsia="方正仿宋简体" w:hAnsi="Times New Roman" w:cs="Times New Roman"/>
                <w:dstrike/>
                <w:color w:val="000000"/>
                <w:kern w:val="0"/>
                <w:sz w:val="28"/>
                <w:szCs w:val="30"/>
              </w:rPr>
              <w:t xml:space="preserve"> contract’s execution in the last five (5) trading days on which it has been executed</w:t>
            </w:r>
            <w:r w:rsidRPr="009B085B">
              <w:rPr>
                <w:rFonts w:ascii="Times New Roman" w:eastAsia="方正仿宋简体" w:hAnsi="Times New Roman" w:cs="Times New Roman"/>
                <w:color w:val="000000"/>
                <w:kern w:val="0"/>
                <w:sz w:val="28"/>
                <w:szCs w:val="30"/>
              </w:rPr>
              <w:t>. The buyer and the seller shall settle the contract at its final settlement price at the delivery settlement.</w:t>
            </w:r>
          </w:p>
        </w:tc>
      </w:tr>
      <w:tr w:rsidR="00407FD3" w:rsidRPr="009B085B" w:rsidTr="00287405">
        <w:trPr>
          <w:trHeight w:val="840"/>
        </w:trPr>
        <w:tc>
          <w:tcPr>
            <w:tcW w:w="6833" w:type="dxa"/>
            <w:shd w:val="clear" w:color="auto" w:fill="auto"/>
            <w:vAlign w:val="center"/>
          </w:tcPr>
          <w:p w:rsidR="00407FD3" w:rsidRPr="009B085B" w:rsidRDefault="00407FD3" w:rsidP="00287405">
            <w:pPr>
              <w:widowControl/>
              <w:spacing w:line="560" w:lineRule="exact"/>
              <w:jc w:val="left"/>
              <w:rPr>
                <w:rFonts w:ascii="Times New Roman" w:eastAsia="方正仿宋简体" w:hAnsi="Times New Roman" w:cs="Times New Roman"/>
                <w:b/>
                <w:color w:val="000000"/>
                <w:kern w:val="0"/>
                <w:sz w:val="28"/>
                <w:szCs w:val="30"/>
              </w:rPr>
            </w:pPr>
            <w:r w:rsidRPr="009B085B">
              <w:rPr>
                <w:rFonts w:ascii="Times New Roman" w:eastAsia="方正仿宋简体" w:hAnsi="Times New Roman" w:cs="Times New Roman"/>
                <w:b/>
                <w:color w:val="000000"/>
                <w:kern w:val="0"/>
                <w:sz w:val="28"/>
                <w:szCs w:val="30"/>
              </w:rPr>
              <w:lastRenderedPageBreak/>
              <w:t xml:space="preserve">Article 52 </w:t>
            </w:r>
            <w:r w:rsidRPr="009B085B">
              <w:rPr>
                <w:rFonts w:ascii="Times New Roman" w:eastAsia="方正仿宋简体" w:hAnsi="Times New Roman" w:cs="Times New Roman"/>
                <w:color w:val="000000"/>
                <w:kern w:val="0"/>
                <w:sz w:val="28"/>
                <w:szCs w:val="30"/>
              </w:rPr>
              <w:t>These Gold Futures Rules take effect on October 23, 2024.</w:t>
            </w:r>
          </w:p>
        </w:tc>
        <w:tc>
          <w:tcPr>
            <w:tcW w:w="7088" w:type="dxa"/>
            <w:shd w:val="clear" w:color="auto" w:fill="auto"/>
            <w:vAlign w:val="center"/>
          </w:tcPr>
          <w:p w:rsidR="00407FD3" w:rsidRPr="009B085B" w:rsidRDefault="00407FD3" w:rsidP="00287405">
            <w:pPr>
              <w:widowControl/>
              <w:spacing w:line="560" w:lineRule="exact"/>
              <w:jc w:val="left"/>
              <w:rPr>
                <w:rFonts w:ascii="Times New Roman" w:eastAsia="方正仿宋简体" w:hAnsi="Times New Roman" w:cs="Times New Roman"/>
                <w:b/>
                <w:color w:val="000000"/>
                <w:kern w:val="0"/>
                <w:sz w:val="28"/>
                <w:szCs w:val="30"/>
              </w:rPr>
            </w:pPr>
            <w:r w:rsidRPr="009B085B">
              <w:rPr>
                <w:rFonts w:ascii="Times New Roman" w:eastAsia="方正仿宋简体" w:hAnsi="Times New Roman" w:cs="Times New Roman"/>
                <w:b/>
                <w:color w:val="000000"/>
                <w:kern w:val="0"/>
                <w:sz w:val="28"/>
                <w:szCs w:val="30"/>
              </w:rPr>
              <w:t xml:space="preserve">Article 52 </w:t>
            </w:r>
            <w:r w:rsidRPr="009B085B">
              <w:rPr>
                <w:rFonts w:ascii="Times New Roman" w:eastAsia="方正仿宋简体" w:hAnsi="Times New Roman" w:cs="Times New Roman"/>
                <w:color w:val="000000"/>
                <w:kern w:val="0"/>
                <w:sz w:val="28"/>
                <w:szCs w:val="30"/>
              </w:rPr>
              <w:t xml:space="preserve">These Gold Futures Rules take effect on </w:t>
            </w:r>
            <w:r>
              <w:rPr>
                <w:rFonts w:ascii="Times New Roman" w:eastAsia="方正仿宋简体" w:hAnsi="Times New Roman" w:cs="Times New Roman"/>
                <w:b/>
                <w:color w:val="FF0000"/>
                <w:kern w:val="0"/>
                <w:sz w:val="28"/>
                <w:szCs w:val="30"/>
              </w:rPr>
              <w:t xml:space="preserve">July </w:t>
            </w:r>
            <w:r>
              <w:rPr>
                <w:rFonts w:ascii="Times New Roman" w:eastAsia="方正仿宋简体" w:hAnsi="Times New Roman" w:cs="Times New Roman" w:hint="eastAsia"/>
                <w:b/>
                <w:color w:val="FF0000"/>
                <w:kern w:val="0"/>
                <w:sz w:val="28"/>
                <w:szCs w:val="30"/>
              </w:rPr>
              <w:t>16</w:t>
            </w:r>
            <w:r w:rsidRPr="009B085B">
              <w:rPr>
                <w:rFonts w:ascii="Times New Roman" w:eastAsia="方正仿宋简体" w:hAnsi="Times New Roman" w:cs="Times New Roman"/>
                <w:b/>
                <w:color w:val="FF0000"/>
                <w:kern w:val="0"/>
                <w:sz w:val="28"/>
                <w:szCs w:val="30"/>
              </w:rPr>
              <w:t>, 2025</w:t>
            </w:r>
            <w:r w:rsidRPr="009B085B">
              <w:rPr>
                <w:rFonts w:ascii="Times New Roman" w:eastAsia="方正仿宋简体" w:hAnsi="Times New Roman" w:cs="Times New Roman"/>
                <w:dstrike/>
                <w:color w:val="000000"/>
                <w:kern w:val="0"/>
                <w:sz w:val="28"/>
                <w:szCs w:val="30"/>
              </w:rPr>
              <w:t>October 23, 2024</w:t>
            </w:r>
            <w:r w:rsidRPr="009B085B">
              <w:rPr>
                <w:rFonts w:ascii="Times New Roman" w:eastAsia="方正仿宋简体" w:hAnsi="Times New Roman" w:cs="Times New Roman"/>
                <w:color w:val="000000"/>
                <w:kern w:val="0"/>
                <w:sz w:val="28"/>
                <w:szCs w:val="30"/>
              </w:rPr>
              <w:t>.</w:t>
            </w:r>
          </w:p>
        </w:tc>
      </w:tr>
    </w:tbl>
    <w:p w:rsidR="00407FD3" w:rsidRPr="009B085B" w:rsidRDefault="00407FD3" w:rsidP="00407FD3">
      <w:pPr>
        <w:rPr>
          <w:rFonts w:ascii="Times New Roman" w:hAnsi="Times New Roman" w:cs="Times New Roman"/>
          <w:sz w:val="30"/>
          <w:szCs w:val="30"/>
        </w:rPr>
      </w:pPr>
    </w:p>
    <w:p w:rsidR="00407FD3" w:rsidRPr="009B085B" w:rsidRDefault="00407FD3" w:rsidP="00407FD3">
      <w:pPr>
        <w:rPr>
          <w:rFonts w:ascii="Times New Roman" w:hAnsi="Times New Roman" w:cs="Times New Roman"/>
          <w:sz w:val="30"/>
          <w:szCs w:val="30"/>
        </w:rPr>
      </w:pPr>
    </w:p>
    <w:p w:rsidR="00407FD3" w:rsidRPr="009B085B" w:rsidRDefault="00407FD3" w:rsidP="00407FD3">
      <w:pPr>
        <w:rPr>
          <w:rFonts w:ascii="Times New Roman" w:hAnsi="Times New Roman" w:cs="Times New Roman"/>
          <w:sz w:val="30"/>
          <w:szCs w:val="30"/>
        </w:rPr>
      </w:pPr>
    </w:p>
    <w:p w:rsidR="00407FD3" w:rsidRPr="009B085B" w:rsidRDefault="00407FD3" w:rsidP="00407FD3">
      <w:pPr>
        <w:rPr>
          <w:rFonts w:ascii="Times New Roman" w:hAnsi="Times New Roman" w:cs="Times New Roman"/>
          <w:sz w:val="30"/>
          <w:szCs w:val="30"/>
        </w:rPr>
      </w:pPr>
    </w:p>
    <w:p w:rsidR="00407FD3" w:rsidRPr="009B085B" w:rsidRDefault="00407FD3" w:rsidP="00407FD3">
      <w:pPr>
        <w:rPr>
          <w:rFonts w:ascii="Times New Roman" w:hAnsi="Times New Roman" w:cs="Times New Roman"/>
          <w:sz w:val="30"/>
          <w:szCs w:val="30"/>
        </w:rPr>
      </w:pPr>
    </w:p>
    <w:p w:rsidR="00407FD3" w:rsidRPr="009B085B" w:rsidRDefault="00407FD3" w:rsidP="00407FD3">
      <w:pPr>
        <w:rPr>
          <w:rFonts w:ascii="Times New Roman" w:hAnsi="Times New Roman" w:cs="Times New Roman"/>
          <w:sz w:val="30"/>
          <w:szCs w:val="30"/>
        </w:rPr>
      </w:pPr>
    </w:p>
    <w:p w:rsidR="00407FD3" w:rsidRPr="009B085B" w:rsidRDefault="00407FD3" w:rsidP="00407FD3">
      <w:pPr>
        <w:rPr>
          <w:rFonts w:ascii="Times New Roman" w:hAnsi="Times New Roman" w:cs="Times New Roman"/>
          <w:sz w:val="30"/>
          <w:szCs w:val="30"/>
        </w:rPr>
      </w:pPr>
    </w:p>
    <w:p w:rsidR="00407FD3" w:rsidRPr="009B085B" w:rsidRDefault="00407FD3" w:rsidP="00407FD3">
      <w:pPr>
        <w:rPr>
          <w:rFonts w:ascii="Times New Roman" w:hAnsi="Times New Roman" w:cs="Times New Roman"/>
          <w:sz w:val="30"/>
          <w:szCs w:val="30"/>
        </w:rPr>
      </w:pPr>
    </w:p>
    <w:p w:rsidR="00407FD3" w:rsidRPr="009B085B" w:rsidRDefault="00407FD3" w:rsidP="00407FD3">
      <w:pPr>
        <w:rPr>
          <w:rFonts w:ascii="Times New Roman" w:hAnsi="Times New Roman" w:cs="Times New Roman"/>
          <w:sz w:val="30"/>
          <w:szCs w:val="30"/>
        </w:rPr>
        <w:sectPr w:rsidR="00407FD3" w:rsidRPr="009B085B" w:rsidSect="005A123E">
          <w:footerReference w:type="default" r:id="rId7"/>
          <w:pgSz w:w="16838" w:h="11906" w:orient="landscape"/>
          <w:pgMar w:top="1800" w:right="1440" w:bottom="1800" w:left="1440" w:header="851" w:footer="992" w:gutter="0"/>
          <w:cols w:space="425"/>
          <w:docGrid w:type="lines" w:linePitch="312"/>
        </w:sectPr>
      </w:pPr>
    </w:p>
    <w:p w:rsidR="00407FD3" w:rsidRPr="009B085B" w:rsidRDefault="00407FD3" w:rsidP="00407FD3">
      <w:pPr>
        <w:spacing w:line="560" w:lineRule="exact"/>
        <w:jc w:val="center"/>
        <w:rPr>
          <w:rFonts w:ascii="Times New Roman" w:hAnsi="Times New Roman" w:cs="Times New Roman"/>
          <w:b/>
          <w:bCs/>
          <w:sz w:val="32"/>
          <w:szCs w:val="30"/>
        </w:rPr>
      </w:pPr>
      <w:r w:rsidRPr="009B085B">
        <w:rPr>
          <w:rFonts w:ascii="Times New Roman" w:hAnsi="Times New Roman" w:cs="Times New Roman"/>
          <w:b/>
          <w:bCs/>
          <w:sz w:val="32"/>
          <w:szCs w:val="30"/>
        </w:rPr>
        <w:lastRenderedPageBreak/>
        <w:t>Comparison table of Revised Natural Rubber Futures Rules of the Shanghai Futures Exchange</w:t>
      </w:r>
    </w:p>
    <w:p w:rsidR="00407FD3" w:rsidRPr="009B085B" w:rsidRDefault="00407FD3" w:rsidP="00407FD3">
      <w:pPr>
        <w:spacing w:line="560" w:lineRule="exact"/>
        <w:jc w:val="left"/>
        <w:rPr>
          <w:rFonts w:ascii="Times New Roman" w:hAnsi="Times New Roman" w:cs="Times New Roman"/>
          <w:sz w:val="24"/>
          <w:szCs w:val="20"/>
        </w:rPr>
      </w:pPr>
      <w:r w:rsidRPr="009B085B">
        <w:rPr>
          <w:rFonts w:ascii="Times New Roman" w:hAnsi="Times New Roman" w:cs="Times New Roman"/>
          <w:sz w:val="24"/>
          <w:szCs w:val="20"/>
        </w:rPr>
        <w:t>Note: A double strikethrough indicates deleted content, and bold red font indicates new contents</w:t>
      </w:r>
    </w:p>
    <w:tbl>
      <w:tblPr>
        <w:tblW w:w="1392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33"/>
        <w:gridCol w:w="7088"/>
      </w:tblGrid>
      <w:tr w:rsidR="00407FD3" w:rsidRPr="009B085B" w:rsidTr="00287405">
        <w:trPr>
          <w:trHeight w:val="280"/>
        </w:trPr>
        <w:tc>
          <w:tcPr>
            <w:tcW w:w="6833" w:type="dxa"/>
            <w:shd w:val="clear" w:color="auto" w:fill="4F81BD" w:themeFill="accent1"/>
            <w:vAlign w:val="center"/>
            <w:hideMark/>
          </w:tcPr>
          <w:p w:rsidR="00407FD3" w:rsidRPr="009B085B" w:rsidRDefault="00407FD3" w:rsidP="00287405">
            <w:pPr>
              <w:widowControl/>
              <w:spacing w:line="560" w:lineRule="exact"/>
              <w:jc w:val="center"/>
              <w:rPr>
                <w:rFonts w:ascii="微软雅黑" w:eastAsia="微软雅黑" w:hAnsi="微软雅黑" w:cs="Times New Roman"/>
                <w:b/>
                <w:color w:val="FFFFFF" w:themeColor="background1"/>
                <w:kern w:val="0"/>
                <w:sz w:val="30"/>
                <w:szCs w:val="30"/>
              </w:rPr>
            </w:pPr>
            <w:r w:rsidRPr="009B085B">
              <w:rPr>
                <w:rFonts w:ascii="Times New Roman" w:eastAsia="微软雅黑" w:hAnsi="Times New Roman" w:cs="Times New Roman" w:hint="eastAsia"/>
                <w:b/>
                <w:color w:val="FFFFFF" w:themeColor="background1"/>
                <w:kern w:val="0"/>
                <w:sz w:val="28"/>
                <w:szCs w:val="30"/>
              </w:rPr>
              <w:t>C</w:t>
            </w:r>
            <w:r w:rsidRPr="009B085B">
              <w:rPr>
                <w:rFonts w:ascii="Times New Roman" w:eastAsia="微软雅黑" w:hAnsi="Times New Roman" w:cs="Times New Roman"/>
                <w:b/>
                <w:color w:val="FFFFFF" w:themeColor="background1"/>
                <w:kern w:val="0"/>
                <w:sz w:val="28"/>
                <w:szCs w:val="30"/>
              </w:rPr>
              <w:t>urrent Version</w:t>
            </w:r>
            <w:r w:rsidRPr="009B085B">
              <w:rPr>
                <w:rFonts w:ascii="Times New Roman" w:eastAsia="微软雅黑" w:hAnsi="Times New Roman" w:cs="Times New Roman"/>
                <w:b/>
                <w:color w:val="FFFFFF" w:themeColor="background1"/>
                <w:kern w:val="0"/>
                <w:sz w:val="28"/>
                <w:szCs w:val="30"/>
              </w:rPr>
              <w:t>（</w:t>
            </w:r>
            <w:r w:rsidRPr="009B085B">
              <w:rPr>
                <w:rFonts w:ascii="Times New Roman" w:eastAsia="微软雅黑" w:hAnsi="Times New Roman" w:cs="Times New Roman"/>
                <w:b/>
                <w:color w:val="FFFFFF" w:themeColor="background1"/>
                <w:kern w:val="0"/>
                <w:sz w:val="28"/>
                <w:szCs w:val="30"/>
              </w:rPr>
              <w:t>(effective from October 23, 2024</w:t>
            </w:r>
            <w:r w:rsidRPr="009B085B">
              <w:rPr>
                <w:rFonts w:ascii="Times New Roman" w:eastAsia="微软雅黑" w:hAnsi="Times New Roman" w:cs="Times New Roman"/>
                <w:b/>
                <w:color w:val="FFFFFF" w:themeColor="background1"/>
                <w:kern w:val="0"/>
                <w:sz w:val="28"/>
                <w:szCs w:val="30"/>
              </w:rPr>
              <w:t>）</w:t>
            </w:r>
          </w:p>
        </w:tc>
        <w:tc>
          <w:tcPr>
            <w:tcW w:w="7088" w:type="dxa"/>
            <w:shd w:val="clear" w:color="auto" w:fill="4F81BD" w:themeFill="accent1"/>
            <w:vAlign w:val="center"/>
            <w:hideMark/>
          </w:tcPr>
          <w:p w:rsidR="00407FD3" w:rsidRPr="009B085B" w:rsidRDefault="00407FD3" w:rsidP="00287405">
            <w:pPr>
              <w:widowControl/>
              <w:spacing w:line="560" w:lineRule="exact"/>
              <w:jc w:val="center"/>
              <w:rPr>
                <w:rFonts w:ascii="Times New Roman" w:eastAsia="微软雅黑" w:hAnsi="Times New Roman" w:cs="Times New Roman"/>
                <w:b/>
                <w:color w:val="FFFFFF" w:themeColor="background1"/>
                <w:kern w:val="0"/>
                <w:sz w:val="30"/>
                <w:szCs w:val="30"/>
              </w:rPr>
            </w:pPr>
            <w:r w:rsidRPr="009B085B">
              <w:rPr>
                <w:rFonts w:ascii="Times New Roman" w:eastAsia="微软雅黑" w:hAnsi="Times New Roman" w:cs="Times New Roman"/>
                <w:b/>
                <w:color w:val="FFFFFF" w:themeColor="background1"/>
                <w:kern w:val="0"/>
                <w:sz w:val="30"/>
                <w:szCs w:val="30"/>
              </w:rPr>
              <w:t>Revised Version</w:t>
            </w:r>
          </w:p>
        </w:tc>
      </w:tr>
      <w:tr w:rsidR="00407FD3" w:rsidRPr="009B085B" w:rsidTr="00287405">
        <w:trPr>
          <w:trHeight w:val="840"/>
        </w:trPr>
        <w:tc>
          <w:tcPr>
            <w:tcW w:w="6833" w:type="dxa"/>
            <w:shd w:val="clear" w:color="auto" w:fill="auto"/>
            <w:vAlign w:val="center"/>
            <w:hideMark/>
          </w:tcPr>
          <w:p w:rsidR="00407FD3" w:rsidRPr="009B085B" w:rsidRDefault="00407FD3" w:rsidP="00287405">
            <w:pPr>
              <w:widowControl/>
              <w:spacing w:line="560" w:lineRule="exact"/>
              <w:jc w:val="left"/>
              <w:rPr>
                <w:rFonts w:ascii="Times New Roman" w:eastAsia="方正仿宋简体" w:hAnsi="Times New Roman" w:cs="Times New Roman"/>
                <w:color w:val="000000"/>
                <w:kern w:val="0"/>
                <w:sz w:val="28"/>
                <w:szCs w:val="30"/>
              </w:rPr>
            </w:pPr>
            <w:r w:rsidRPr="009B085B">
              <w:rPr>
                <w:rFonts w:ascii="Times New Roman" w:eastAsia="方正仿宋简体" w:hAnsi="Times New Roman" w:cs="Times New Roman"/>
                <w:b/>
                <w:color w:val="000000"/>
                <w:kern w:val="0"/>
                <w:sz w:val="28"/>
                <w:szCs w:val="30"/>
              </w:rPr>
              <w:t xml:space="preserve">Article 23 </w:t>
            </w:r>
            <w:r w:rsidRPr="009B085B">
              <w:rPr>
                <w:rFonts w:ascii="Times New Roman" w:eastAsia="方正仿宋简体" w:hAnsi="Times New Roman" w:cs="Times New Roman"/>
                <w:color w:val="000000"/>
                <w:kern w:val="0"/>
                <w:sz w:val="28"/>
                <w:szCs w:val="30"/>
              </w:rPr>
              <w:t>The benchmark price for delivery settlement of a natural rubber futures contract is the volume-weighted average of the execution prices of that contract over the last five (5) trading days on which it is traded.</w:t>
            </w:r>
          </w:p>
        </w:tc>
        <w:tc>
          <w:tcPr>
            <w:tcW w:w="7088" w:type="dxa"/>
            <w:shd w:val="clear" w:color="auto" w:fill="auto"/>
            <w:vAlign w:val="center"/>
            <w:hideMark/>
          </w:tcPr>
          <w:p w:rsidR="00407FD3" w:rsidRPr="009B085B" w:rsidRDefault="00407FD3" w:rsidP="00287405">
            <w:pPr>
              <w:widowControl/>
              <w:spacing w:line="560" w:lineRule="exact"/>
              <w:jc w:val="left"/>
              <w:rPr>
                <w:rFonts w:ascii="Times New Roman" w:eastAsia="方正仿宋简体" w:hAnsi="Times New Roman" w:cs="Times New Roman"/>
                <w:color w:val="000000"/>
                <w:kern w:val="0"/>
                <w:sz w:val="28"/>
                <w:szCs w:val="30"/>
              </w:rPr>
            </w:pPr>
            <w:r w:rsidRPr="009B085B">
              <w:rPr>
                <w:rFonts w:ascii="Times New Roman" w:eastAsia="方正仿宋简体" w:hAnsi="Times New Roman" w:cs="Times New Roman"/>
                <w:b/>
                <w:color w:val="000000"/>
                <w:kern w:val="0"/>
                <w:sz w:val="28"/>
                <w:szCs w:val="30"/>
              </w:rPr>
              <w:t xml:space="preserve">Article 23 </w:t>
            </w:r>
            <w:r w:rsidRPr="009B085B">
              <w:rPr>
                <w:rFonts w:ascii="Times New Roman" w:eastAsia="方正仿宋简体" w:hAnsi="Times New Roman" w:cs="Times New Roman"/>
                <w:color w:val="000000"/>
                <w:kern w:val="0"/>
                <w:sz w:val="28"/>
                <w:szCs w:val="30"/>
              </w:rPr>
              <w:t>The benchmark price for delivery settlement of a natural rubber futures contract is the</w:t>
            </w:r>
            <w:r w:rsidRPr="009B085B">
              <w:rPr>
                <w:rFonts w:ascii="Times New Roman" w:eastAsia="方正仿宋简体" w:hAnsi="Times New Roman" w:cs="Times New Roman"/>
                <w:b/>
                <w:color w:val="FF0000"/>
                <w:kern w:val="0"/>
                <w:sz w:val="28"/>
                <w:szCs w:val="30"/>
              </w:rPr>
              <w:t xml:space="preserve"> arithmetic </w:t>
            </w:r>
            <w:r w:rsidRPr="009B085B">
              <w:rPr>
                <w:rFonts w:ascii="Times New Roman" w:eastAsia="方正仿宋简体" w:hAnsi="Times New Roman" w:cs="Times New Roman"/>
                <w:dstrike/>
                <w:color w:val="000000"/>
                <w:kern w:val="0"/>
                <w:sz w:val="28"/>
                <w:szCs w:val="30"/>
              </w:rPr>
              <w:t xml:space="preserve">volume-weighted </w:t>
            </w:r>
            <w:r w:rsidRPr="009B085B">
              <w:rPr>
                <w:rFonts w:ascii="Times New Roman" w:eastAsia="方正仿宋简体" w:hAnsi="Times New Roman" w:cs="Times New Roman"/>
                <w:color w:val="000000"/>
                <w:kern w:val="0"/>
                <w:sz w:val="28"/>
                <w:szCs w:val="30"/>
              </w:rPr>
              <w:t xml:space="preserve">average price of the </w:t>
            </w:r>
            <w:r w:rsidRPr="009B085B">
              <w:rPr>
                <w:rFonts w:ascii="Times New Roman" w:eastAsia="方正仿宋简体" w:hAnsi="Times New Roman" w:cs="Times New Roman"/>
                <w:b/>
                <w:color w:val="FF0000"/>
                <w:kern w:val="0"/>
                <w:sz w:val="28"/>
                <w:szCs w:val="30"/>
              </w:rPr>
              <w:t>settlement prices of that contract over the last five (5) trading days on which it was traded</w:t>
            </w:r>
            <w:r w:rsidRPr="009B085B">
              <w:rPr>
                <w:rFonts w:ascii="Times New Roman" w:eastAsia="方正仿宋简体" w:hAnsi="Times New Roman" w:cs="Times New Roman"/>
                <w:dstrike/>
                <w:color w:val="000000"/>
                <w:kern w:val="0"/>
                <w:sz w:val="28"/>
                <w:szCs w:val="30"/>
              </w:rPr>
              <w:t xml:space="preserve"> contract’s execution in the last five (5) trading days on which it has been executed</w:t>
            </w:r>
            <w:r w:rsidRPr="009B085B">
              <w:rPr>
                <w:rFonts w:ascii="Times New Roman" w:eastAsia="方正仿宋简体" w:hAnsi="Times New Roman" w:cs="Times New Roman"/>
                <w:color w:val="000000"/>
                <w:kern w:val="0"/>
                <w:sz w:val="28"/>
                <w:szCs w:val="30"/>
              </w:rPr>
              <w:t>.</w:t>
            </w:r>
          </w:p>
        </w:tc>
      </w:tr>
      <w:tr w:rsidR="00407FD3" w:rsidRPr="009B085B" w:rsidTr="00287405">
        <w:trPr>
          <w:trHeight w:val="840"/>
        </w:trPr>
        <w:tc>
          <w:tcPr>
            <w:tcW w:w="6833" w:type="dxa"/>
            <w:shd w:val="clear" w:color="auto" w:fill="auto"/>
            <w:vAlign w:val="center"/>
          </w:tcPr>
          <w:p w:rsidR="00407FD3" w:rsidRPr="009B085B" w:rsidRDefault="00407FD3" w:rsidP="00287405">
            <w:pPr>
              <w:widowControl/>
              <w:spacing w:line="560" w:lineRule="exact"/>
              <w:jc w:val="left"/>
              <w:rPr>
                <w:rFonts w:ascii="Times New Roman" w:eastAsia="方正仿宋简体" w:hAnsi="Times New Roman" w:cs="Times New Roman"/>
                <w:b/>
                <w:color w:val="000000"/>
                <w:kern w:val="0"/>
                <w:sz w:val="28"/>
                <w:szCs w:val="30"/>
              </w:rPr>
            </w:pPr>
            <w:r w:rsidRPr="009B085B">
              <w:rPr>
                <w:rFonts w:ascii="Times New Roman" w:eastAsia="方正仿宋简体" w:hAnsi="Times New Roman" w:cs="Times New Roman"/>
                <w:b/>
                <w:color w:val="000000"/>
                <w:kern w:val="0"/>
                <w:sz w:val="28"/>
                <w:szCs w:val="30"/>
              </w:rPr>
              <w:t xml:space="preserve">Article35 </w:t>
            </w:r>
            <w:r w:rsidRPr="009B085B">
              <w:rPr>
                <w:rFonts w:ascii="Times New Roman" w:eastAsia="方正仿宋简体" w:hAnsi="Times New Roman" w:cs="Times New Roman"/>
                <w:color w:val="000000"/>
                <w:kern w:val="0"/>
                <w:sz w:val="28"/>
                <w:szCs w:val="30"/>
              </w:rPr>
              <w:t>These Natural Rubber Futures Rules take effect on October 23, 2024.</w:t>
            </w:r>
          </w:p>
        </w:tc>
        <w:tc>
          <w:tcPr>
            <w:tcW w:w="7088" w:type="dxa"/>
            <w:shd w:val="clear" w:color="auto" w:fill="auto"/>
            <w:vAlign w:val="center"/>
          </w:tcPr>
          <w:p w:rsidR="00407FD3" w:rsidRPr="009B085B" w:rsidRDefault="00407FD3" w:rsidP="00287405">
            <w:pPr>
              <w:widowControl/>
              <w:spacing w:line="560" w:lineRule="exact"/>
              <w:jc w:val="left"/>
              <w:rPr>
                <w:rFonts w:ascii="Times New Roman" w:eastAsia="方正仿宋简体" w:hAnsi="Times New Roman" w:cs="Times New Roman"/>
                <w:color w:val="000000"/>
                <w:kern w:val="0"/>
                <w:sz w:val="28"/>
                <w:szCs w:val="30"/>
              </w:rPr>
            </w:pPr>
            <w:r w:rsidRPr="009B085B">
              <w:rPr>
                <w:rFonts w:ascii="Times New Roman" w:eastAsia="方正仿宋简体" w:hAnsi="Times New Roman" w:cs="Times New Roman"/>
                <w:b/>
                <w:color w:val="000000"/>
                <w:kern w:val="0"/>
                <w:sz w:val="28"/>
                <w:szCs w:val="30"/>
              </w:rPr>
              <w:t xml:space="preserve">Article35 </w:t>
            </w:r>
            <w:r w:rsidRPr="009B085B">
              <w:rPr>
                <w:rFonts w:ascii="Times New Roman" w:eastAsia="方正仿宋简体" w:hAnsi="Times New Roman" w:cs="Times New Roman"/>
                <w:color w:val="000000"/>
                <w:kern w:val="0"/>
                <w:sz w:val="28"/>
                <w:szCs w:val="30"/>
              </w:rPr>
              <w:t xml:space="preserve">These Natural Rubber Futures Rules take effect on </w:t>
            </w:r>
            <w:r>
              <w:rPr>
                <w:rFonts w:ascii="Times New Roman" w:eastAsia="方正仿宋简体" w:hAnsi="Times New Roman" w:cs="Times New Roman"/>
                <w:b/>
                <w:color w:val="FF0000"/>
                <w:kern w:val="0"/>
                <w:sz w:val="28"/>
                <w:szCs w:val="30"/>
              </w:rPr>
              <w:t xml:space="preserve">July </w:t>
            </w:r>
            <w:r>
              <w:rPr>
                <w:rFonts w:ascii="Times New Roman" w:eastAsia="方正仿宋简体" w:hAnsi="Times New Roman" w:cs="Times New Roman" w:hint="eastAsia"/>
                <w:b/>
                <w:color w:val="FF0000"/>
                <w:kern w:val="0"/>
                <w:sz w:val="28"/>
                <w:szCs w:val="30"/>
              </w:rPr>
              <w:t>16</w:t>
            </w:r>
            <w:r w:rsidRPr="009B085B">
              <w:rPr>
                <w:rFonts w:ascii="Times New Roman" w:eastAsia="方正仿宋简体" w:hAnsi="Times New Roman" w:cs="Times New Roman"/>
                <w:b/>
                <w:color w:val="FF0000"/>
                <w:kern w:val="0"/>
                <w:sz w:val="28"/>
                <w:szCs w:val="30"/>
              </w:rPr>
              <w:t>, 2025</w:t>
            </w:r>
            <w:r w:rsidRPr="009B085B">
              <w:rPr>
                <w:rFonts w:ascii="Times New Roman" w:eastAsia="方正仿宋简体" w:hAnsi="Times New Roman" w:cs="Times New Roman"/>
                <w:dstrike/>
                <w:color w:val="000000"/>
                <w:kern w:val="0"/>
                <w:sz w:val="28"/>
                <w:szCs w:val="30"/>
              </w:rPr>
              <w:t>October 23, 2024</w:t>
            </w:r>
            <w:r w:rsidRPr="009B085B">
              <w:rPr>
                <w:rFonts w:ascii="Times New Roman" w:eastAsia="方正仿宋简体" w:hAnsi="Times New Roman" w:cs="Times New Roman"/>
                <w:color w:val="000000"/>
                <w:kern w:val="0"/>
                <w:sz w:val="28"/>
                <w:szCs w:val="30"/>
              </w:rPr>
              <w:t>.</w:t>
            </w:r>
          </w:p>
        </w:tc>
      </w:tr>
    </w:tbl>
    <w:p w:rsidR="00407FD3" w:rsidRPr="009B085B" w:rsidRDefault="00407FD3" w:rsidP="00407FD3">
      <w:pPr>
        <w:rPr>
          <w:rFonts w:ascii="Times New Roman" w:hAnsi="Times New Roman" w:cs="Times New Roman"/>
          <w:sz w:val="30"/>
          <w:szCs w:val="30"/>
        </w:rPr>
      </w:pPr>
    </w:p>
    <w:p w:rsidR="00407FD3" w:rsidRPr="009B085B" w:rsidRDefault="00407FD3" w:rsidP="00407FD3">
      <w:pPr>
        <w:rPr>
          <w:rFonts w:ascii="Times New Roman" w:hAnsi="Times New Roman" w:cs="Times New Roman"/>
          <w:sz w:val="30"/>
          <w:szCs w:val="30"/>
        </w:rPr>
        <w:sectPr w:rsidR="00407FD3" w:rsidRPr="009B085B" w:rsidSect="005A123E">
          <w:pgSz w:w="16838" w:h="11906" w:orient="landscape"/>
          <w:pgMar w:top="1800" w:right="1440" w:bottom="1800" w:left="1440" w:header="851" w:footer="992" w:gutter="0"/>
          <w:cols w:space="425"/>
          <w:docGrid w:type="lines" w:linePitch="312"/>
        </w:sectPr>
      </w:pPr>
    </w:p>
    <w:p w:rsidR="00407FD3" w:rsidRPr="009B085B" w:rsidRDefault="00407FD3" w:rsidP="00407FD3">
      <w:pPr>
        <w:spacing w:line="560" w:lineRule="exact"/>
        <w:jc w:val="center"/>
        <w:rPr>
          <w:rFonts w:ascii="Times New Roman" w:hAnsi="Times New Roman" w:cs="Times New Roman"/>
          <w:b/>
          <w:bCs/>
          <w:sz w:val="32"/>
          <w:szCs w:val="30"/>
        </w:rPr>
      </w:pPr>
      <w:r w:rsidRPr="009B085B">
        <w:rPr>
          <w:rFonts w:ascii="Times New Roman" w:hAnsi="Times New Roman" w:cs="Times New Roman"/>
          <w:b/>
          <w:bCs/>
          <w:sz w:val="32"/>
          <w:szCs w:val="30"/>
        </w:rPr>
        <w:lastRenderedPageBreak/>
        <w:t>Comparison table of Revised Bleached Softwood Kraft Pulp Futures of the Shanghai Futures Exchange</w:t>
      </w:r>
    </w:p>
    <w:p w:rsidR="00407FD3" w:rsidRPr="009B085B" w:rsidRDefault="00407FD3" w:rsidP="00407FD3">
      <w:pPr>
        <w:spacing w:line="560" w:lineRule="exact"/>
        <w:ind w:firstLineChars="100" w:firstLine="240"/>
        <w:rPr>
          <w:rFonts w:ascii="Times New Roman" w:hAnsi="Times New Roman" w:cs="Times New Roman"/>
          <w:sz w:val="24"/>
          <w:szCs w:val="20"/>
        </w:rPr>
      </w:pPr>
      <w:r w:rsidRPr="009B085B">
        <w:rPr>
          <w:rFonts w:ascii="Times New Roman" w:hAnsi="Times New Roman" w:cs="Times New Roman"/>
          <w:sz w:val="24"/>
          <w:szCs w:val="20"/>
        </w:rPr>
        <w:t>Note: A double strikethrough indicates deleted content, and bold red font indicates new contents</w:t>
      </w:r>
    </w:p>
    <w:tbl>
      <w:tblPr>
        <w:tblW w:w="1392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33"/>
        <w:gridCol w:w="7088"/>
      </w:tblGrid>
      <w:tr w:rsidR="00407FD3" w:rsidRPr="009B085B" w:rsidTr="00287405">
        <w:trPr>
          <w:trHeight w:val="280"/>
        </w:trPr>
        <w:tc>
          <w:tcPr>
            <w:tcW w:w="6833" w:type="dxa"/>
            <w:shd w:val="clear" w:color="auto" w:fill="4F81BD" w:themeFill="accent1"/>
            <w:vAlign w:val="center"/>
            <w:hideMark/>
          </w:tcPr>
          <w:p w:rsidR="00407FD3" w:rsidRPr="009B085B" w:rsidRDefault="00407FD3" w:rsidP="00287405">
            <w:pPr>
              <w:widowControl/>
              <w:spacing w:line="560" w:lineRule="exact"/>
              <w:jc w:val="center"/>
              <w:rPr>
                <w:rFonts w:ascii="微软雅黑" w:eastAsia="微软雅黑" w:hAnsi="微软雅黑" w:cs="Times New Roman"/>
                <w:b/>
                <w:color w:val="FFFFFF" w:themeColor="background1"/>
                <w:kern w:val="0"/>
                <w:sz w:val="30"/>
                <w:szCs w:val="30"/>
              </w:rPr>
            </w:pPr>
            <w:r w:rsidRPr="009B085B">
              <w:rPr>
                <w:rFonts w:ascii="Times New Roman" w:eastAsia="微软雅黑" w:hAnsi="Times New Roman" w:cs="Times New Roman" w:hint="eastAsia"/>
                <w:b/>
                <w:color w:val="FFFFFF" w:themeColor="background1"/>
                <w:kern w:val="0"/>
                <w:sz w:val="28"/>
                <w:szCs w:val="30"/>
              </w:rPr>
              <w:t>C</w:t>
            </w:r>
            <w:r w:rsidRPr="009B085B">
              <w:rPr>
                <w:rFonts w:ascii="Times New Roman" w:eastAsia="微软雅黑" w:hAnsi="Times New Roman" w:cs="Times New Roman"/>
                <w:b/>
                <w:color w:val="FFFFFF" w:themeColor="background1"/>
                <w:kern w:val="0"/>
                <w:sz w:val="28"/>
                <w:szCs w:val="30"/>
              </w:rPr>
              <w:t>urrent Version</w:t>
            </w:r>
            <w:r w:rsidRPr="009B085B">
              <w:rPr>
                <w:rFonts w:ascii="Times New Roman" w:eastAsia="微软雅黑" w:hAnsi="Times New Roman" w:cs="Times New Roman"/>
                <w:b/>
                <w:color w:val="FFFFFF" w:themeColor="background1"/>
                <w:kern w:val="0"/>
                <w:sz w:val="28"/>
                <w:szCs w:val="30"/>
              </w:rPr>
              <w:t>（</w:t>
            </w:r>
            <w:r w:rsidRPr="009B085B">
              <w:rPr>
                <w:rFonts w:ascii="Times New Roman" w:eastAsia="微软雅黑" w:hAnsi="Times New Roman" w:cs="Times New Roman"/>
                <w:b/>
                <w:color w:val="FFFFFF" w:themeColor="background1"/>
                <w:kern w:val="0"/>
                <w:sz w:val="28"/>
                <w:szCs w:val="30"/>
              </w:rPr>
              <w:t>(effective from October 23, 2024</w:t>
            </w:r>
            <w:r w:rsidRPr="009B085B">
              <w:rPr>
                <w:rFonts w:ascii="Times New Roman" w:eastAsia="微软雅黑" w:hAnsi="Times New Roman" w:cs="Times New Roman"/>
                <w:b/>
                <w:color w:val="FFFFFF" w:themeColor="background1"/>
                <w:kern w:val="0"/>
                <w:sz w:val="28"/>
                <w:szCs w:val="30"/>
              </w:rPr>
              <w:t>）</w:t>
            </w:r>
          </w:p>
        </w:tc>
        <w:tc>
          <w:tcPr>
            <w:tcW w:w="7088" w:type="dxa"/>
            <w:shd w:val="clear" w:color="auto" w:fill="4F81BD" w:themeFill="accent1"/>
            <w:vAlign w:val="center"/>
            <w:hideMark/>
          </w:tcPr>
          <w:p w:rsidR="00407FD3" w:rsidRPr="009B085B" w:rsidRDefault="00407FD3" w:rsidP="00287405">
            <w:pPr>
              <w:widowControl/>
              <w:spacing w:line="560" w:lineRule="exact"/>
              <w:jc w:val="center"/>
              <w:rPr>
                <w:rFonts w:ascii="Times New Roman" w:eastAsia="微软雅黑" w:hAnsi="Times New Roman" w:cs="Times New Roman"/>
                <w:b/>
                <w:color w:val="FFFFFF" w:themeColor="background1"/>
                <w:kern w:val="0"/>
                <w:sz w:val="30"/>
                <w:szCs w:val="30"/>
              </w:rPr>
            </w:pPr>
            <w:r w:rsidRPr="009B085B">
              <w:rPr>
                <w:rFonts w:ascii="Times New Roman" w:eastAsia="微软雅黑" w:hAnsi="Times New Roman" w:cs="Times New Roman"/>
                <w:b/>
                <w:color w:val="FFFFFF" w:themeColor="background1"/>
                <w:kern w:val="0"/>
                <w:sz w:val="30"/>
                <w:szCs w:val="30"/>
              </w:rPr>
              <w:t>Revised Version</w:t>
            </w:r>
          </w:p>
        </w:tc>
      </w:tr>
      <w:tr w:rsidR="00407FD3" w:rsidRPr="009B085B" w:rsidTr="00287405">
        <w:trPr>
          <w:trHeight w:val="840"/>
        </w:trPr>
        <w:tc>
          <w:tcPr>
            <w:tcW w:w="6833" w:type="dxa"/>
            <w:shd w:val="clear" w:color="auto" w:fill="auto"/>
            <w:vAlign w:val="center"/>
            <w:hideMark/>
          </w:tcPr>
          <w:p w:rsidR="00407FD3" w:rsidRPr="009B085B" w:rsidRDefault="00407FD3" w:rsidP="00287405">
            <w:pPr>
              <w:widowControl/>
              <w:spacing w:line="560" w:lineRule="exact"/>
              <w:jc w:val="left"/>
              <w:rPr>
                <w:rFonts w:ascii="Times New Roman" w:eastAsia="方正仿宋简体" w:hAnsi="Times New Roman" w:cs="Times New Roman"/>
                <w:color w:val="000000"/>
                <w:kern w:val="0"/>
                <w:sz w:val="28"/>
                <w:szCs w:val="30"/>
              </w:rPr>
            </w:pPr>
            <w:r w:rsidRPr="009B085B">
              <w:rPr>
                <w:rFonts w:ascii="Times New Roman" w:eastAsia="方正仿宋简体" w:hAnsi="Times New Roman" w:cs="Times New Roman"/>
                <w:b/>
                <w:color w:val="000000"/>
                <w:kern w:val="0"/>
                <w:sz w:val="28"/>
                <w:szCs w:val="30"/>
              </w:rPr>
              <w:t>Article 21</w:t>
            </w:r>
            <w:r w:rsidRPr="009B085B">
              <w:rPr>
                <w:rFonts w:ascii="Times New Roman" w:eastAsia="方正仿宋简体" w:hAnsi="Times New Roman" w:cs="Times New Roman"/>
                <w:color w:val="000000"/>
                <w:kern w:val="0"/>
                <w:sz w:val="28"/>
                <w:szCs w:val="30"/>
              </w:rPr>
              <w:t xml:space="preserve"> The benchmark price for delivery settlement of a BSKP futures contract is the volume-weighted average price of the contract’s execution in the last five (5) trading days on which it has been executed</w:t>
            </w:r>
            <w:r w:rsidRPr="009B085B">
              <w:rPr>
                <w:rFonts w:ascii="Times New Roman" w:eastAsia="方正仿宋简体" w:hAnsi="Times New Roman" w:cs="Times New Roman" w:hint="eastAsia"/>
                <w:color w:val="000000"/>
                <w:kern w:val="0"/>
                <w:sz w:val="28"/>
                <w:szCs w:val="30"/>
              </w:rPr>
              <w:t>.</w:t>
            </w:r>
          </w:p>
        </w:tc>
        <w:tc>
          <w:tcPr>
            <w:tcW w:w="7088" w:type="dxa"/>
            <w:shd w:val="clear" w:color="auto" w:fill="auto"/>
            <w:vAlign w:val="center"/>
            <w:hideMark/>
          </w:tcPr>
          <w:p w:rsidR="00407FD3" w:rsidRPr="009B085B" w:rsidRDefault="00407FD3" w:rsidP="00287405">
            <w:pPr>
              <w:widowControl/>
              <w:spacing w:line="560" w:lineRule="exact"/>
              <w:jc w:val="left"/>
              <w:rPr>
                <w:rFonts w:ascii="Times New Roman" w:eastAsia="方正仿宋简体" w:hAnsi="Times New Roman" w:cs="Times New Roman"/>
                <w:color w:val="000000"/>
                <w:kern w:val="0"/>
                <w:sz w:val="28"/>
                <w:szCs w:val="30"/>
              </w:rPr>
            </w:pPr>
            <w:r w:rsidRPr="009B085B">
              <w:rPr>
                <w:rFonts w:ascii="Times New Roman" w:eastAsia="方正仿宋简体" w:hAnsi="Times New Roman" w:cs="Times New Roman"/>
                <w:b/>
                <w:color w:val="000000"/>
                <w:kern w:val="0"/>
                <w:sz w:val="28"/>
                <w:szCs w:val="30"/>
              </w:rPr>
              <w:t>Article 21</w:t>
            </w:r>
            <w:r w:rsidRPr="009B085B">
              <w:rPr>
                <w:rFonts w:ascii="Times New Roman" w:eastAsia="方正仿宋简体" w:hAnsi="Times New Roman" w:cs="Times New Roman"/>
                <w:color w:val="000000"/>
                <w:kern w:val="0"/>
                <w:sz w:val="28"/>
                <w:szCs w:val="30"/>
              </w:rPr>
              <w:t xml:space="preserve"> The benchmark price for delivery settlement of a BSKP futures contract is the</w:t>
            </w:r>
            <w:r w:rsidRPr="009B085B">
              <w:rPr>
                <w:rFonts w:ascii="Times New Roman" w:eastAsia="方正仿宋简体" w:hAnsi="Times New Roman" w:cs="Times New Roman"/>
                <w:b/>
                <w:color w:val="FF0000"/>
                <w:kern w:val="0"/>
                <w:sz w:val="28"/>
                <w:szCs w:val="30"/>
              </w:rPr>
              <w:t xml:space="preserve"> arithmetic </w:t>
            </w:r>
            <w:r w:rsidRPr="009B085B">
              <w:rPr>
                <w:rFonts w:ascii="Times New Roman" w:eastAsia="方正仿宋简体" w:hAnsi="Times New Roman" w:cs="Times New Roman"/>
                <w:dstrike/>
                <w:color w:val="000000"/>
                <w:kern w:val="0"/>
                <w:sz w:val="28"/>
                <w:szCs w:val="30"/>
              </w:rPr>
              <w:t xml:space="preserve">volume-weighted </w:t>
            </w:r>
            <w:r w:rsidRPr="009B085B">
              <w:rPr>
                <w:rFonts w:ascii="Times New Roman" w:eastAsia="方正仿宋简体" w:hAnsi="Times New Roman" w:cs="Times New Roman"/>
                <w:color w:val="000000"/>
                <w:kern w:val="0"/>
                <w:sz w:val="28"/>
                <w:szCs w:val="30"/>
              </w:rPr>
              <w:t xml:space="preserve">average price of the </w:t>
            </w:r>
            <w:r w:rsidRPr="009B085B">
              <w:rPr>
                <w:rFonts w:ascii="Times New Roman" w:eastAsia="方正仿宋简体" w:hAnsi="Times New Roman" w:cs="Times New Roman"/>
                <w:b/>
                <w:color w:val="FF0000"/>
                <w:kern w:val="0"/>
                <w:sz w:val="28"/>
                <w:szCs w:val="30"/>
              </w:rPr>
              <w:t>settlement prices of that contract over the last five (5) trading days on which it was traded</w:t>
            </w:r>
            <w:r w:rsidRPr="009B085B">
              <w:rPr>
                <w:rFonts w:ascii="Times New Roman" w:eastAsia="方正仿宋简体" w:hAnsi="Times New Roman" w:cs="Times New Roman"/>
                <w:dstrike/>
                <w:color w:val="000000"/>
                <w:kern w:val="0"/>
                <w:sz w:val="28"/>
                <w:szCs w:val="30"/>
              </w:rPr>
              <w:t xml:space="preserve"> contract’s execution in the last five (5) trading days on which it has been executed</w:t>
            </w:r>
            <w:r w:rsidRPr="009B085B">
              <w:rPr>
                <w:rFonts w:ascii="Times New Roman" w:eastAsia="方正仿宋简体" w:hAnsi="Times New Roman" w:cs="Times New Roman"/>
                <w:color w:val="000000"/>
                <w:kern w:val="0"/>
                <w:sz w:val="28"/>
                <w:szCs w:val="30"/>
              </w:rPr>
              <w:t>.</w:t>
            </w:r>
          </w:p>
        </w:tc>
      </w:tr>
      <w:tr w:rsidR="00407FD3" w:rsidRPr="009B085B" w:rsidTr="00287405">
        <w:trPr>
          <w:trHeight w:val="840"/>
        </w:trPr>
        <w:tc>
          <w:tcPr>
            <w:tcW w:w="6833" w:type="dxa"/>
            <w:shd w:val="clear" w:color="auto" w:fill="auto"/>
            <w:vAlign w:val="center"/>
          </w:tcPr>
          <w:p w:rsidR="00407FD3" w:rsidRPr="009B085B" w:rsidRDefault="00407FD3" w:rsidP="00287405">
            <w:pPr>
              <w:widowControl/>
              <w:spacing w:line="560" w:lineRule="exact"/>
              <w:jc w:val="left"/>
              <w:rPr>
                <w:rFonts w:ascii="Times New Roman" w:eastAsia="方正仿宋简体" w:hAnsi="Times New Roman" w:cs="Times New Roman"/>
                <w:b/>
                <w:color w:val="000000"/>
                <w:kern w:val="0"/>
                <w:sz w:val="28"/>
                <w:szCs w:val="30"/>
              </w:rPr>
            </w:pPr>
            <w:r w:rsidRPr="009B085B">
              <w:rPr>
                <w:rFonts w:ascii="Times New Roman" w:eastAsia="方正仿宋简体" w:hAnsi="Times New Roman" w:cs="Times New Roman"/>
                <w:b/>
                <w:color w:val="000000"/>
                <w:kern w:val="0"/>
                <w:sz w:val="28"/>
                <w:szCs w:val="30"/>
              </w:rPr>
              <w:t xml:space="preserve">Article 51 </w:t>
            </w:r>
            <w:r w:rsidRPr="009B085B">
              <w:rPr>
                <w:rFonts w:ascii="Times New Roman" w:eastAsia="方正仿宋简体" w:hAnsi="Times New Roman" w:cs="Times New Roman"/>
                <w:color w:val="000000"/>
                <w:kern w:val="0"/>
                <w:sz w:val="28"/>
                <w:szCs w:val="30"/>
              </w:rPr>
              <w:t>These </w:t>
            </w:r>
            <w:r w:rsidRPr="009B085B">
              <w:rPr>
                <w:rFonts w:ascii="Times New Roman" w:eastAsia="方正仿宋简体" w:hAnsi="Times New Roman" w:cs="Times New Roman"/>
                <w:iCs/>
                <w:color w:val="000000"/>
                <w:kern w:val="0"/>
                <w:sz w:val="28"/>
                <w:szCs w:val="30"/>
              </w:rPr>
              <w:t>BSKP Futures Rules</w:t>
            </w:r>
            <w:r w:rsidRPr="009B085B">
              <w:rPr>
                <w:rFonts w:ascii="Times New Roman" w:eastAsia="方正仿宋简体" w:hAnsi="Times New Roman" w:cs="Times New Roman"/>
                <w:color w:val="000000"/>
                <w:kern w:val="0"/>
                <w:sz w:val="28"/>
                <w:szCs w:val="30"/>
              </w:rPr>
              <w:t> take effect on October 23, 2024.</w:t>
            </w:r>
          </w:p>
        </w:tc>
        <w:tc>
          <w:tcPr>
            <w:tcW w:w="7088" w:type="dxa"/>
            <w:shd w:val="clear" w:color="auto" w:fill="auto"/>
            <w:vAlign w:val="center"/>
          </w:tcPr>
          <w:p w:rsidR="00407FD3" w:rsidRPr="009B085B" w:rsidRDefault="00407FD3" w:rsidP="00287405">
            <w:pPr>
              <w:widowControl/>
              <w:spacing w:line="560" w:lineRule="exact"/>
              <w:jc w:val="left"/>
              <w:rPr>
                <w:rFonts w:ascii="Times New Roman" w:eastAsia="方正仿宋简体" w:hAnsi="Times New Roman" w:cs="Times New Roman"/>
                <w:b/>
                <w:color w:val="000000"/>
                <w:kern w:val="0"/>
                <w:sz w:val="28"/>
                <w:szCs w:val="30"/>
              </w:rPr>
            </w:pPr>
            <w:r w:rsidRPr="009B085B">
              <w:rPr>
                <w:rFonts w:ascii="Times New Roman" w:eastAsia="方正仿宋简体" w:hAnsi="Times New Roman" w:cs="Times New Roman"/>
                <w:b/>
                <w:color w:val="000000"/>
                <w:kern w:val="0"/>
                <w:sz w:val="28"/>
                <w:szCs w:val="30"/>
              </w:rPr>
              <w:t xml:space="preserve">Article 51 </w:t>
            </w:r>
            <w:r w:rsidRPr="009B085B">
              <w:rPr>
                <w:rFonts w:ascii="Times New Roman" w:eastAsia="方正仿宋简体" w:hAnsi="Times New Roman" w:cs="Times New Roman"/>
                <w:color w:val="000000"/>
                <w:kern w:val="0"/>
                <w:sz w:val="28"/>
                <w:szCs w:val="30"/>
              </w:rPr>
              <w:t>These </w:t>
            </w:r>
            <w:r w:rsidRPr="009B085B">
              <w:rPr>
                <w:rFonts w:ascii="Times New Roman" w:eastAsia="方正仿宋简体" w:hAnsi="Times New Roman" w:cs="Times New Roman"/>
                <w:iCs/>
                <w:color w:val="000000"/>
                <w:kern w:val="0"/>
                <w:sz w:val="28"/>
                <w:szCs w:val="30"/>
              </w:rPr>
              <w:t>BSKP Futures Rules</w:t>
            </w:r>
            <w:r w:rsidRPr="009B085B">
              <w:rPr>
                <w:rFonts w:ascii="Times New Roman" w:eastAsia="方正仿宋简体" w:hAnsi="Times New Roman" w:cs="Times New Roman"/>
                <w:color w:val="000000"/>
                <w:kern w:val="0"/>
                <w:sz w:val="28"/>
                <w:szCs w:val="30"/>
              </w:rPr>
              <w:t xml:space="preserve"> take effect on </w:t>
            </w:r>
            <w:r>
              <w:rPr>
                <w:rFonts w:ascii="Times New Roman" w:eastAsia="方正仿宋简体" w:hAnsi="Times New Roman" w:cs="Times New Roman"/>
                <w:b/>
                <w:color w:val="FF0000"/>
                <w:kern w:val="0"/>
                <w:sz w:val="28"/>
                <w:szCs w:val="30"/>
              </w:rPr>
              <w:t xml:space="preserve">July </w:t>
            </w:r>
            <w:r>
              <w:rPr>
                <w:rFonts w:ascii="Times New Roman" w:eastAsia="方正仿宋简体" w:hAnsi="Times New Roman" w:cs="Times New Roman" w:hint="eastAsia"/>
                <w:b/>
                <w:color w:val="FF0000"/>
                <w:kern w:val="0"/>
                <w:sz w:val="28"/>
                <w:szCs w:val="30"/>
              </w:rPr>
              <w:t>16</w:t>
            </w:r>
            <w:r w:rsidRPr="009B085B">
              <w:rPr>
                <w:rFonts w:ascii="Times New Roman" w:eastAsia="方正仿宋简体" w:hAnsi="Times New Roman" w:cs="Times New Roman"/>
                <w:b/>
                <w:color w:val="FF0000"/>
                <w:kern w:val="0"/>
                <w:sz w:val="28"/>
                <w:szCs w:val="30"/>
              </w:rPr>
              <w:t>, 2025</w:t>
            </w:r>
            <w:r w:rsidRPr="009B085B">
              <w:rPr>
                <w:rFonts w:ascii="Times New Roman" w:eastAsia="方正仿宋简体" w:hAnsi="Times New Roman" w:cs="Times New Roman"/>
                <w:dstrike/>
                <w:color w:val="000000"/>
                <w:kern w:val="0"/>
                <w:sz w:val="28"/>
                <w:szCs w:val="30"/>
              </w:rPr>
              <w:t>October 23, 2024</w:t>
            </w:r>
            <w:r w:rsidRPr="009B085B">
              <w:rPr>
                <w:rFonts w:ascii="Times New Roman" w:eastAsia="方正仿宋简体" w:hAnsi="Times New Roman" w:cs="Times New Roman"/>
                <w:color w:val="000000"/>
                <w:kern w:val="0"/>
                <w:sz w:val="28"/>
                <w:szCs w:val="30"/>
              </w:rPr>
              <w:t>.</w:t>
            </w:r>
          </w:p>
        </w:tc>
      </w:tr>
    </w:tbl>
    <w:p w:rsidR="00D7237D" w:rsidRPr="00407FD3" w:rsidRDefault="00D7237D"/>
    <w:sectPr w:rsidR="00D7237D" w:rsidRPr="00407FD3" w:rsidSect="00407FD3">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0EEF" w:rsidRDefault="00160EEF" w:rsidP="00407FD3">
      <w:r>
        <w:separator/>
      </w:r>
    </w:p>
  </w:endnote>
  <w:endnote w:type="continuationSeparator" w:id="0">
    <w:p w:rsidR="00160EEF" w:rsidRDefault="00160EEF" w:rsidP="00407FD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大标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仿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17141"/>
      <w:docPartObj>
        <w:docPartGallery w:val="Page Numbers (Bottom of Page)"/>
        <w:docPartUnique/>
      </w:docPartObj>
    </w:sdtPr>
    <w:sdtContent>
      <w:p w:rsidR="00407FD3" w:rsidRDefault="004F5A45">
        <w:pPr>
          <w:pStyle w:val="a4"/>
          <w:jc w:val="center"/>
        </w:pPr>
        <w:fldSimple w:instr=" PAGE   \* MERGEFORMAT ">
          <w:r w:rsidR="0073192C" w:rsidRPr="0073192C">
            <w:rPr>
              <w:noProof/>
              <w:lang w:val="zh-CN"/>
            </w:rPr>
            <w:t>1</w:t>
          </w:r>
        </w:fldSimple>
      </w:p>
    </w:sdtContent>
  </w:sdt>
  <w:p w:rsidR="00407FD3" w:rsidRDefault="00407FD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0EEF" w:rsidRDefault="00160EEF" w:rsidP="00407FD3">
      <w:r>
        <w:separator/>
      </w:r>
    </w:p>
  </w:footnote>
  <w:footnote w:type="continuationSeparator" w:id="0">
    <w:p w:rsidR="00160EEF" w:rsidRDefault="00160EEF" w:rsidP="00407FD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07FD3"/>
    <w:rsid w:val="00160EEF"/>
    <w:rsid w:val="00407FD3"/>
    <w:rsid w:val="004F5A45"/>
    <w:rsid w:val="0073192C"/>
    <w:rsid w:val="00A13740"/>
    <w:rsid w:val="00D7237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F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07F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07FD3"/>
    <w:rPr>
      <w:sz w:val="18"/>
      <w:szCs w:val="18"/>
    </w:rPr>
  </w:style>
  <w:style w:type="paragraph" w:styleId="a4">
    <w:name w:val="footer"/>
    <w:basedOn w:val="a"/>
    <w:link w:val="Char0"/>
    <w:uiPriority w:val="99"/>
    <w:unhideWhenUsed/>
    <w:rsid w:val="00407FD3"/>
    <w:pPr>
      <w:tabs>
        <w:tab w:val="center" w:pos="4153"/>
        <w:tab w:val="right" w:pos="8306"/>
      </w:tabs>
      <w:snapToGrid w:val="0"/>
      <w:jc w:val="left"/>
    </w:pPr>
    <w:rPr>
      <w:sz w:val="18"/>
      <w:szCs w:val="18"/>
    </w:rPr>
  </w:style>
  <w:style w:type="character" w:customStyle="1" w:styleId="Char0">
    <w:name w:val="页脚 Char"/>
    <w:basedOn w:val="a0"/>
    <w:link w:val="a4"/>
    <w:uiPriority w:val="99"/>
    <w:rsid w:val="00407FD3"/>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BC4BBC-20ED-4111-A59B-DD15D1153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482</Words>
  <Characters>2754</Characters>
  <Application>Microsoft Office Word</Application>
  <DocSecurity>0</DocSecurity>
  <Lines>22</Lines>
  <Paragraphs>6</Paragraphs>
  <ScaleCrop>false</ScaleCrop>
  <Company>SHFE</Company>
  <LinksUpToDate>false</LinksUpToDate>
  <CharactersWithSpaces>3230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季铄人</dc:creator>
  <cp:lastModifiedBy>郑子函</cp:lastModifiedBy>
  <cp:revision>2</cp:revision>
  <dcterms:created xsi:type="dcterms:W3CDTF">2025-06-13T08:23:00Z</dcterms:created>
  <dcterms:modified xsi:type="dcterms:W3CDTF">2025-06-13T08:23:00Z</dcterms:modified>
</cp:coreProperties>
</file>