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276" w:lineRule="auto"/>
        <w:rPr>
          <w:rFonts w:ascii="Times New Roman" w:hAnsi="Times New Roman" w:cs="Times New Roman"/>
          <w:b/>
          <w:sz w:val="22"/>
        </w:rPr>
      </w:pPr>
      <w:r>
        <w:rPr>
          <w:rFonts w:ascii="Times New Roman" w:hAnsi="Times New Roman" w:cs="Times New Roman"/>
          <w:b/>
          <w:sz w:val="22"/>
        </w:rPr>
        <w:t>Appendix 1：</w:t>
      </w:r>
    </w:p>
    <w:p>
      <w:pPr>
        <w:adjustRightInd w:val="0"/>
        <w:snapToGrid w:val="0"/>
        <w:spacing w:after="312" w:afterLines="100" w:line="276" w:lineRule="auto"/>
        <w:jc w:val="center"/>
        <w:rPr>
          <w:rFonts w:ascii="Times New Roman" w:hAnsi="Times New Roman" w:cs="Times New Roman"/>
          <w:b/>
          <w:bCs/>
          <w:sz w:val="28"/>
          <w:szCs w:val="28"/>
          <w:highlight w:val="yellow"/>
        </w:rPr>
      </w:pPr>
      <w:r>
        <w:rPr>
          <w:rFonts w:ascii="Times New Roman" w:hAnsi="Times New Roman" w:cs="Times New Roman"/>
          <w:b/>
          <w:bCs/>
          <w:sz w:val="28"/>
          <w:szCs w:val="28"/>
        </w:rPr>
        <w:t>Explanatory Notes</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 xml:space="preserve">Shanghai Futures Exchange (“SHFE”) plans to systematically internationalize its secondary business and product rules in order to </w:t>
      </w:r>
      <w:r>
        <w:rPr>
          <w:rFonts w:hint="eastAsia" w:ascii="Times New Roman" w:hAnsi="Times New Roman" w:cs="Times New Roman"/>
          <w:sz w:val="22"/>
        </w:rPr>
        <w:t>lay a solid foundation for the gradual opening of its market in the future</w:t>
      </w:r>
      <w:r>
        <w:rPr>
          <w:rFonts w:ascii="Times New Roman" w:hAnsi="Times New Roman" w:cs="Times New Roman"/>
          <w:sz w:val="22"/>
        </w:rPr>
        <w:t>. Focusing on strengthening regulation, preventing risks and promoting high-quality development of the futures market and based on the futures regulatory system with Chinese characteristics, this internationalization of rules aims to engage overseas special participants (“OSPs”), overseas intermediaries, and overseas clients (collectively, “overseas participants”) into the trading process of the domestic futures market, thereby creating a secure, standardized, transparent, open, and foreseeable rule framework aligned with the internationalization of the SHFE platform. This document provides an explanation on this internationalization of rules.</w:t>
      </w:r>
    </w:p>
    <w:p>
      <w:pPr>
        <w:tabs>
          <w:tab w:val="left" w:pos="567"/>
        </w:tabs>
        <w:adjustRightInd w:val="0"/>
        <w:snapToGrid w:val="0"/>
        <w:spacing w:after="312" w:afterLines="100" w:line="276" w:lineRule="auto"/>
        <w:rPr>
          <w:rFonts w:ascii="Times New Roman" w:hAnsi="Times New Roman" w:cs="Times New Roman"/>
          <w:b/>
          <w:sz w:val="22"/>
        </w:rPr>
      </w:pPr>
      <w:r>
        <w:rPr>
          <w:rFonts w:ascii="Times New Roman" w:hAnsi="Times New Roman" w:cs="Times New Roman"/>
          <w:b/>
          <w:sz w:val="22"/>
        </w:rPr>
        <w:t>I.</w:t>
      </w:r>
      <w:r>
        <w:rPr>
          <w:rFonts w:ascii="Times New Roman" w:hAnsi="Times New Roman" w:cs="Times New Roman"/>
          <w:b/>
          <w:sz w:val="22"/>
        </w:rPr>
        <w:tab/>
      </w:r>
      <w:r>
        <w:rPr>
          <w:rFonts w:ascii="Times New Roman" w:hAnsi="Times New Roman" w:cs="Times New Roman"/>
          <w:b/>
          <w:sz w:val="22"/>
        </w:rPr>
        <w:t>General Principles</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 xml:space="preserve">This internationalization of rules is designed to facilitate </w:t>
      </w:r>
      <w:bookmarkStart w:id="0" w:name="_Hlk201261908"/>
      <w:r>
        <w:rPr>
          <w:rFonts w:ascii="Times New Roman" w:hAnsi="Times New Roman" w:cs="Times New Roman"/>
          <w:sz w:val="22"/>
        </w:rPr>
        <w:t>overseas participants’ full access to</w:t>
      </w:r>
      <w:bookmarkEnd w:id="0"/>
      <w:r>
        <w:rPr>
          <w:rFonts w:ascii="Times New Roman" w:hAnsi="Times New Roman" w:cs="Times New Roman"/>
          <w:sz w:val="22"/>
        </w:rPr>
        <w:t xml:space="preserve"> the entire futures trading process at SHFE. Specifically, it includes optimizing rules for market access, trading, clearing, risk management, and delivery; clarifying the market access requirements for overseas participants; upgrading the futures and options trading process; establishing a tiered carrying-brokerage clearing system; strengthening risk management; and improving the delivery mechanisms. This internationalization of rules is intended to achieve the following targets: (1) to internationalize the SHFE platform by introducing overseas participants to and facilitating their access to the futures trading process at SHFE; (2</w:t>
      </w:r>
      <w:bookmarkStart w:id="13" w:name="_GoBack"/>
      <w:bookmarkEnd w:id="13"/>
      <w:r>
        <w:rPr>
          <w:rFonts w:ascii="Times New Roman" w:hAnsi="Times New Roman" w:cs="Times New Roman"/>
          <w:sz w:val="22"/>
        </w:rPr>
        <w:t xml:space="preserve">) to promote the internationalization of RMB, with the contracts denominated and settled in </w:t>
      </w:r>
      <w:bookmarkStart w:id="1" w:name="_Hlk200979301"/>
      <w:r>
        <w:rPr>
          <w:rFonts w:ascii="Times New Roman" w:hAnsi="Times New Roman" w:cs="Times New Roman"/>
          <w:sz w:val="22"/>
        </w:rPr>
        <w:t>RMB while also accepting the use of foreign currencies as margin</w:t>
      </w:r>
      <w:bookmarkEnd w:id="1"/>
      <w:r>
        <w:rPr>
          <w:rFonts w:ascii="Times New Roman" w:hAnsi="Times New Roman" w:cs="Times New Roman"/>
          <w:sz w:val="22"/>
        </w:rPr>
        <w:t xml:space="preserve">, and other </w:t>
      </w:r>
      <w:bookmarkStart w:id="2" w:name="OLE_LINK2"/>
      <w:r>
        <w:rPr>
          <w:rFonts w:ascii="Times New Roman" w:hAnsi="Times New Roman" w:cs="Times New Roman"/>
          <w:sz w:val="22"/>
        </w:rPr>
        <w:t>mechanism</w:t>
      </w:r>
      <w:bookmarkEnd w:id="2"/>
      <w:r>
        <w:rPr>
          <w:rFonts w:ascii="Times New Roman" w:hAnsi="Times New Roman" w:cs="Times New Roman"/>
          <w:sz w:val="22"/>
        </w:rPr>
        <w:t xml:space="preserve">s; and (3) to explore the futures regulatory system and business models with Chinese characteristics, and improve the delivery mechanisms to provide replicable experience for </w:t>
      </w:r>
      <w:bookmarkStart w:id="3" w:name="OLE_LINK3"/>
      <w:r>
        <w:rPr>
          <w:rFonts w:ascii="Times New Roman" w:hAnsi="Times New Roman" w:cs="Times New Roman"/>
          <w:sz w:val="22"/>
        </w:rPr>
        <w:t>the internationalization of SHFE’s products</w:t>
      </w:r>
      <w:bookmarkEnd w:id="3"/>
      <w:r>
        <w:rPr>
          <w:rFonts w:ascii="Times New Roman" w:hAnsi="Times New Roman" w:cs="Times New Roman"/>
          <w:sz w:val="22"/>
        </w:rPr>
        <w:t xml:space="preserve"> in the future.</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The revision primarily involves the formulation and revision of 3</w:t>
      </w:r>
      <w:r>
        <w:rPr>
          <w:rFonts w:hint="eastAsia" w:ascii="Times New Roman" w:hAnsi="Times New Roman" w:cs="Times New Roman"/>
          <w:sz w:val="22"/>
        </w:rPr>
        <w:t>5</w:t>
      </w:r>
      <w:r>
        <w:rPr>
          <w:rFonts w:ascii="Times New Roman" w:hAnsi="Times New Roman" w:cs="Times New Roman"/>
          <w:sz w:val="22"/>
        </w:rPr>
        <w:t xml:space="preserve"> </w:t>
      </w:r>
      <w:bookmarkStart w:id="4" w:name="_Hlk200986749"/>
      <w:r>
        <w:rPr>
          <w:rFonts w:ascii="Times New Roman" w:hAnsi="Times New Roman" w:cs="Times New Roman"/>
          <w:sz w:val="22"/>
        </w:rPr>
        <w:t>secondary</w:t>
      </w:r>
      <w:bookmarkEnd w:id="4"/>
      <w:r>
        <w:rPr>
          <w:rFonts w:ascii="Times New Roman" w:hAnsi="Times New Roman" w:cs="Times New Roman"/>
          <w:sz w:val="22"/>
        </w:rPr>
        <w:t xml:space="preserve"> business and product rules. Specifically, SHFE formulated a new </w:t>
      </w:r>
      <w:r>
        <w:rPr>
          <w:rFonts w:hint="eastAsia" w:ascii="Times New Roman" w:hAnsi="Times New Roman" w:cs="Times New Roman"/>
          <w:sz w:val="22"/>
        </w:rPr>
        <w:t>set</w:t>
      </w:r>
      <w:r>
        <w:rPr>
          <w:rFonts w:ascii="Times New Roman" w:hAnsi="Times New Roman" w:cs="Times New Roman"/>
          <w:sz w:val="22"/>
        </w:rPr>
        <w:t xml:space="preserve"> of business rules, namely, the </w:t>
      </w:r>
      <w:r>
        <w:rPr>
          <w:rFonts w:ascii="Times New Roman" w:hAnsi="Times New Roman" w:cs="Times New Roman"/>
          <w:i/>
          <w:iCs/>
          <w:sz w:val="22"/>
        </w:rPr>
        <w:t>Overseas Special Participants Management Rules of the Shanghai Futures Exchange</w:t>
      </w:r>
      <w:r>
        <w:rPr>
          <w:rFonts w:ascii="Times New Roman" w:hAnsi="Times New Roman" w:cs="Times New Roman"/>
          <w:sz w:val="22"/>
        </w:rPr>
        <w:t xml:space="preserve">; revised 15 business rules, such as the </w:t>
      </w:r>
      <w:r>
        <w:rPr>
          <w:rFonts w:ascii="Times New Roman" w:hAnsi="Times New Roman" w:cs="Times New Roman"/>
          <w:i/>
          <w:iCs/>
          <w:sz w:val="22"/>
        </w:rPr>
        <w:t>Membership Management Rules of the Shanghai Futures Exchange</w:t>
      </w:r>
      <w:r>
        <w:rPr>
          <w:rFonts w:ascii="Times New Roman" w:hAnsi="Times New Roman" w:cs="Times New Roman"/>
        </w:rPr>
        <w:t xml:space="preserve">, </w:t>
      </w:r>
      <w:r>
        <w:rPr>
          <w:rFonts w:ascii="Times New Roman" w:hAnsi="Times New Roman" w:cs="Times New Roman"/>
          <w:sz w:val="22"/>
        </w:rPr>
        <w:t>the</w:t>
      </w:r>
      <w:r>
        <w:rPr>
          <w:rFonts w:ascii="Times New Roman" w:hAnsi="Times New Roman" w:cs="Times New Roman"/>
          <w:i/>
          <w:iCs/>
          <w:sz w:val="22"/>
        </w:rPr>
        <w:t xml:space="preserve"> Trading Rules of the Shanghai Futures Exchange, </w:t>
      </w:r>
      <w:r>
        <w:rPr>
          <w:rFonts w:ascii="Times New Roman" w:hAnsi="Times New Roman" w:cs="Times New Roman"/>
          <w:sz w:val="22"/>
        </w:rPr>
        <w:t>and the</w:t>
      </w:r>
      <w:r>
        <w:rPr>
          <w:rFonts w:ascii="Times New Roman" w:hAnsi="Times New Roman" w:cs="Times New Roman"/>
          <w:i/>
          <w:iCs/>
          <w:sz w:val="22"/>
        </w:rPr>
        <w:t xml:space="preserve"> Clearing Rules of the Shanghai Futures Exchange</w:t>
      </w:r>
      <w:r>
        <w:rPr>
          <w:rFonts w:ascii="Times New Roman" w:hAnsi="Times New Roman" w:cs="Times New Roman"/>
          <w:iCs/>
          <w:sz w:val="22"/>
        </w:rPr>
        <w:t>, etc.</w:t>
      </w:r>
      <w:r>
        <w:rPr>
          <w:rFonts w:ascii="Times New Roman" w:hAnsi="Times New Roman" w:cs="Times New Roman"/>
          <w:sz w:val="22"/>
        </w:rPr>
        <w:t>; and revised 19 futures rules for listed products, such as the</w:t>
      </w:r>
      <w:r>
        <w:rPr>
          <w:rFonts w:ascii="Times New Roman" w:hAnsi="Times New Roman" w:cs="Times New Roman"/>
          <w:i/>
          <w:iCs/>
          <w:color w:val="000000"/>
          <w:sz w:val="22"/>
        </w:rPr>
        <w:t xml:space="preserve"> </w:t>
      </w:r>
      <w:r>
        <w:rPr>
          <w:rFonts w:ascii="Times New Roman" w:hAnsi="Times New Roman" w:cs="Times New Roman"/>
          <w:i/>
          <w:iCs/>
          <w:sz w:val="22"/>
        </w:rPr>
        <w:t>Copper Cathode Futures Rules</w:t>
      </w:r>
      <w:r>
        <w:rPr>
          <w:rFonts w:ascii="Times New Roman" w:hAnsi="Times New Roman" w:cs="Times New Roman"/>
          <w:sz w:val="22"/>
        </w:rPr>
        <w:t xml:space="preserve"> </w:t>
      </w:r>
      <w:r>
        <w:rPr>
          <w:rFonts w:ascii="Times New Roman" w:hAnsi="Times New Roman" w:cs="Times New Roman"/>
          <w:i/>
          <w:iCs/>
          <w:sz w:val="22"/>
        </w:rPr>
        <w:t>of the Shanghai Futures Exchange</w:t>
      </w:r>
      <w:r>
        <w:rPr>
          <w:rFonts w:ascii="Times New Roman" w:hAnsi="Times New Roman" w:cs="Times New Roman"/>
          <w:sz w:val="22"/>
        </w:rPr>
        <w:t>, the</w:t>
      </w:r>
      <w:r>
        <w:rPr>
          <w:rFonts w:ascii="Times New Roman" w:hAnsi="Times New Roman" w:cs="Times New Roman"/>
          <w:i/>
          <w:iCs/>
          <w:sz w:val="22"/>
        </w:rPr>
        <w:t xml:space="preserve"> Aluminum Futures Rules of the Shanghai Futures Exchange</w:t>
      </w:r>
      <w:r>
        <w:rPr>
          <w:rFonts w:ascii="Times New Roman" w:hAnsi="Times New Roman" w:cs="Times New Roman"/>
          <w:sz w:val="22"/>
        </w:rPr>
        <w:t xml:space="preserve">, and the </w:t>
      </w:r>
      <w:r>
        <w:rPr>
          <w:rFonts w:ascii="Times New Roman" w:hAnsi="Times New Roman" w:cs="Times New Roman"/>
          <w:i/>
          <w:iCs/>
          <w:sz w:val="22"/>
        </w:rPr>
        <w:t>Zinc Futures Rules</w:t>
      </w:r>
      <w:r>
        <w:rPr>
          <w:rFonts w:ascii="Times New Roman" w:hAnsi="Times New Roman" w:cs="Times New Roman"/>
          <w:sz w:val="22"/>
        </w:rPr>
        <w:t xml:space="preserve"> </w:t>
      </w:r>
      <w:r>
        <w:rPr>
          <w:rFonts w:ascii="Times New Roman" w:hAnsi="Times New Roman" w:cs="Times New Roman"/>
          <w:i/>
          <w:iCs/>
          <w:sz w:val="22"/>
        </w:rPr>
        <w:t>of the Shanghai Futures Exchange</w:t>
      </w:r>
      <w:r>
        <w:rPr>
          <w:rFonts w:ascii="Times New Roman" w:hAnsi="Times New Roman" w:cs="Times New Roman"/>
          <w:iCs/>
          <w:sz w:val="22"/>
        </w:rPr>
        <w:t>, etc</w:t>
      </w:r>
      <w:r>
        <w:rPr>
          <w:rFonts w:ascii="Times New Roman" w:hAnsi="Times New Roman" w:cs="Times New Roman"/>
          <w:sz w:val="22"/>
        </w:rPr>
        <w:t>.</w:t>
      </w:r>
    </w:p>
    <w:p>
      <w:pPr>
        <w:tabs>
          <w:tab w:val="left" w:pos="567"/>
        </w:tabs>
        <w:adjustRightInd w:val="0"/>
        <w:snapToGrid w:val="0"/>
        <w:spacing w:after="312" w:afterLines="100" w:line="276" w:lineRule="auto"/>
        <w:rPr>
          <w:rFonts w:ascii="Times New Roman" w:hAnsi="Times New Roman" w:cs="Times New Roman"/>
          <w:b/>
          <w:sz w:val="22"/>
        </w:rPr>
      </w:pPr>
      <w:r>
        <w:rPr>
          <w:rFonts w:ascii="Times New Roman" w:hAnsi="Times New Roman" w:cs="Times New Roman"/>
          <w:b/>
          <w:sz w:val="22"/>
        </w:rPr>
        <w:t>II.</w:t>
      </w:r>
      <w:r>
        <w:rPr>
          <w:rFonts w:ascii="Times New Roman" w:hAnsi="Times New Roman" w:cs="Times New Roman"/>
          <w:b/>
          <w:sz w:val="22"/>
        </w:rPr>
        <w:tab/>
      </w:r>
      <w:r>
        <w:rPr>
          <w:rFonts w:ascii="Times New Roman" w:hAnsi="Times New Roman" w:cs="Times New Roman"/>
          <w:b/>
          <w:sz w:val="22"/>
        </w:rPr>
        <w:t>Major Changes</w:t>
      </w:r>
    </w:p>
    <w:p>
      <w:pPr>
        <w:tabs>
          <w:tab w:val="left" w:pos="567"/>
        </w:tabs>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sz w:val="22"/>
        </w:rPr>
        <w:tab/>
      </w:r>
      <w:r>
        <w:rPr>
          <w:rFonts w:ascii="Times New Roman" w:hAnsi="Times New Roman" w:cs="Times New Roman"/>
          <w:b/>
          <w:bCs/>
          <w:sz w:val="22"/>
        </w:rPr>
        <w:t>Market access</w:t>
      </w:r>
      <w:r>
        <w:rPr>
          <w:rFonts w:ascii="Times New Roman" w:hAnsi="Times New Roman" w:cs="Times New Roman"/>
          <w:sz w:val="22"/>
        </w:rPr>
        <w:t>: Systematically stipulating the market access conditions, rights and obligations, and relevant requirements for overseas participants to engage in domestic futures trading</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The internationalization of rules clarifies the qualification requirements, rights and obligations, and business rules for OSPs and overseas intermediaries; establishes eligibility criteria for overseas clients; stipulates the eligibility assessment and management obligations of account opening institutions (referring here and hereinafter to futures firm members, overseas special brokerage participants, and overseas intermediaries); and formulates rules governing carrying-brokerage services provided by futures firm members and overseas special brokerage participants to overseas intermediaries.</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 xml:space="preserve">Accordingly, new rulemaking included the </w:t>
      </w:r>
      <w:r>
        <w:rPr>
          <w:rFonts w:ascii="Times New Roman" w:hAnsi="Times New Roman" w:cs="Times New Roman"/>
          <w:i/>
          <w:iCs/>
          <w:sz w:val="22"/>
        </w:rPr>
        <w:t>Overseas Special Participants Management Rules of the Shanghai Futures Exchange</w:t>
      </w:r>
      <w:r>
        <w:rPr>
          <w:rFonts w:ascii="Times New Roman" w:hAnsi="Times New Roman" w:cs="Times New Roman"/>
          <w:sz w:val="22"/>
        </w:rPr>
        <w:t xml:space="preserve">; revisions were made to the </w:t>
      </w:r>
      <w:r>
        <w:rPr>
          <w:rFonts w:ascii="Times New Roman" w:hAnsi="Times New Roman" w:cs="Times New Roman"/>
          <w:i/>
          <w:iCs/>
          <w:sz w:val="22"/>
        </w:rPr>
        <w:t>Membership Management Rules of the Shanghai Futures Exchange</w:t>
      </w:r>
      <w:r>
        <w:rPr>
          <w:rFonts w:ascii="Times New Roman" w:hAnsi="Times New Roman" w:cs="Times New Roman"/>
          <w:sz w:val="22"/>
        </w:rPr>
        <w:t xml:space="preserve"> and the</w:t>
      </w:r>
      <w:r>
        <w:rPr>
          <w:rFonts w:ascii="Times New Roman" w:hAnsi="Times New Roman" w:cs="Times New Roman"/>
          <w:i/>
          <w:iCs/>
          <w:sz w:val="22"/>
        </w:rPr>
        <w:t xml:space="preserve"> </w:t>
      </w:r>
      <w:r>
        <w:rPr>
          <w:rFonts w:ascii="Times New Roman" w:hAnsi="Times New Roman" w:cs="Times New Roman"/>
          <w:i/>
          <w:iCs/>
          <w:kern w:val="0"/>
          <w:sz w:val="22"/>
        </w:rPr>
        <w:t>Futures Trading Participant Eligibility Management Rules of the Shanghai Futures Exchange</w:t>
      </w:r>
      <w:r>
        <w:rPr>
          <w:rFonts w:ascii="Times New Roman" w:hAnsi="Times New Roman" w:cs="Times New Roman"/>
          <w:sz w:val="22"/>
        </w:rPr>
        <w:t>.</w:t>
      </w:r>
    </w:p>
    <w:p>
      <w:pPr>
        <w:tabs>
          <w:tab w:val="left" w:pos="567"/>
        </w:tabs>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(II)</w:t>
      </w:r>
      <w:r>
        <w:rPr>
          <w:rFonts w:ascii="Times New Roman" w:hAnsi="Times New Roman" w:cs="Times New Roman"/>
          <w:sz w:val="22"/>
        </w:rPr>
        <w:tab/>
      </w:r>
      <w:r>
        <w:rPr>
          <w:rFonts w:ascii="Times New Roman" w:hAnsi="Times New Roman" w:cs="Times New Roman"/>
          <w:b/>
          <w:bCs/>
          <w:sz w:val="22"/>
        </w:rPr>
        <w:t>Trading</w:t>
      </w:r>
      <w:r>
        <w:rPr>
          <w:rFonts w:ascii="Times New Roman" w:hAnsi="Times New Roman" w:cs="Times New Roman"/>
          <w:sz w:val="22"/>
        </w:rPr>
        <w:t>: Systematically adding new rules that are applicable to overseas participants’  participation in domestic futures trading</w:t>
      </w:r>
    </w:p>
    <w:p>
      <w:pPr>
        <w:adjustRightInd w:val="0"/>
        <w:snapToGrid w:val="0"/>
        <w:spacing w:after="312" w:afterLines="100" w:line="276" w:lineRule="auto"/>
        <w:rPr>
          <w:rFonts w:ascii="Times New Roman" w:hAnsi="Times New Roman" w:cs="Times New Roman"/>
          <w:sz w:val="22"/>
        </w:rPr>
      </w:pPr>
      <w:bookmarkStart w:id="5" w:name="OLE_LINK15"/>
      <w:r>
        <w:rPr>
          <w:rFonts w:ascii="Times New Roman" w:hAnsi="Times New Roman" w:cs="Times New Roman"/>
          <w:sz w:val="22"/>
        </w:rPr>
        <w:t>The internationalization of rules</w:t>
      </w:r>
      <w:bookmarkEnd w:id="5"/>
      <w:r>
        <w:rPr>
          <w:rFonts w:ascii="Times New Roman" w:hAnsi="Times New Roman" w:cs="Times New Roman"/>
          <w:sz w:val="22"/>
        </w:rPr>
        <w:t xml:space="preserve"> strengthens the management of trading seats and trading codes for overseas participants and of account opening by overseas account opening institutions; adds requirements for applying hedging and arbitrage quotas by overseas clients and overseas special non-brokerage participants; specifies the requirements for the management of options trading, exercise, and fulfillment by overseas participants; keep open the rules for overseas participants to act as market makers; and improves the information disclosure system.</w:t>
      </w:r>
    </w:p>
    <w:p>
      <w:pPr>
        <w:adjustRightInd w:val="0"/>
        <w:snapToGrid w:val="0"/>
        <w:spacing w:after="312" w:afterLines="100" w:line="276" w:lineRule="auto"/>
        <w:rPr>
          <w:rFonts w:ascii="Times New Roman" w:hAnsi="Times New Roman" w:cs="Times New Roman"/>
          <w:sz w:val="22"/>
        </w:rPr>
      </w:pPr>
      <w:bookmarkStart w:id="6" w:name="OLE_LINK18"/>
      <w:r>
        <w:rPr>
          <w:rFonts w:ascii="Times New Roman" w:hAnsi="Times New Roman" w:cs="Times New Roman"/>
          <w:sz w:val="22"/>
        </w:rPr>
        <w:t>Accordingly, revisions were made to the</w:t>
      </w:r>
      <w:bookmarkEnd w:id="6"/>
      <w:r>
        <w:rPr>
          <w:rFonts w:ascii="Times New Roman" w:hAnsi="Times New Roman" w:cs="Times New Roman"/>
          <w:sz w:val="22"/>
        </w:rPr>
        <w:t xml:space="preserve"> </w:t>
      </w:r>
      <w:r>
        <w:rPr>
          <w:rFonts w:ascii="Times New Roman" w:hAnsi="Times New Roman" w:cs="Times New Roman"/>
          <w:i/>
          <w:iCs/>
          <w:sz w:val="22"/>
        </w:rPr>
        <w:t>Trading Rules of the Shanghai Futures Exchange</w:t>
      </w:r>
      <w:r>
        <w:rPr>
          <w:rFonts w:ascii="Times New Roman" w:hAnsi="Times New Roman" w:cs="Times New Roman"/>
          <w:sz w:val="22"/>
        </w:rPr>
        <w:t xml:space="preserve">, the </w:t>
      </w:r>
      <w:r>
        <w:rPr>
          <w:rFonts w:ascii="Times New Roman" w:hAnsi="Times New Roman" w:cs="Times New Roman"/>
          <w:i/>
          <w:iCs/>
          <w:sz w:val="22"/>
        </w:rPr>
        <w:t>Options Trading Rules of the Shanghai Futures Exchange</w:t>
      </w:r>
      <w:r>
        <w:rPr>
          <w:rFonts w:ascii="Times New Roman" w:hAnsi="Times New Roman" w:cs="Times New Roman"/>
          <w:sz w:val="22"/>
        </w:rPr>
        <w:t xml:space="preserve">, </w:t>
      </w:r>
      <w:bookmarkStart w:id="7" w:name="OLE_LINK19"/>
      <w:r>
        <w:rPr>
          <w:rFonts w:ascii="Times New Roman" w:hAnsi="Times New Roman" w:cs="Times New Roman"/>
          <w:sz w:val="22"/>
        </w:rPr>
        <w:t xml:space="preserve">the </w:t>
      </w:r>
      <w:r>
        <w:rPr>
          <w:rFonts w:ascii="Times New Roman" w:hAnsi="Times New Roman" w:cs="Times New Roman"/>
          <w:i/>
          <w:iCs/>
          <w:sz w:val="22"/>
        </w:rPr>
        <w:t>Hedge Trading Rules of the Shanghai Futures Exchange</w:t>
      </w:r>
      <w:r>
        <w:rPr>
          <w:rFonts w:ascii="Times New Roman" w:hAnsi="Times New Roman" w:cs="Times New Roman"/>
          <w:sz w:val="22"/>
        </w:rPr>
        <w:t xml:space="preserve">, the </w:t>
      </w:r>
      <w:r>
        <w:rPr>
          <w:rFonts w:ascii="Times New Roman" w:hAnsi="Times New Roman" w:cs="Times New Roman"/>
          <w:i/>
          <w:iCs/>
          <w:sz w:val="22"/>
        </w:rPr>
        <w:t>Arbitrage Trading Rules of the Shanghai Futures Exchange</w:t>
      </w:r>
      <w:r>
        <w:rPr>
          <w:rFonts w:ascii="Times New Roman" w:hAnsi="Times New Roman" w:cs="Times New Roman"/>
          <w:sz w:val="22"/>
        </w:rPr>
        <w:t>,</w:t>
      </w:r>
      <w:bookmarkEnd w:id="7"/>
      <w:r>
        <w:rPr>
          <w:rFonts w:ascii="Times New Roman" w:hAnsi="Times New Roman" w:cs="Times New Roman"/>
          <w:sz w:val="22"/>
        </w:rPr>
        <w:t xml:space="preserve"> the </w:t>
      </w:r>
      <w:r>
        <w:rPr>
          <w:rFonts w:ascii="Times New Roman" w:hAnsi="Times New Roman" w:cs="Times New Roman"/>
          <w:i/>
          <w:iCs/>
          <w:sz w:val="22"/>
        </w:rPr>
        <w:t>Marker-Making Management Rules of the Shanghai Futures Exchange</w:t>
      </w:r>
      <w:r>
        <w:rPr>
          <w:rFonts w:ascii="Times New Roman" w:hAnsi="Times New Roman" w:cs="Times New Roman"/>
          <w:sz w:val="22"/>
        </w:rPr>
        <w:t xml:space="preserve">, and the </w:t>
      </w:r>
      <w:r>
        <w:rPr>
          <w:rFonts w:ascii="Times New Roman" w:hAnsi="Times New Roman" w:cs="Times New Roman"/>
          <w:i/>
          <w:iCs/>
          <w:sz w:val="22"/>
        </w:rPr>
        <w:t>Information Management Rules of the Shanghai Futures Exchange</w:t>
      </w:r>
      <w:r>
        <w:rPr>
          <w:rFonts w:ascii="Times New Roman" w:hAnsi="Times New Roman" w:cs="Times New Roman"/>
          <w:sz w:val="22"/>
        </w:rPr>
        <w:t>.</w:t>
      </w:r>
    </w:p>
    <w:p>
      <w:pPr>
        <w:tabs>
          <w:tab w:val="left" w:pos="567"/>
        </w:tabs>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(III)</w:t>
      </w:r>
      <w:r>
        <w:rPr>
          <w:rFonts w:ascii="Times New Roman" w:hAnsi="Times New Roman" w:cs="Times New Roman"/>
          <w:sz w:val="22"/>
        </w:rPr>
        <w:tab/>
      </w:r>
      <w:r>
        <w:rPr>
          <w:rFonts w:ascii="Times New Roman" w:hAnsi="Times New Roman" w:cs="Times New Roman"/>
          <w:b/>
          <w:bCs/>
          <w:sz w:val="22"/>
        </w:rPr>
        <w:t>Risk management</w:t>
      </w:r>
      <w:r>
        <w:rPr>
          <w:rFonts w:ascii="Times New Roman" w:hAnsi="Times New Roman" w:cs="Times New Roman"/>
          <w:sz w:val="22"/>
        </w:rPr>
        <w:t>: Refining risk management rules for overseas participants engaging in domestic futures trading</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 xml:space="preserve">The internationalization of rules sets position limit standards for overseas participants; specifies large trader position reporting thresholds for </w:t>
      </w:r>
      <w:bookmarkStart w:id="8" w:name="OLE_LINK16"/>
      <w:r>
        <w:rPr>
          <w:rFonts w:ascii="Times New Roman" w:hAnsi="Times New Roman" w:cs="Times New Roman"/>
          <w:sz w:val="22"/>
        </w:rPr>
        <w:t>overseas participants</w:t>
      </w:r>
      <w:bookmarkEnd w:id="8"/>
      <w:r>
        <w:rPr>
          <w:rFonts w:ascii="Times New Roman" w:hAnsi="Times New Roman" w:cs="Times New Roman"/>
          <w:sz w:val="22"/>
        </w:rPr>
        <w:t>; details instances of forced position liquidation; improves the filing process for</w:t>
      </w:r>
      <w:bookmarkStart w:id="9" w:name="OLE_LINK17"/>
      <w:r>
        <w:rPr>
          <w:rFonts w:ascii="Times New Roman" w:hAnsi="Times New Roman" w:cs="Times New Roman"/>
          <w:sz w:val="22"/>
        </w:rPr>
        <w:t xml:space="preserve"> overseas participants holding any account </w:t>
      </w:r>
      <w:bookmarkEnd w:id="9"/>
      <w:r>
        <w:rPr>
          <w:rFonts w:ascii="Times New Roman" w:hAnsi="Times New Roman" w:cs="Times New Roman"/>
          <w:sz w:val="22"/>
        </w:rPr>
        <w:t xml:space="preserve">involving actual control relationship; clarifies handling procedures for abnormal trading behaviors by overseas participants; defines instances of violation by overseas participants and corresponding </w:t>
      </w:r>
      <w:bookmarkStart w:id="10" w:name="OLE_LINK25"/>
      <w:r>
        <w:rPr>
          <w:rFonts w:ascii="Times New Roman" w:hAnsi="Times New Roman" w:cs="Times New Roman"/>
          <w:sz w:val="22"/>
        </w:rPr>
        <w:t>countermeasures</w:t>
      </w:r>
      <w:bookmarkEnd w:id="10"/>
      <w:r>
        <w:rPr>
          <w:rFonts w:ascii="Times New Roman" w:hAnsi="Times New Roman" w:cs="Times New Roman"/>
          <w:sz w:val="22"/>
        </w:rPr>
        <w:t>; and optimizes classification of positions by nature and their application scenarios.</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 xml:space="preserve">Accordingly, revisions were made to the </w:t>
      </w:r>
      <w:r>
        <w:rPr>
          <w:rFonts w:ascii="Times New Roman" w:hAnsi="Times New Roman" w:cs="Times New Roman"/>
          <w:i/>
          <w:iCs/>
          <w:sz w:val="22"/>
        </w:rPr>
        <w:t>Hedge Trading Rules of the Shanghai Futures Exchange</w:t>
      </w:r>
      <w:r>
        <w:rPr>
          <w:rFonts w:ascii="Times New Roman" w:hAnsi="Times New Roman" w:cs="Times New Roman"/>
          <w:sz w:val="22"/>
        </w:rPr>
        <w:t xml:space="preserve">, the </w:t>
      </w:r>
      <w:r>
        <w:rPr>
          <w:rFonts w:ascii="Times New Roman" w:hAnsi="Times New Roman" w:cs="Times New Roman"/>
          <w:i/>
          <w:iCs/>
          <w:sz w:val="22"/>
        </w:rPr>
        <w:t xml:space="preserve">Arbitrage Trading Rules </w:t>
      </w:r>
      <w:bookmarkStart w:id="11" w:name="OLE_LINK20"/>
      <w:r>
        <w:rPr>
          <w:rFonts w:ascii="Times New Roman" w:hAnsi="Times New Roman" w:cs="Times New Roman"/>
          <w:i/>
          <w:iCs/>
          <w:sz w:val="22"/>
        </w:rPr>
        <w:t>of the Shanghai Futures Exchange</w:t>
      </w:r>
      <w:r>
        <w:rPr>
          <w:rFonts w:ascii="Times New Roman" w:hAnsi="Times New Roman" w:cs="Times New Roman"/>
          <w:sz w:val="22"/>
        </w:rPr>
        <w:t>,</w:t>
      </w:r>
      <w:bookmarkEnd w:id="11"/>
      <w:r>
        <w:rPr>
          <w:rFonts w:ascii="Times New Roman" w:hAnsi="Times New Roman" w:cs="Times New Roman"/>
          <w:sz w:val="22"/>
        </w:rPr>
        <w:t xml:space="preserve"> the </w:t>
      </w:r>
      <w:r>
        <w:rPr>
          <w:rFonts w:ascii="Times New Roman" w:hAnsi="Times New Roman" w:cs="Times New Roman"/>
          <w:i/>
          <w:iCs/>
          <w:sz w:val="22"/>
        </w:rPr>
        <w:t>Options Trading Rules of the Shanghai Futures Exchange</w:t>
      </w:r>
      <w:r>
        <w:rPr>
          <w:rFonts w:ascii="Times New Roman" w:hAnsi="Times New Roman" w:cs="Times New Roman"/>
          <w:sz w:val="22"/>
        </w:rPr>
        <w:t xml:space="preserve">, the </w:t>
      </w:r>
      <w:r>
        <w:rPr>
          <w:rFonts w:ascii="Times New Roman" w:hAnsi="Times New Roman" w:cs="Times New Roman"/>
          <w:i/>
          <w:iCs/>
          <w:sz w:val="22"/>
        </w:rPr>
        <w:t>Administration of Accounts Involving Actual Control Relationship Rules of Shanghai Futures Exchange</w:t>
      </w:r>
      <w:r>
        <w:rPr>
          <w:rFonts w:ascii="Times New Roman" w:hAnsi="Times New Roman" w:cs="Times New Roman"/>
          <w:sz w:val="22"/>
        </w:rPr>
        <w:t xml:space="preserve">, the </w:t>
      </w:r>
      <w:r>
        <w:rPr>
          <w:rFonts w:ascii="Times New Roman" w:hAnsi="Times New Roman" w:cs="Times New Roman"/>
          <w:i/>
          <w:iCs/>
          <w:sz w:val="22"/>
        </w:rPr>
        <w:t>Risk Management Rules of the Shanghai Futures Exchange</w:t>
      </w:r>
      <w:r>
        <w:rPr>
          <w:rFonts w:ascii="Times New Roman" w:hAnsi="Times New Roman" w:cs="Times New Roman"/>
          <w:sz w:val="22"/>
        </w:rPr>
        <w:t xml:space="preserve">, the </w:t>
      </w:r>
      <w:r>
        <w:rPr>
          <w:rFonts w:ascii="Times New Roman" w:hAnsi="Times New Roman" w:cs="Times New Roman"/>
          <w:i/>
          <w:iCs/>
          <w:sz w:val="22"/>
        </w:rPr>
        <w:t>Administration of Abnormal Trading Behaviors Rules of the Shanghai Futures Exchange</w:t>
      </w:r>
      <w:r>
        <w:rPr>
          <w:rFonts w:ascii="Times New Roman" w:hAnsi="Times New Roman" w:cs="Times New Roman"/>
          <w:sz w:val="22"/>
        </w:rPr>
        <w:t xml:space="preserve">, the </w:t>
      </w:r>
      <w:r>
        <w:rPr>
          <w:rFonts w:ascii="Times New Roman" w:hAnsi="Times New Roman" w:cs="Times New Roman"/>
          <w:i/>
          <w:iCs/>
          <w:sz w:val="22"/>
        </w:rPr>
        <w:t>Enforcement Rules of the Shanghai Futures Exchange</w:t>
      </w:r>
      <w:r>
        <w:rPr>
          <w:rFonts w:ascii="Times New Roman" w:hAnsi="Times New Roman" w:cs="Times New Roman"/>
          <w:sz w:val="22"/>
        </w:rPr>
        <w:t>, and 19 futures products rules.</w:t>
      </w:r>
    </w:p>
    <w:p>
      <w:pPr>
        <w:tabs>
          <w:tab w:val="left" w:pos="567"/>
        </w:tabs>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(IV)</w:t>
      </w:r>
      <w:r>
        <w:rPr>
          <w:rFonts w:ascii="Times New Roman" w:hAnsi="Times New Roman" w:cs="Times New Roman"/>
          <w:sz w:val="22"/>
        </w:rPr>
        <w:tab/>
      </w:r>
      <w:r>
        <w:rPr>
          <w:rFonts w:ascii="Times New Roman" w:hAnsi="Times New Roman" w:cs="Times New Roman"/>
          <w:b/>
          <w:bCs/>
          <w:sz w:val="22"/>
        </w:rPr>
        <w:t>Clearing</w:t>
      </w:r>
      <w:r>
        <w:rPr>
          <w:rFonts w:ascii="Times New Roman" w:hAnsi="Times New Roman" w:cs="Times New Roman"/>
          <w:sz w:val="22"/>
        </w:rPr>
        <w:t>: Improving rules governing RMB-denominated products and foreign currencies used as margin, introducing the tiered carrying-brokerage clearing system, and optimizing rules regarding settlement accounts and fund transfers</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The revision establishes RMB as SHFE’s clearing and settlement currency, includes foreign currencies to the scope of assets used as margin, and clarifies mandatory exchange of foreign currencies; optimizes tiered clearing rules and adds carrying-brokerage clearing rules; specifies the types of futures settlement accounts of SHFE, members, OSPs, overseas intermediaries, and clients and the rules applicable to their fund transfers through their accounts.</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 xml:space="preserve">Accordingly, revisions were made to the </w:t>
      </w:r>
      <w:r>
        <w:rPr>
          <w:rFonts w:ascii="Times New Roman" w:hAnsi="Times New Roman" w:cs="Times New Roman"/>
          <w:i/>
          <w:iCs/>
          <w:sz w:val="22"/>
        </w:rPr>
        <w:t xml:space="preserve">Clearing Rules of the </w:t>
      </w:r>
      <w:bookmarkStart w:id="12" w:name="OLE_LINK24"/>
      <w:r>
        <w:rPr>
          <w:rFonts w:ascii="Times New Roman" w:hAnsi="Times New Roman" w:cs="Times New Roman"/>
          <w:i/>
          <w:iCs/>
          <w:sz w:val="22"/>
        </w:rPr>
        <w:t>Shanghai Futures Exchange</w:t>
      </w:r>
      <w:r>
        <w:rPr>
          <w:rFonts w:ascii="Times New Roman" w:hAnsi="Times New Roman" w:cs="Times New Roman"/>
          <w:sz w:val="22"/>
        </w:rPr>
        <w:t xml:space="preserve"> </w:t>
      </w:r>
      <w:bookmarkEnd w:id="12"/>
      <w:r>
        <w:rPr>
          <w:rFonts w:ascii="Times New Roman" w:hAnsi="Times New Roman" w:cs="Times New Roman"/>
          <w:sz w:val="22"/>
        </w:rPr>
        <w:t xml:space="preserve">and the </w:t>
      </w:r>
      <w:r>
        <w:rPr>
          <w:rFonts w:ascii="Times New Roman" w:hAnsi="Times New Roman" w:cs="Times New Roman"/>
          <w:i/>
          <w:iCs/>
          <w:sz w:val="22"/>
        </w:rPr>
        <w:t>Designated Depository Banks Rules of the Shanghai Futures Exchange</w:t>
      </w:r>
      <w:r>
        <w:rPr>
          <w:rFonts w:ascii="Times New Roman" w:hAnsi="Times New Roman" w:cs="Times New Roman"/>
          <w:sz w:val="22"/>
        </w:rPr>
        <w:t>.</w:t>
      </w:r>
    </w:p>
    <w:p>
      <w:pPr>
        <w:tabs>
          <w:tab w:val="left" w:pos="567"/>
        </w:tabs>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(V)</w:t>
      </w:r>
      <w:r>
        <w:rPr>
          <w:rFonts w:ascii="Times New Roman" w:hAnsi="Times New Roman" w:cs="Times New Roman"/>
          <w:sz w:val="22"/>
        </w:rPr>
        <w:tab/>
      </w:r>
      <w:r>
        <w:rPr>
          <w:rFonts w:ascii="Times New Roman" w:hAnsi="Times New Roman" w:cs="Times New Roman"/>
          <w:b/>
          <w:bCs/>
          <w:sz w:val="22"/>
        </w:rPr>
        <w:t>Delivery</w:t>
      </w:r>
      <w:r>
        <w:rPr>
          <w:rFonts w:ascii="Times New Roman" w:hAnsi="Times New Roman" w:cs="Times New Roman"/>
          <w:sz w:val="22"/>
        </w:rPr>
        <w:t>: Clarifying instances of non-deliverable positions and the corresponding handling procedures</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Firstly, the internationalization of rules enumerates the following instances of non-deliverable positions—positions held by a natural-person client; positions not of an integeral multiple of the delivery unit; positions held by an institutional client that is unable to deliver or receive VAT invoices; a standard warrant account has not been opened before the last trading day; and other positions deemed non-deliverable by SHFE.</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Secondly, the internationalization of rules specifies the way to handle outstanding non-deliverable positions.</w:t>
      </w:r>
      <w:r>
        <w:rPr>
          <w:rFonts w:ascii="Times New Roman" w:hAnsi="Times New Roman" w:cs="Times New Roman"/>
        </w:rPr>
        <w:t xml:space="preserve"> </w:t>
      </w:r>
      <w:r>
        <w:rPr>
          <w:rFonts w:ascii="Times New Roman" w:hAnsi="Times New Roman" w:cs="Times New Roman"/>
          <w:sz w:val="22"/>
        </w:rPr>
        <w:t>Specifically, after market close on the last trading day of a futures contract, SHFE will impose a fine equaling 20% of the contract value calculated at the final settlement price on each of the buyer and the seller holding the non-deliverable positions. Based on the disparity in the non-deliverable positions held by the buyer and the seller and whichever party holding a larger position, SHFE will pay an amount equaling 20% of the contract value calculated at the final settlement price to the counterparty holding the deliverable positions. The open positions described above will be closed out without proceeding to delivery.</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 xml:space="preserve">Accordingly, revisions were made to the </w:t>
      </w:r>
      <w:r>
        <w:rPr>
          <w:rFonts w:ascii="Times New Roman" w:hAnsi="Times New Roman" w:cs="Times New Roman"/>
          <w:i/>
          <w:iCs/>
          <w:sz w:val="22"/>
        </w:rPr>
        <w:t>Delivery Rules of the Shanghai Futures Exchange</w:t>
      </w:r>
      <w:r>
        <w:rPr>
          <w:rFonts w:ascii="Times New Roman" w:hAnsi="Times New Roman" w:cs="Times New Roman"/>
          <w:sz w:val="22"/>
        </w:rPr>
        <w:t>.</w:t>
      </w:r>
    </w:p>
    <w:p>
      <w:pPr>
        <w:adjustRightInd w:val="0"/>
        <w:snapToGrid w:val="0"/>
        <w:spacing w:after="312" w:afterLines="100" w:line="276" w:lineRule="auto"/>
        <w:rPr>
          <w:rFonts w:ascii="Times New Roman" w:hAnsi="Times New Roman" w:cs="Times New Roman"/>
          <w:sz w:val="22"/>
        </w:rPr>
      </w:pPr>
      <w:r>
        <w:rPr>
          <w:rFonts w:ascii="Times New Roman" w:hAnsi="Times New Roman" w:cs="Times New Roman"/>
          <w:sz w:val="22"/>
        </w:rPr>
        <w:t>(V</w:t>
      </w:r>
      <w:r>
        <w:rPr>
          <w:rFonts w:hint="eastAsia" w:ascii="Times New Roman" w:hAnsi="Times New Roman" w:cs="Times New Roman"/>
          <w:sz w:val="22"/>
        </w:rPr>
        <w:t>I</w:t>
      </w:r>
      <w:r>
        <w:rPr>
          <w:rFonts w:ascii="Times New Roman" w:hAnsi="Times New Roman" w:cs="Times New Roman"/>
          <w:sz w:val="22"/>
        </w:rPr>
        <w:t>)</w:t>
      </w:r>
      <w:r>
        <w:rPr>
          <w:rFonts w:ascii="Times New Roman" w:hAnsi="Times New Roman" w:cs="Times New Roman"/>
          <w:sz w:val="22"/>
        </w:rPr>
        <w:tab/>
      </w:r>
      <w:r>
        <w:rPr>
          <w:rFonts w:hint="eastAsia" w:ascii="Times New Roman" w:hAnsi="Times New Roman" w:cs="Times New Roman"/>
          <w:sz w:val="22"/>
        </w:rPr>
        <w:t xml:space="preserve"> </w:t>
      </w:r>
      <w:r>
        <w:rPr>
          <w:rFonts w:hint="eastAsia" w:ascii="Times New Roman" w:hAnsi="Times New Roman" w:cs="Times New Roman"/>
          <w:b/>
          <w:bCs/>
          <w:sz w:val="22"/>
        </w:rPr>
        <w:t xml:space="preserve">Other: </w:t>
      </w:r>
      <w:r>
        <w:rPr>
          <w:rFonts w:hint="eastAsia" w:ascii="Times New Roman" w:hAnsi="Times New Roman" w:cs="Times New Roman"/>
          <w:sz w:val="22"/>
        </w:rPr>
        <w:t xml:space="preserve">In accordance with the upper-level legislation and the actual business operation, </w:t>
      </w:r>
      <w:r>
        <w:rPr>
          <w:rFonts w:ascii="Times New Roman" w:hAnsi="Times New Roman" w:cs="Times New Roman"/>
          <w:sz w:val="22"/>
        </w:rPr>
        <w:t xml:space="preserve">corresponding revisions were made to the </w:t>
      </w:r>
      <w:r>
        <w:rPr>
          <w:rFonts w:ascii="Times New Roman" w:hAnsi="Times New Roman" w:cs="Times New Roman"/>
          <w:i/>
          <w:iCs/>
          <w:sz w:val="22"/>
        </w:rPr>
        <w:t>Membership Management Rules of the Shanghai Futures Exchange</w:t>
      </w:r>
      <w:r>
        <w:rPr>
          <w:rFonts w:ascii="Times New Roman" w:hAnsi="Times New Roman" w:cs="Times New Roman"/>
          <w:sz w:val="22"/>
        </w:rPr>
        <w:t xml:space="preserve"> and</w:t>
      </w:r>
      <w:r>
        <w:rPr>
          <w:rFonts w:hint="eastAsia" w:ascii="Times New Roman" w:hAnsi="Times New Roman" w:cs="Times New Roman"/>
          <w:sz w:val="22"/>
        </w:rPr>
        <w:t xml:space="preserve"> the other five management rules.</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imes New Roman" w:hAnsi="Times New Roman" w:cs="Times New Roman"/>
        <w:sz w:val="20"/>
        <w:szCs w:val="20"/>
      </w:rPr>
    </w:sdtEndPr>
    <w:sdtContent>
      <w:p>
        <w:pPr>
          <w:pStyle w:val="14"/>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w:t>
        </w:r>
        <w:r>
          <w:rPr>
            <w:rFonts w:ascii="Times New Roman" w:hAnsi="Times New Roman" w:cs="Times New Roman"/>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5F"/>
    <w:rsid w:val="00021D4C"/>
    <w:rsid w:val="00035255"/>
    <w:rsid w:val="00050563"/>
    <w:rsid w:val="000527C2"/>
    <w:rsid w:val="00071E01"/>
    <w:rsid w:val="000764A3"/>
    <w:rsid w:val="00086562"/>
    <w:rsid w:val="000906A7"/>
    <w:rsid w:val="000A43F0"/>
    <w:rsid w:val="000E1A68"/>
    <w:rsid w:val="0011549B"/>
    <w:rsid w:val="0013630F"/>
    <w:rsid w:val="00146D59"/>
    <w:rsid w:val="00150CFA"/>
    <w:rsid w:val="001664DE"/>
    <w:rsid w:val="001E0982"/>
    <w:rsid w:val="001F1CA1"/>
    <w:rsid w:val="00210E4B"/>
    <w:rsid w:val="0022300F"/>
    <w:rsid w:val="002273F6"/>
    <w:rsid w:val="0024261F"/>
    <w:rsid w:val="00265BE0"/>
    <w:rsid w:val="00271094"/>
    <w:rsid w:val="002743BD"/>
    <w:rsid w:val="0027542F"/>
    <w:rsid w:val="002969B6"/>
    <w:rsid w:val="002A4C30"/>
    <w:rsid w:val="002B2912"/>
    <w:rsid w:val="002E734C"/>
    <w:rsid w:val="002E7EEF"/>
    <w:rsid w:val="002F0B93"/>
    <w:rsid w:val="003120A2"/>
    <w:rsid w:val="00313551"/>
    <w:rsid w:val="0032403F"/>
    <w:rsid w:val="003240FC"/>
    <w:rsid w:val="00342611"/>
    <w:rsid w:val="0036020E"/>
    <w:rsid w:val="00384D87"/>
    <w:rsid w:val="0038663D"/>
    <w:rsid w:val="00394F62"/>
    <w:rsid w:val="00395C8B"/>
    <w:rsid w:val="003A7928"/>
    <w:rsid w:val="003B4DE3"/>
    <w:rsid w:val="003B57C8"/>
    <w:rsid w:val="003F2598"/>
    <w:rsid w:val="0040307F"/>
    <w:rsid w:val="00407C3E"/>
    <w:rsid w:val="004731FF"/>
    <w:rsid w:val="00477696"/>
    <w:rsid w:val="004B6BEF"/>
    <w:rsid w:val="004D5D5A"/>
    <w:rsid w:val="004F05F1"/>
    <w:rsid w:val="00505241"/>
    <w:rsid w:val="00505FED"/>
    <w:rsid w:val="00514CCD"/>
    <w:rsid w:val="00516B82"/>
    <w:rsid w:val="00520D78"/>
    <w:rsid w:val="005410F4"/>
    <w:rsid w:val="00546200"/>
    <w:rsid w:val="00553830"/>
    <w:rsid w:val="005635C4"/>
    <w:rsid w:val="00583C4E"/>
    <w:rsid w:val="005970F0"/>
    <w:rsid w:val="005B4F17"/>
    <w:rsid w:val="005B6C61"/>
    <w:rsid w:val="00600CA6"/>
    <w:rsid w:val="00626FE9"/>
    <w:rsid w:val="00631291"/>
    <w:rsid w:val="00646666"/>
    <w:rsid w:val="006B5393"/>
    <w:rsid w:val="006B73A6"/>
    <w:rsid w:val="006D5FFD"/>
    <w:rsid w:val="006E69BE"/>
    <w:rsid w:val="006F5FB3"/>
    <w:rsid w:val="00700B69"/>
    <w:rsid w:val="007133E2"/>
    <w:rsid w:val="00751129"/>
    <w:rsid w:val="00774471"/>
    <w:rsid w:val="00775922"/>
    <w:rsid w:val="007818C7"/>
    <w:rsid w:val="00787194"/>
    <w:rsid w:val="0079591E"/>
    <w:rsid w:val="007B66CC"/>
    <w:rsid w:val="007F75AC"/>
    <w:rsid w:val="0083417C"/>
    <w:rsid w:val="00890225"/>
    <w:rsid w:val="00890504"/>
    <w:rsid w:val="008C524C"/>
    <w:rsid w:val="008E2AD6"/>
    <w:rsid w:val="008E4C79"/>
    <w:rsid w:val="00927F68"/>
    <w:rsid w:val="00935CB9"/>
    <w:rsid w:val="00976181"/>
    <w:rsid w:val="009A2B1A"/>
    <w:rsid w:val="00A03C32"/>
    <w:rsid w:val="00A458E3"/>
    <w:rsid w:val="00A71733"/>
    <w:rsid w:val="00A80AE1"/>
    <w:rsid w:val="00A8434D"/>
    <w:rsid w:val="00A843ED"/>
    <w:rsid w:val="00A85014"/>
    <w:rsid w:val="00A91133"/>
    <w:rsid w:val="00AD4D69"/>
    <w:rsid w:val="00B01874"/>
    <w:rsid w:val="00B03084"/>
    <w:rsid w:val="00B22F8E"/>
    <w:rsid w:val="00B263D0"/>
    <w:rsid w:val="00B34341"/>
    <w:rsid w:val="00B3483E"/>
    <w:rsid w:val="00B766E2"/>
    <w:rsid w:val="00B80CDC"/>
    <w:rsid w:val="00B8147C"/>
    <w:rsid w:val="00B867CE"/>
    <w:rsid w:val="00B922FD"/>
    <w:rsid w:val="00B9763F"/>
    <w:rsid w:val="00BA36BE"/>
    <w:rsid w:val="00BC7290"/>
    <w:rsid w:val="00BE64D1"/>
    <w:rsid w:val="00C02736"/>
    <w:rsid w:val="00C348BA"/>
    <w:rsid w:val="00C40236"/>
    <w:rsid w:val="00C45729"/>
    <w:rsid w:val="00C46ACC"/>
    <w:rsid w:val="00C62FA0"/>
    <w:rsid w:val="00C63E5B"/>
    <w:rsid w:val="00C642D5"/>
    <w:rsid w:val="00C64FA5"/>
    <w:rsid w:val="00C75123"/>
    <w:rsid w:val="00C86F36"/>
    <w:rsid w:val="00C94F50"/>
    <w:rsid w:val="00CA2807"/>
    <w:rsid w:val="00CC463C"/>
    <w:rsid w:val="00CC5022"/>
    <w:rsid w:val="00CD61CB"/>
    <w:rsid w:val="00CE498B"/>
    <w:rsid w:val="00CE5353"/>
    <w:rsid w:val="00CE7AC3"/>
    <w:rsid w:val="00CF3329"/>
    <w:rsid w:val="00D04C93"/>
    <w:rsid w:val="00D43DA9"/>
    <w:rsid w:val="00D819CB"/>
    <w:rsid w:val="00DA3AA7"/>
    <w:rsid w:val="00DB3E8D"/>
    <w:rsid w:val="00DE08BE"/>
    <w:rsid w:val="00E0447B"/>
    <w:rsid w:val="00E12EE7"/>
    <w:rsid w:val="00E3366B"/>
    <w:rsid w:val="00EA4BC9"/>
    <w:rsid w:val="00EF7AF3"/>
    <w:rsid w:val="00F11439"/>
    <w:rsid w:val="00F4724F"/>
    <w:rsid w:val="00F5765F"/>
    <w:rsid w:val="00F731AB"/>
    <w:rsid w:val="00F7542D"/>
    <w:rsid w:val="00FA2B2E"/>
    <w:rsid w:val="00FB337A"/>
    <w:rsid w:val="00FC2EF6"/>
    <w:rsid w:val="00FC744A"/>
    <w:rsid w:val="00FD4FC5"/>
    <w:rsid w:val="00FD5F51"/>
    <w:rsid w:val="17C771DB"/>
    <w:rsid w:val="250C5A87"/>
    <w:rsid w:val="3D0765AC"/>
    <w:rsid w:val="3F9F7D2E"/>
    <w:rsid w:val="6E661697"/>
    <w:rsid w:val="BAFF7A6D"/>
    <w:rsid w:val="BFF7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42"/>
    <w:semiHidden/>
    <w:unhideWhenUsed/>
    <w:uiPriority w:val="99"/>
    <w:rPr>
      <w:b/>
      <w:bCs/>
    </w:rPr>
  </w:style>
  <w:style w:type="paragraph" w:styleId="12">
    <w:name w:val="annotation text"/>
    <w:basedOn w:val="1"/>
    <w:link w:val="41"/>
    <w:unhideWhenUsed/>
    <w:qFormat/>
    <w:uiPriority w:val="99"/>
    <w:pPr>
      <w:jc w:val="left"/>
    </w:pPr>
  </w:style>
  <w:style w:type="paragraph" w:styleId="13">
    <w:name w:val="Balloon Text"/>
    <w:basedOn w:val="1"/>
    <w:link w:val="43"/>
    <w:semiHidden/>
    <w:unhideWhenUsed/>
    <w:uiPriority w:val="99"/>
    <w:rPr>
      <w:sz w:val="18"/>
      <w:szCs w:val="18"/>
    </w:rPr>
  </w:style>
  <w:style w:type="paragraph" w:styleId="14">
    <w:name w:val="footer"/>
    <w:basedOn w:val="1"/>
    <w:link w:val="40"/>
    <w:unhideWhenUsed/>
    <w:uiPriority w:val="99"/>
    <w:pPr>
      <w:tabs>
        <w:tab w:val="center" w:pos="4153"/>
        <w:tab w:val="right" w:pos="8306"/>
      </w:tabs>
      <w:snapToGrid w:val="0"/>
      <w:jc w:val="left"/>
    </w:pPr>
    <w:rPr>
      <w:sz w:val="18"/>
      <w:szCs w:val="18"/>
    </w:rPr>
  </w:style>
  <w:style w:type="paragraph" w:styleId="15">
    <w:name w:val="header"/>
    <w:basedOn w:val="1"/>
    <w:link w:val="39"/>
    <w:unhideWhenUsed/>
    <w:uiPriority w:val="99"/>
    <w:pPr>
      <w:tabs>
        <w:tab w:val="center" w:pos="4153"/>
        <w:tab w:val="right" w:pos="8306"/>
      </w:tabs>
      <w:snapToGrid w:val="0"/>
      <w:jc w:val="center"/>
    </w:pPr>
    <w:rPr>
      <w:sz w:val="18"/>
      <w:szCs w:val="18"/>
    </w:rPr>
  </w:style>
  <w:style w:type="paragraph" w:styleId="16">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9">
    <w:name w:val="annotation reference"/>
    <w:basedOn w:val="18"/>
    <w:semiHidden/>
    <w:unhideWhenUsed/>
    <w:uiPriority w:val="99"/>
    <w:rPr>
      <w:sz w:val="21"/>
      <w:szCs w:val="21"/>
    </w:rPr>
  </w:style>
  <w:style w:type="character" w:customStyle="1" w:styleId="21">
    <w:name w:val="标题 1 Char"/>
    <w:basedOn w:val="18"/>
    <w:link w:val="2"/>
    <w:uiPriority w:val="9"/>
    <w:rPr>
      <w:rFonts w:asciiTheme="majorHAnsi" w:hAnsiTheme="majorHAnsi" w:eastAsiaTheme="majorEastAsia" w:cstheme="majorBidi"/>
      <w:color w:val="2F5597" w:themeColor="accent1" w:themeShade="BF"/>
      <w:sz w:val="48"/>
      <w:szCs w:val="48"/>
    </w:rPr>
  </w:style>
  <w:style w:type="character" w:customStyle="1" w:styleId="22">
    <w:name w:val="标题 2 Char"/>
    <w:basedOn w:val="18"/>
    <w:link w:val="3"/>
    <w:semiHidden/>
    <w:uiPriority w:val="9"/>
    <w:rPr>
      <w:rFonts w:asciiTheme="majorHAnsi" w:hAnsiTheme="majorHAnsi" w:eastAsiaTheme="majorEastAsia" w:cstheme="majorBidi"/>
      <w:color w:val="2F5597" w:themeColor="accent1" w:themeShade="BF"/>
      <w:sz w:val="40"/>
      <w:szCs w:val="40"/>
    </w:rPr>
  </w:style>
  <w:style w:type="character" w:customStyle="1" w:styleId="23">
    <w:name w:val="标题 3 Char"/>
    <w:basedOn w:val="18"/>
    <w:link w:val="4"/>
    <w:semiHidden/>
    <w:uiPriority w:val="9"/>
    <w:rPr>
      <w:rFonts w:asciiTheme="majorHAnsi" w:hAnsiTheme="majorHAnsi" w:eastAsiaTheme="majorEastAsia" w:cstheme="majorBidi"/>
      <w:color w:val="2F5597" w:themeColor="accent1" w:themeShade="BF"/>
      <w:sz w:val="32"/>
      <w:szCs w:val="32"/>
    </w:rPr>
  </w:style>
  <w:style w:type="character" w:customStyle="1" w:styleId="24">
    <w:name w:val="标题 4 Char"/>
    <w:basedOn w:val="18"/>
    <w:link w:val="5"/>
    <w:semiHidden/>
    <w:uiPriority w:val="9"/>
    <w:rPr>
      <w:rFonts w:cstheme="majorBidi"/>
      <w:color w:val="2F5597" w:themeColor="accent1" w:themeShade="BF"/>
      <w:sz w:val="28"/>
      <w:szCs w:val="28"/>
    </w:rPr>
  </w:style>
  <w:style w:type="character" w:customStyle="1" w:styleId="25">
    <w:name w:val="标题 5 Char"/>
    <w:basedOn w:val="18"/>
    <w:link w:val="6"/>
    <w:semiHidden/>
    <w:uiPriority w:val="9"/>
    <w:rPr>
      <w:rFonts w:cstheme="majorBidi"/>
      <w:color w:val="2F5597" w:themeColor="accent1" w:themeShade="BF"/>
      <w:sz w:val="24"/>
      <w:szCs w:val="24"/>
    </w:rPr>
  </w:style>
  <w:style w:type="character" w:customStyle="1" w:styleId="26">
    <w:name w:val="标题 6 Char"/>
    <w:basedOn w:val="18"/>
    <w:link w:val="7"/>
    <w:semiHidden/>
    <w:uiPriority w:val="9"/>
    <w:rPr>
      <w:rFonts w:cstheme="majorBidi"/>
      <w:b/>
      <w:bCs/>
      <w:color w:val="2F5597" w:themeColor="accent1" w:themeShade="BF"/>
    </w:rPr>
  </w:style>
  <w:style w:type="character" w:customStyle="1" w:styleId="27">
    <w:name w:val="标题 7 Char"/>
    <w:basedOn w:val="18"/>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18"/>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18"/>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18"/>
    <w:link w:val="17"/>
    <w:uiPriority w:val="10"/>
    <w:rPr>
      <w:rFonts w:asciiTheme="majorHAnsi" w:hAnsiTheme="majorHAnsi" w:eastAsiaTheme="majorEastAsia" w:cstheme="majorBidi"/>
      <w:spacing w:val="-10"/>
      <w:kern w:val="28"/>
      <w:sz w:val="56"/>
      <w:szCs w:val="56"/>
    </w:rPr>
  </w:style>
  <w:style w:type="character" w:customStyle="1" w:styleId="31">
    <w:name w:val="副标题 Char"/>
    <w:basedOn w:val="18"/>
    <w:link w:val="16"/>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Char"/>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8"/>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Char"/>
    <w:basedOn w:val="18"/>
    <w:link w:val="36"/>
    <w:qFormat/>
    <w:uiPriority w:val="30"/>
    <w:rPr>
      <w:i/>
      <w:iCs/>
      <w:color w:val="2F5597" w:themeColor="accent1" w:themeShade="BF"/>
    </w:rPr>
  </w:style>
  <w:style w:type="character" w:customStyle="1" w:styleId="38">
    <w:name w:val="明显参考1"/>
    <w:basedOn w:val="18"/>
    <w:qFormat/>
    <w:uiPriority w:val="32"/>
    <w:rPr>
      <w:b/>
      <w:bCs/>
      <w:smallCaps/>
      <w:color w:val="2F5597" w:themeColor="accent1" w:themeShade="BF"/>
      <w:spacing w:val="5"/>
    </w:rPr>
  </w:style>
  <w:style w:type="character" w:customStyle="1" w:styleId="39">
    <w:name w:val="页眉 Char"/>
    <w:basedOn w:val="18"/>
    <w:link w:val="15"/>
    <w:qFormat/>
    <w:uiPriority w:val="99"/>
    <w:rPr>
      <w:sz w:val="18"/>
      <w:szCs w:val="18"/>
    </w:rPr>
  </w:style>
  <w:style w:type="character" w:customStyle="1" w:styleId="40">
    <w:name w:val="页脚 Char"/>
    <w:basedOn w:val="18"/>
    <w:link w:val="14"/>
    <w:qFormat/>
    <w:uiPriority w:val="99"/>
    <w:rPr>
      <w:sz w:val="18"/>
      <w:szCs w:val="18"/>
    </w:rPr>
  </w:style>
  <w:style w:type="character" w:customStyle="1" w:styleId="41">
    <w:name w:val="批注文字 Char"/>
    <w:basedOn w:val="18"/>
    <w:link w:val="12"/>
    <w:qFormat/>
    <w:uiPriority w:val="99"/>
  </w:style>
  <w:style w:type="character" w:customStyle="1" w:styleId="42">
    <w:name w:val="批注主题 Char"/>
    <w:basedOn w:val="41"/>
    <w:link w:val="11"/>
    <w:semiHidden/>
    <w:qFormat/>
    <w:uiPriority w:val="99"/>
    <w:rPr>
      <w:b/>
      <w:bCs/>
    </w:rPr>
  </w:style>
  <w:style w:type="character" w:customStyle="1" w:styleId="43">
    <w:name w:val="批注框文本 Char"/>
    <w:basedOn w:val="18"/>
    <w:link w:val="13"/>
    <w:semiHidden/>
    <w:qFormat/>
    <w:uiPriority w:val="99"/>
    <w:rPr>
      <w:sz w:val="18"/>
      <w:szCs w:val="18"/>
    </w:rPr>
  </w:style>
  <w:style w:type="paragraph" w:customStyle="1" w:styleId="44">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C1B9F-8352-4C06-94B7-C82A58B745B2}">
  <ds:schemaRefs/>
</ds:datastoreItem>
</file>

<file path=docProps/app.xml><?xml version="1.0" encoding="utf-8"?>
<Properties xmlns="http://schemas.openxmlformats.org/officeDocument/2006/extended-properties" xmlns:vt="http://schemas.openxmlformats.org/officeDocument/2006/docPropsVTypes">
  <Template>Normal.dotm</Template>
  <Company>SHFE</Company>
  <Pages>3</Pages>
  <Words>1307</Words>
  <Characters>7453</Characters>
  <Lines>62</Lines>
  <Paragraphs>17</Paragraphs>
  <TotalTime>52</TotalTime>
  <ScaleCrop>false</ScaleCrop>
  <LinksUpToDate>false</LinksUpToDate>
  <CharactersWithSpaces>8743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2025-06-23T10:49:00Z</dcterms:created>
  <dc:creator>Ubica</dc:creator>
  <cp:lastModifiedBy>guan.zhaohui</cp:lastModifiedBy>
  <cp:lastPrinted>2025-07-08T01:34:12Z</cp:lastPrinted>
  <dcterms:modified xsi:type="dcterms:W3CDTF">2025-07-08T01:34:16Z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55BC97B90B7CD91F4CF0616837584B46_42</vt:lpwstr>
  </property>
</Properties>
</file>