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ABC96" w14:textId="6BD10A5C" w:rsidR="006F10EB" w:rsidRDefault="006F10EB" w:rsidP="006F10EB">
      <w:pPr>
        <w:widowControl/>
        <w:adjustRightInd w:val="0"/>
        <w:snapToGrid w:val="0"/>
        <w:spacing w:afterLines="100" w:after="312" w:line="276" w:lineRule="auto"/>
        <w:rPr>
          <w:rFonts w:eastAsia="华文中宋"/>
          <w:b/>
          <w:sz w:val="22"/>
          <w:szCs w:val="22"/>
        </w:rPr>
      </w:pPr>
      <w:bookmarkStart w:id="0" w:name="_Hlk46334343"/>
      <w:r>
        <w:rPr>
          <w:rFonts w:eastAsia="华文中宋"/>
          <w:b/>
          <w:sz w:val="22"/>
          <w:szCs w:val="22"/>
        </w:rPr>
        <w:t xml:space="preserve">Appendix </w:t>
      </w:r>
      <w:r>
        <w:rPr>
          <w:rFonts w:eastAsia="华文中宋" w:hint="eastAsia"/>
          <w:b/>
          <w:sz w:val="22"/>
          <w:szCs w:val="22"/>
        </w:rPr>
        <w:t>2</w:t>
      </w:r>
      <w:r w:rsidR="00656386">
        <w:rPr>
          <w:rFonts w:eastAsia="华文中宋"/>
          <w:b/>
          <w:sz w:val="22"/>
          <w:szCs w:val="22"/>
        </w:rPr>
        <w:t>2:</w:t>
      </w:r>
    </w:p>
    <w:bookmarkEnd w:id="0"/>
    <w:p w14:paraId="70B316AE" w14:textId="77777777" w:rsidR="00656386" w:rsidRDefault="006F10EB" w:rsidP="00656386">
      <w:pPr>
        <w:pStyle w:val="1"/>
        <w:rPr>
          <w:rFonts w:eastAsia="华文中宋"/>
          <w:sz w:val="22"/>
          <w:szCs w:val="22"/>
        </w:rPr>
      </w:pPr>
      <w:r>
        <w:rPr>
          <w:rFonts w:eastAsia="华文中宋"/>
          <w:sz w:val="22"/>
          <w:szCs w:val="22"/>
        </w:rPr>
        <w:t>NICKEL FUTURES RULES OF THE SHANGHAI FUTURES EXCHANGE</w:t>
      </w:r>
    </w:p>
    <w:p w14:paraId="46AF4E38" w14:textId="09C0DEB2" w:rsidR="006F10EB" w:rsidRPr="00656386" w:rsidRDefault="00656386" w:rsidP="00656386">
      <w:pPr>
        <w:pStyle w:val="1"/>
        <w:rPr>
          <w:sz w:val="22"/>
          <w:szCs w:val="22"/>
        </w:rPr>
      </w:pPr>
      <w:r w:rsidRPr="006040AF">
        <w:rPr>
          <w:sz w:val="22"/>
          <w:szCs w:val="22"/>
        </w:rPr>
        <w:t>(revised)</w:t>
      </w:r>
      <w:bookmarkStart w:id="1" w:name="_Hlk46334348"/>
    </w:p>
    <w:bookmarkEnd w:id="1"/>
    <w:p w14:paraId="4E589947" w14:textId="77777777" w:rsidR="006F10EB" w:rsidRDefault="006F10EB" w:rsidP="006F10EB">
      <w:pPr>
        <w:widowControl/>
        <w:tabs>
          <w:tab w:val="left" w:pos="1560"/>
        </w:tabs>
        <w:adjustRightInd w:val="0"/>
        <w:snapToGrid w:val="0"/>
        <w:spacing w:afterLines="100" w:after="312" w:line="276" w:lineRule="auto"/>
        <w:jc w:val="center"/>
        <w:rPr>
          <w:b/>
          <w:sz w:val="22"/>
          <w:szCs w:val="22"/>
        </w:rPr>
      </w:pPr>
      <w:r>
        <w:rPr>
          <w:b/>
          <w:sz w:val="22"/>
          <w:szCs w:val="22"/>
        </w:rPr>
        <w:t>CHAPTER 1</w:t>
      </w:r>
      <w:r>
        <w:rPr>
          <w:b/>
          <w:sz w:val="22"/>
          <w:szCs w:val="22"/>
        </w:rPr>
        <w:tab/>
        <w:t>GENERAL PROVISIONS</w:t>
      </w:r>
    </w:p>
    <w:p w14:paraId="37FD17F4" w14:textId="77777777" w:rsidR="006F10EB" w:rsidRDefault="006F10EB" w:rsidP="006F10EB">
      <w:pPr>
        <w:tabs>
          <w:tab w:val="left" w:pos="1204"/>
        </w:tabs>
        <w:adjustRightInd w:val="0"/>
        <w:snapToGrid w:val="0"/>
        <w:spacing w:afterLines="100" w:after="312" w:line="276" w:lineRule="auto"/>
        <w:jc w:val="left"/>
        <w:rPr>
          <w:sz w:val="22"/>
          <w:szCs w:val="22"/>
        </w:rPr>
      </w:pPr>
      <w:bookmarkStart w:id="2" w:name="_Hlk501444119"/>
      <w:r>
        <w:rPr>
          <w:b/>
          <w:bCs/>
          <w:sz w:val="22"/>
          <w:szCs w:val="22"/>
        </w:rPr>
        <w:t>Article 1</w:t>
      </w:r>
      <w:r>
        <w:rPr>
          <w:sz w:val="22"/>
          <w:szCs w:val="22"/>
        </w:rPr>
        <w:tab/>
        <w:t xml:space="preserve">These </w:t>
      </w:r>
      <w:r>
        <w:rPr>
          <w:i/>
          <w:sz w:val="22"/>
          <w:szCs w:val="22"/>
        </w:rPr>
        <w:t>Nickel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SHFE </w:t>
      </w:r>
      <w:r>
        <w:rPr>
          <w:i/>
          <w:iCs/>
          <w:sz w:val="22"/>
          <w:szCs w:val="22"/>
        </w:rPr>
        <w:t xml:space="preserve">Nickel Futures Contract </w:t>
      </w:r>
      <w:r>
        <w:rPr>
          <w:rFonts w:hint="eastAsia"/>
          <w:i/>
          <w:iCs/>
          <w:sz w:val="22"/>
          <w:szCs w:val="22"/>
        </w:rPr>
        <w:t>Specifications</w:t>
      </w:r>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nickel</w:t>
      </w:r>
      <w:r>
        <w:rPr>
          <w:sz w:val="22"/>
          <w:szCs w:val="22"/>
        </w:rPr>
        <w:t xml:space="preserve"> </w:t>
      </w:r>
      <w:r>
        <w:rPr>
          <w:rFonts w:hint="eastAsia"/>
          <w:sz w:val="22"/>
          <w:szCs w:val="22"/>
        </w:rPr>
        <w:t>f</w:t>
      </w:r>
      <w:r>
        <w:rPr>
          <w:sz w:val="22"/>
          <w:szCs w:val="22"/>
        </w:rPr>
        <w:t>utures</w:t>
      </w:r>
      <w:r>
        <w:rPr>
          <w:rFonts w:hint="eastAsia"/>
          <w:sz w:val="22"/>
          <w:szCs w:val="22"/>
        </w:rPr>
        <w:t xml:space="preserve"> </w:t>
      </w:r>
      <w:r>
        <w:rPr>
          <w:sz w:val="22"/>
          <w:szCs w:val="22"/>
        </w:rPr>
        <w:t>at the Shanghai Futures Exchange (the “Exchange”)</w:t>
      </w:r>
      <w:r>
        <w:rPr>
          <w:rFonts w:hint="eastAsia"/>
          <w:sz w:val="22"/>
          <w:szCs w:val="22"/>
        </w:rPr>
        <w:t>.</w:t>
      </w:r>
    </w:p>
    <w:bookmarkEnd w:id="2"/>
    <w:p w14:paraId="038CB958" w14:textId="77777777" w:rsidR="006F10EB" w:rsidRDefault="006F10EB" w:rsidP="006F10EB">
      <w:pPr>
        <w:tabs>
          <w:tab w:val="left" w:pos="1204"/>
        </w:tabs>
        <w:adjustRightInd w:val="0"/>
        <w:snapToGrid w:val="0"/>
        <w:spacing w:afterLines="100" w:after="312" w:line="276" w:lineRule="auto"/>
        <w:jc w:val="left"/>
        <w:rPr>
          <w:kern w:val="0"/>
          <w:sz w:val="22"/>
          <w:szCs w:val="22"/>
        </w:rPr>
      </w:pPr>
      <w:r>
        <w:rPr>
          <w:b/>
          <w:bCs/>
          <w:sz w:val="22"/>
          <w:szCs w:val="22"/>
        </w:rPr>
        <w:t>Article 2</w:t>
      </w:r>
      <w:r>
        <w:rPr>
          <w:sz w:val="22"/>
          <w:szCs w:val="22"/>
        </w:rPr>
        <w:tab/>
        <w:t xml:space="preserve">These </w:t>
      </w:r>
      <w:r>
        <w:rPr>
          <w:i/>
          <w:sz w:val="22"/>
          <w:szCs w:val="22"/>
        </w:rPr>
        <w:t>Nickel Futures Rules</w:t>
      </w:r>
      <w:r>
        <w:rPr>
          <w:sz w:val="22"/>
          <w:szCs w:val="22"/>
        </w:rPr>
        <w:t xml:space="preserve"> shall be observed by the Exchange, Members, Clients, </w:t>
      </w:r>
      <w:r>
        <w:rPr>
          <w:rFonts w:hint="eastAsia"/>
          <w:sz w:val="22"/>
          <w:szCs w:val="22"/>
        </w:rPr>
        <w:t xml:space="preserve">Delivery Storage Facilities, Designated Inspection Agencies, </w:t>
      </w:r>
      <w:r>
        <w:rPr>
          <w:sz w:val="22"/>
          <w:szCs w:val="22"/>
        </w:rPr>
        <w:t xml:space="preserve">Futures </w:t>
      </w:r>
      <w:r>
        <w:rPr>
          <w:rFonts w:hint="eastAsia"/>
          <w:sz w:val="22"/>
          <w:szCs w:val="22"/>
        </w:rPr>
        <w:t>M</w:t>
      </w:r>
      <w:r>
        <w:rPr>
          <w:sz w:val="22"/>
          <w:szCs w:val="22"/>
        </w:rPr>
        <w:t xml:space="preserve">argin </w:t>
      </w:r>
      <w:r>
        <w:rPr>
          <w:rFonts w:hint="eastAsia"/>
          <w:sz w:val="22"/>
          <w:szCs w:val="22"/>
        </w:rPr>
        <w:t>D</w:t>
      </w:r>
      <w:r>
        <w:rPr>
          <w:sz w:val="22"/>
          <w:szCs w:val="22"/>
        </w:rPr>
        <w:t>epository</w:t>
      </w:r>
      <w:r>
        <w:rPr>
          <w:rFonts w:hint="eastAsia"/>
          <w:sz w:val="22"/>
          <w:szCs w:val="22"/>
        </w:rPr>
        <w:t xml:space="preserve"> Institutions, and other participants of the futures market</w:t>
      </w:r>
      <w:r>
        <w:rPr>
          <w:sz w:val="22"/>
          <w:szCs w:val="22"/>
        </w:rPr>
        <w:t>.</w:t>
      </w:r>
    </w:p>
    <w:p w14:paraId="48AF264E" w14:textId="77777777" w:rsidR="006F10EB" w:rsidRDefault="006F10EB" w:rsidP="006F10EB">
      <w:pPr>
        <w:widowControl/>
        <w:tabs>
          <w:tab w:val="left" w:pos="1560"/>
        </w:tabs>
        <w:adjustRightInd w:val="0"/>
        <w:snapToGrid w:val="0"/>
        <w:spacing w:afterLines="100" w:after="312" w:line="276" w:lineRule="auto"/>
        <w:jc w:val="center"/>
        <w:rPr>
          <w:b/>
          <w:sz w:val="22"/>
          <w:szCs w:val="22"/>
        </w:rPr>
      </w:pPr>
      <w:bookmarkStart w:id="3" w:name="OLE_LINK1"/>
      <w:r>
        <w:rPr>
          <w:b/>
          <w:sz w:val="22"/>
          <w:szCs w:val="22"/>
        </w:rPr>
        <w:t xml:space="preserve">CHAPTER </w:t>
      </w:r>
      <w:r>
        <w:rPr>
          <w:rFonts w:hint="eastAsia"/>
          <w:b/>
          <w:sz w:val="22"/>
          <w:szCs w:val="22"/>
        </w:rPr>
        <w:t>2</w:t>
      </w:r>
      <w:r>
        <w:rPr>
          <w:b/>
          <w:sz w:val="22"/>
          <w:szCs w:val="22"/>
        </w:rPr>
        <w:tab/>
      </w:r>
      <w:r>
        <w:rPr>
          <w:rFonts w:hint="eastAsia"/>
          <w:b/>
          <w:sz w:val="22"/>
          <w:szCs w:val="22"/>
        </w:rPr>
        <w:t>TRADING</w:t>
      </w:r>
    </w:p>
    <w:bookmarkEnd w:id="3"/>
    <w:p w14:paraId="025D672A"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nickel </w:t>
      </w:r>
      <w:r>
        <w:rPr>
          <w:rFonts w:hint="eastAsia"/>
          <w:sz w:val="22"/>
          <w:szCs w:val="22"/>
        </w:rPr>
        <w:t>futures</w:t>
      </w:r>
      <w:r>
        <w:rPr>
          <w:sz w:val="22"/>
          <w:szCs w:val="22"/>
        </w:rPr>
        <w:t xml:space="preserve"> is </w:t>
      </w:r>
      <w:r>
        <w:rPr>
          <w:rFonts w:hint="eastAsia"/>
          <w:sz w:val="22"/>
          <w:szCs w:val="22"/>
        </w:rPr>
        <w:t>one (1)</w:t>
      </w:r>
      <w:r>
        <w:rPr>
          <w:sz w:val="22"/>
          <w:szCs w:val="22"/>
        </w:rPr>
        <w:t xml:space="preserve"> </w:t>
      </w:r>
      <w:r>
        <w:rPr>
          <w:rFonts w:hint="eastAsia"/>
          <w:sz w:val="22"/>
          <w:szCs w:val="22"/>
        </w:rPr>
        <w:t xml:space="preserve">metric </w:t>
      </w:r>
      <w:r>
        <w:rPr>
          <w:sz w:val="22"/>
          <w:szCs w:val="22"/>
        </w:rPr>
        <w:t>ton per lot</w:t>
      </w:r>
      <w:r>
        <w:rPr>
          <w:rFonts w:hint="eastAsia"/>
          <w:sz w:val="22"/>
          <w:szCs w:val="22"/>
        </w:rPr>
        <w:t>.</w:t>
      </w:r>
    </w:p>
    <w:p w14:paraId="544B6E27"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4</w:t>
      </w:r>
      <w:r>
        <w:rPr>
          <w:sz w:val="22"/>
          <w:szCs w:val="22"/>
        </w:rPr>
        <w:tab/>
      </w:r>
      <w:r>
        <w:rPr>
          <w:rFonts w:hint="eastAsia"/>
          <w:sz w:val="22"/>
          <w:szCs w:val="22"/>
        </w:rPr>
        <w:t xml:space="preserve">Price quotation of a </w:t>
      </w:r>
      <w:r>
        <w:rPr>
          <w:sz w:val="22"/>
          <w:szCs w:val="22"/>
        </w:rPr>
        <w:t xml:space="preserve">nickel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14:paraId="6CCDBB57"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5</w:t>
      </w:r>
      <w:r>
        <w:rPr>
          <w:sz w:val="22"/>
          <w:szCs w:val="22"/>
        </w:rPr>
        <w:tab/>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 </w:t>
      </w:r>
      <w:r>
        <w:rPr>
          <w:sz w:val="22"/>
          <w:szCs w:val="22"/>
        </w:rPr>
        <w:t xml:space="preserve">nickel </w:t>
      </w:r>
      <w:r>
        <w:rPr>
          <w:rFonts w:hint="eastAsia"/>
          <w:sz w:val="22"/>
          <w:szCs w:val="22"/>
        </w:rPr>
        <w:t>futures</w:t>
      </w:r>
      <w:r>
        <w:rPr>
          <w:sz w:val="22"/>
          <w:szCs w:val="22"/>
        </w:rPr>
        <w:t xml:space="preserve"> contract is</w:t>
      </w:r>
      <w:r>
        <w:rPr>
          <w:rFonts w:hint="eastAsia"/>
          <w:sz w:val="22"/>
          <w:szCs w:val="22"/>
        </w:rPr>
        <w:t xml:space="preserve"> ten (</w:t>
      </w:r>
      <w:r>
        <w:rPr>
          <w:sz w:val="22"/>
          <w:szCs w:val="22"/>
        </w:rPr>
        <w:t>10</w:t>
      </w:r>
      <w:r>
        <w:rPr>
          <w:rFonts w:hint="eastAsia"/>
          <w:sz w:val="22"/>
          <w:szCs w:val="22"/>
        </w:rPr>
        <w:t>)</w:t>
      </w:r>
      <w:r>
        <w:rPr>
          <w:sz w:val="22"/>
          <w:szCs w:val="22"/>
        </w:rPr>
        <w:t xml:space="preserve"> Yuan/metric ton</w:t>
      </w:r>
      <w:r>
        <w:rPr>
          <w:rFonts w:hint="eastAsia"/>
          <w:sz w:val="22"/>
          <w:szCs w:val="22"/>
        </w:rPr>
        <w:t>.</w:t>
      </w:r>
    </w:p>
    <w:p w14:paraId="2B98DC09"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6</w:t>
      </w:r>
      <w:r>
        <w:rPr>
          <w:sz w:val="22"/>
          <w:szCs w:val="22"/>
        </w:rPr>
        <w:tab/>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nickel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14:paraId="223E209C"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a </w:t>
      </w:r>
      <w:r>
        <w:rPr>
          <w:sz w:val="22"/>
          <w:szCs w:val="22"/>
        </w:rPr>
        <w:t xml:space="preserve">nickel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14:paraId="4475C442"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8</w:t>
      </w:r>
      <w:r>
        <w:rPr>
          <w:sz w:val="22"/>
          <w:szCs w:val="22"/>
        </w:rPr>
        <w:tab/>
        <w:t>The last trading day of a nickel futures contract is the 15th day of the contract month. The last trading day will be postponed accordingly if it is a legal holiday in China, and will be subject to separate adjustment and announcement by the Exchange if it falls in the Spring Festival month or any other month specially designated by the Exchange.</w:t>
      </w:r>
    </w:p>
    <w:p w14:paraId="74F6EBAB"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9</w:t>
      </w:r>
      <w:r>
        <w:rPr>
          <w:sz w:val="22"/>
          <w:szCs w:val="22"/>
        </w:rPr>
        <w:tab/>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nickel </w:t>
      </w:r>
      <w:r>
        <w:rPr>
          <w:rFonts w:hint="eastAsia"/>
          <w:sz w:val="22"/>
          <w:szCs w:val="22"/>
        </w:rPr>
        <w:t>futures is NI.</w:t>
      </w:r>
    </w:p>
    <w:p w14:paraId="3FBBFB34"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position quota</w:t>
      </w:r>
      <w:r>
        <w:rPr>
          <w:rFonts w:hint="eastAsia"/>
          <w:sz w:val="22"/>
          <w:szCs w:val="22"/>
        </w:rPr>
        <w:t xml:space="preserve">s of a </w:t>
      </w:r>
      <w:r>
        <w:rPr>
          <w:sz w:val="22"/>
          <w:szCs w:val="22"/>
        </w:rPr>
        <w:t>nickel</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14:paraId="29A0CBF0"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11</w:t>
      </w:r>
      <w:r>
        <w:rPr>
          <w:sz w:val="22"/>
          <w:szCs w:val="22"/>
        </w:rPr>
        <w:tab/>
        <w:t>An application for a regular month hedging position quota of a nickel futures contract shall be submitted by the last trading day of the second month before the delivery month of the contract. Late applications will not be accepted by the Exchange.</w:t>
      </w:r>
    </w:p>
    <w:p w14:paraId="18BC8C0F" w14:textId="77777777" w:rsidR="006F10EB" w:rsidRDefault="006F10EB" w:rsidP="006F10EB">
      <w:pPr>
        <w:tabs>
          <w:tab w:val="left" w:pos="1204"/>
        </w:tabs>
        <w:adjustRightInd w:val="0"/>
        <w:snapToGrid w:val="0"/>
        <w:spacing w:afterLines="100" w:after="312" w:line="276" w:lineRule="auto"/>
        <w:jc w:val="left"/>
        <w:rPr>
          <w:sz w:val="22"/>
          <w:szCs w:val="22"/>
        </w:rPr>
      </w:pPr>
      <w:r>
        <w:rPr>
          <w:sz w:val="22"/>
          <w:szCs w:val="22"/>
        </w:rPr>
        <w:lastRenderedPageBreak/>
        <w:t>An application for a nearby delivery month hedging position quota of a nickel futures contract 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position quota of a nickel futures contract shall be submitted between the first trading day of the second month before the delivery month of the contract and the last trading day of the month before the delivery month. Late applications will not be accepted by the Exchange.</w:t>
      </w:r>
    </w:p>
    <w:p w14:paraId="1455D512"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12</w:t>
      </w:r>
      <w:r>
        <w:rPr>
          <w:sz w:val="22"/>
          <w:szCs w:val="22"/>
        </w:rPr>
        <w:tab/>
        <w:t xml:space="preserve">Hedging position quota of a </w:t>
      </w:r>
      <w:r>
        <w:rPr>
          <w:rFonts w:hint="eastAsia"/>
          <w:sz w:val="22"/>
          <w:szCs w:val="22"/>
        </w:rPr>
        <w:t>nickel</w:t>
      </w:r>
      <w:r>
        <w:rPr>
          <w:sz w:val="22"/>
          <w:szCs w:val="22"/>
        </w:rPr>
        <w:t xml:space="preserve"> futures contract shall no longer be used in a revolving manner starting from the first trading day of the delivery month.</w:t>
      </w:r>
    </w:p>
    <w:p w14:paraId="3BDBE12A" w14:textId="77777777" w:rsidR="006F10EB" w:rsidRDefault="006F10EB" w:rsidP="006F10EB">
      <w:pPr>
        <w:widowControl/>
        <w:tabs>
          <w:tab w:val="left" w:pos="1560"/>
        </w:tabs>
        <w:adjustRightInd w:val="0"/>
        <w:snapToGrid w:val="0"/>
        <w:spacing w:afterLines="100" w:after="312" w:line="276"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14:paraId="7D59E8FD"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 nickel futures contract </w:t>
      </w:r>
      <w:r>
        <w:rPr>
          <w:sz w:val="22"/>
          <w:szCs w:val="22"/>
        </w:rPr>
        <w:t>may be physically delivered through an Exchange of Futures for Physicals (“EFP”)</w:t>
      </w:r>
      <w:r>
        <w:rPr>
          <w:rFonts w:hint="eastAsia"/>
          <w:sz w:val="22"/>
          <w:szCs w:val="22"/>
        </w:rPr>
        <w:t xml:space="preserve"> or a delivery warehouse.</w:t>
      </w:r>
    </w:p>
    <w:p w14:paraId="7D4C1EDA" w14:textId="77777777" w:rsidR="006F10EB" w:rsidRDefault="006F10EB" w:rsidP="006F10EB">
      <w:pPr>
        <w:tabs>
          <w:tab w:val="left" w:pos="1204"/>
        </w:tabs>
        <w:adjustRightInd w:val="0"/>
        <w:snapToGrid w:val="0"/>
        <w:spacing w:afterLines="100" w:after="312" w:line="276" w:lineRule="auto"/>
        <w:jc w:val="left"/>
        <w:rPr>
          <w:sz w:val="22"/>
          <w:szCs w:val="22"/>
        </w:rPr>
      </w:pPr>
      <w:r>
        <w:rPr>
          <w:rFonts w:hint="eastAsia"/>
          <w:sz w:val="22"/>
          <w:szCs w:val="22"/>
        </w:rPr>
        <w:t>Nickel</w:t>
      </w:r>
      <w:r>
        <w:rPr>
          <w:sz w:val="22"/>
          <w:szCs w:val="22"/>
        </w:rPr>
        <w:t xml:space="preserve"> futures </w:t>
      </w:r>
      <w:r>
        <w:rPr>
          <w:rFonts w:hint="eastAsia"/>
          <w:sz w:val="22"/>
          <w:szCs w:val="22"/>
        </w:rPr>
        <w:t xml:space="preserve">adopt </w:t>
      </w:r>
      <w:r>
        <w:rPr>
          <w:sz w:val="22"/>
          <w:szCs w:val="22"/>
        </w:rPr>
        <w:t>duty-paid delivery</w:t>
      </w:r>
      <w:r>
        <w:rPr>
          <w:rFonts w:hint="eastAsia"/>
          <w:sz w:val="22"/>
          <w:szCs w:val="22"/>
        </w:rPr>
        <w:t>.</w:t>
      </w:r>
    </w:p>
    <w:p w14:paraId="6C489597"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Nickel Futures Contract</w:t>
      </w:r>
      <w:r>
        <w:rPr>
          <w:rFonts w:hint="eastAsia"/>
          <w:i/>
          <w:iCs/>
          <w:sz w:val="22"/>
          <w:szCs w:val="22"/>
        </w:rPr>
        <w:t xml:space="preserve"> Specifications</w:t>
      </w:r>
      <w:r>
        <w:rPr>
          <w:sz w:val="22"/>
          <w:szCs w:val="22"/>
        </w:rPr>
        <w:t xml:space="preserve">. </w:t>
      </w:r>
    </w:p>
    <w:p w14:paraId="379FC08F"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5</w:t>
      </w:r>
      <w:r>
        <w:rPr>
          <w:b/>
          <w:bCs/>
          <w:sz w:val="22"/>
          <w:szCs w:val="22"/>
        </w:rPr>
        <w:tab/>
      </w:r>
      <w:r>
        <w:rPr>
          <w:sz w:val="22"/>
          <w:szCs w:val="22"/>
        </w:rPr>
        <w:t xml:space="preserve">The deliverable commodity shall be of a registered brand from a manufacturer registered with the Exchange, or of a </w:t>
      </w:r>
      <w:r>
        <w:rPr>
          <w:rFonts w:hint="eastAsia"/>
          <w:sz w:val="22"/>
          <w:szCs w:val="22"/>
        </w:rPr>
        <w:t>designated</w:t>
      </w:r>
      <w:r>
        <w:rPr>
          <w:sz w:val="22"/>
          <w:szCs w:val="22"/>
        </w:rPr>
        <w:t xml:space="preserve"> brand from a manufacturer recognized by the Exchange.</w:t>
      </w:r>
    </w:p>
    <w:p w14:paraId="06AB0DC9"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16</w:t>
      </w:r>
      <w:r>
        <w:rPr>
          <w:sz w:val="22"/>
          <w:szCs w:val="22"/>
        </w:rPr>
        <w:tab/>
        <w:t>Packaging for deliverable commodity</w:t>
      </w:r>
    </w:p>
    <w:p w14:paraId="6B3C97B5" w14:textId="77777777" w:rsidR="006F10EB" w:rsidRDefault="006F10EB" w:rsidP="006F10EB">
      <w:pPr>
        <w:tabs>
          <w:tab w:val="left" w:pos="709"/>
        </w:tabs>
        <w:adjustRightInd w:val="0"/>
        <w:snapToGrid w:val="0"/>
        <w:spacing w:afterLines="100" w:after="312" w:line="276" w:lineRule="auto"/>
        <w:jc w:val="left"/>
        <w:rPr>
          <w:sz w:val="22"/>
          <w:szCs w:val="22"/>
        </w:rPr>
      </w:pPr>
      <w:r>
        <w:rPr>
          <w:sz w:val="22"/>
          <w:szCs w:val="22"/>
        </w:rPr>
        <w:t>(</w:t>
      </w:r>
      <w:proofErr w:type="spellStart"/>
      <w:r>
        <w:rPr>
          <w:sz w:val="22"/>
          <w:szCs w:val="22"/>
        </w:rPr>
        <w:t>i</w:t>
      </w:r>
      <w:proofErr w:type="spellEnd"/>
      <w:r>
        <w:rPr>
          <w:sz w:val="22"/>
          <w:szCs w:val="22"/>
        </w:rPr>
        <w:t>)</w:t>
      </w:r>
      <w:r>
        <w:rPr>
          <w:sz w:val="22"/>
          <w:szCs w:val="22"/>
        </w:rPr>
        <w:tab/>
        <w:t>Nickel cathodes (full plate)</w:t>
      </w:r>
    </w:p>
    <w:p w14:paraId="0E94E3BB" w14:textId="77777777" w:rsidR="006F10EB" w:rsidRDefault="006F10EB" w:rsidP="006F10EB">
      <w:pPr>
        <w:tabs>
          <w:tab w:val="left" w:pos="709"/>
        </w:tabs>
        <w:adjustRightInd w:val="0"/>
        <w:snapToGrid w:val="0"/>
        <w:spacing w:afterLines="100" w:after="312" w:line="276" w:lineRule="auto"/>
        <w:jc w:val="left"/>
        <w:rPr>
          <w:sz w:val="22"/>
          <w:szCs w:val="22"/>
        </w:rPr>
      </w:pPr>
      <w:r>
        <w:rPr>
          <w:sz w:val="22"/>
          <w:szCs w:val="22"/>
        </w:rPr>
        <w:t>1.</w:t>
      </w:r>
      <w:r>
        <w:rPr>
          <w:sz w:val="22"/>
          <w:szCs w:val="22"/>
        </w:rPr>
        <w:tab/>
        <w:t xml:space="preserve">Electrolytic nickel cathodes underlying each </w:t>
      </w:r>
      <w:r>
        <w:rPr>
          <w:rFonts w:hint="eastAsia"/>
          <w:sz w:val="22"/>
          <w:szCs w:val="22"/>
        </w:rPr>
        <w:t xml:space="preserve">delivery unit </w:t>
      </w:r>
      <w:r>
        <w:rPr>
          <w:sz w:val="22"/>
          <w:szCs w:val="22"/>
        </w:rPr>
        <w:t xml:space="preserve">shall consist of commodity of the same manufacturer, </w:t>
      </w:r>
      <w:r>
        <w:rPr>
          <w:rFonts w:hint="eastAsia"/>
          <w:sz w:val="22"/>
          <w:szCs w:val="22"/>
        </w:rPr>
        <w:t>grade (</w:t>
      </w:r>
      <w:r>
        <w:rPr>
          <w:sz w:val="22"/>
          <w:szCs w:val="22"/>
        </w:rPr>
        <w:t>designation</w:t>
      </w:r>
      <w:r>
        <w:rPr>
          <w:rFonts w:hint="eastAsia"/>
          <w:sz w:val="22"/>
          <w:szCs w:val="22"/>
        </w:rPr>
        <w:t>)</w:t>
      </w:r>
      <w:r>
        <w:rPr>
          <w:sz w:val="22"/>
          <w:szCs w:val="22"/>
        </w:rPr>
        <w:t xml:space="preserve">, registered or </w:t>
      </w:r>
      <w:r>
        <w:rPr>
          <w:rFonts w:hint="eastAsia"/>
          <w:sz w:val="22"/>
          <w:szCs w:val="22"/>
        </w:rPr>
        <w:t>designated</w:t>
      </w:r>
      <w:r>
        <w:rPr>
          <w:sz w:val="22"/>
          <w:szCs w:val="22"/>
        </w:rPr>
        <w:t xml:space="preserve"> brand, quality grade, shape, </w:t>
      </w:r>
      <w:r>
        <w:rPr>
          <w:rFonts w:hint="eastAsia"/>
          <w:sz w:val="22"/>
          <w:szCs w:val="22"/>
        </w:rPr>
        <w:t xml:space="preserve">and </w:t>
      </w:r>
      <w:r>
        <w:rPr>
          <w:sz w:val="22"/>
          <w:szCs w:val="22"/>
        </w:rPr>
        <w:t>secured into bundles of similar weight. The manufacturer may decide the weight of each bundle at its sole discretion, provided that the bundles can readily yield the delivery unit.</w:t>
      </w:r>
      <w:r>
        <w:rPr>
          <w:rFonts w:hint="eastAsia"/>
          <w:sz w:val="22"/>
          <w:szCs w:val="22"/>
        </w:rPr>
        <w:t xml:space="preserve"> </w:t>
      </w:r>
      <w:r>
        <w:rPr>
          <w:sz w:val="22"/>
          <w:szCs w:val="22"/>
        </w:rPr>
        <w:t>Nickel cathodes shall be tightened into bundles with rust-resistant steel straps measuring 30-32 mm × 0.9-1.0 mm in a dual-line grid (“#”) pattern, or with other methods of comparable strength using steel straps. The strapping shall be reliable and each bundle shall be marked by a prominent and secure product label.</w:t>
      </w:r>
    </w:p>
    <w:p w14:paraId="00F142D9" w14:textId="77777777" w:rsidR="006F10EB" w:rsidRDefault="006F10EB" w:rsidP="006F10EB">
      <w:pPr>
        <w:tabs>
          <w:tab w:val="left" w:pos="709"/>
        </w:tabs>
        <w:adjustRightInd w:val="0"/>
        <w:snapToGrid w:val="0"/>
        <w:spacing w:afterLines="100" w:after="312" w:line="276" w:lineRule="auto"/>
        <w:jc w:val="left"/>
        <w:rPr>
          <w:sz w:val="22"/>
          <w:szCs w:val="22"/>
        </w:rPr>
      </w:pPr>
      <w:r>
        <w:rPr>
          <w:sz w:val="22"/>
          <w:szCs w:val="22"/>
        </w:rPr>
        <w:t>2.</w:t>
      </w:r>
      <w:r>
        <w:rPr>
          <w:sz w:val="22"/>
          <w:szCs w:val="22"/>
        </w:rPr>
        <w:tab/>
        <w:t>If the commodities arrive at the warehouse with broken steel straps, severely rusted or corroded bundling materials, or loose plates, the commodities shall be repackaged and securely tightened with specified steel straps before they are delivered. Any costs incurred in the reassembly shall be borne by the owner.</w:t>
      </w:r>
    </w:p>
    <w:p w14:paraId="429E1E01" w14:textId="77777777" w:rsidR="006F10EB" w:rsidRDefault="006F10EB" w:rsidP="006F10EB">
      <w:pPr>
        <w:tabs>
          <w:tab w:val="left" w:pos="709"/>
        </w:tabs>
        <w:adjustRightInd w:val="0"/>
        <w:snapToGrid w:val="0"/>
        <w:spacing w:afterLines="100" w:after="312" w:line="276" w:lineRule="auto"/>
        <w:jc w:val="left"/>
        <w:rPr>
          <w:sz w:val="22"/>
          <w:szCs w:val="22"/>
        </w:rPr>
      </w:pPr>
      <w:r>
        <w:rPr>
          <w:sz w:val="22"/>
          <w:szCs w:val="22"/>
        </w:rPr>
        <w:t>(ii)</w:t>
      </w:r>
      <w:r>
        <w:rPr>
          <w:sz w:val="22"/>
          <w:szCs w:val="22"/>
        </w:rPr>
        <w:tab/>
        <w:t>Nickel briquettes</w:t>
      </w:r>
    </w:p>
    <w:p w14:paraId="46F1D56B" w14:textId="77777777" w:rsidR="006F10EB" w:rsidRDefault="006F10EB" w:rsidP="006F10EB">
      <w:pPr>
        <w:tabs>
          <w:tab w:val="left" w:pos="709"/>
        </w:tabs>
        <w:adjustRightInd w:val="0"/>
        <w:snapToGrid w:val="0"/>
        <w:spacing w:afterLines="100" w:after="312" w:line="276" w:lineRule="auto"/>
        <w:jc w:val="left"/>
        <w:rPr>
          <w:sz w:val="22"/>
          <w:szCs w:val="22"/>
        </w:rPr>
      </w:pPr>
      <w:r>
        <w:rPr>
          <w:sz w:val="22"/>
          <w:szCs w:val="22"/>
        </w:rPr>
        <w:t>1.</w:t>
      </w:r>
      <w:r>
        <w:rPr>
          <w:sz w:val="22"/>
          <w:szCs w:val="22"/>
        </w:rPr>
        <w:tab/>
        <w:t xml:space="preserve">Electrolytic nickel briquettes underlying each </w:t>
      </w:r>
      <w:r>
        <w:rPr>
          <w:rFonts w:hint="eastAsia"/>
          <w:sz w:val="22"/>
          <w:szCs w:val="22"/>
        </w:rPr>
        <w:t xml:space="preserve">delivery unit </w:t>
      </w:r>
      <w:r>
        <w:rPr>
          <w:sz w:val="22"/>
          <w:szCs w:val="22"/>
        </w:rPr>
        <w:t xml:space="preserve">shall consist of </w:t>
      </w:r>
      <w:r>
        <w:rPr>
          <w:sz w:val="22"/>
          <w:szCs w:val="22"/>
        </w:rPr>
        <w:lastRenderedPageBreak/>
        <w:t xml:space="preserve">commodity of the same manufacturer, </w:t>
      </w:r>
      <w:r>
        <w:rPr>
          <w:rFonts w:hint="eastAsia"/>
          <w:sz w:val="22"/>
          <w:szCs w:val="22"/>
        </w:rPr>
        <w:t>grade (</w:t>
      </w:r>
      <w:r>
        <w:rPr>
          <w:sz w:val="22"/>
          <w:szCs w:val="22"/>
        </w:rPr>
        <w:t>designation</w:t>
      </w:r>
      <w:r>
        <w:rPr>
          <w:rFonts w:hint="eastAsia"/>
          <w:sz w:val="22"/>
          <w:szCs w:val="22"/>
        </w:rPr>
        <w:t>)</w:t>
      </w:r>
      <w:r>
        <w:rPr>
          <w:sz w:val="22"/>
          <w:szCs w:val="22"/>
        </w:rPr>
        <w:t xml:space="preserve">, registered or </w:t>
      </w:r>
      <w:r>
        <w:rPr>
          <w:rFonts w:hint="eastAsia"/>
          <w:sz w:val="22"/>
          <w:szCs w:val="22"/>
        </w:rPr>
        <w:t xml:space="preserve">designated </w:t>
      </w:r>
      <w:r>
        <w:rPr>
          <w:sz w:val="22"/>
          <w:szCs w:val="22"/>
        </w:rPr>
        <w:t xml:space="preserve">brand, and quality grade. Nickel briquettes may be packaged in bags or drums. The manufacturer may decide the weight of each </w:t>
      </w:r>
      <w:r>
        <w:rPr>
          <w:rFonts w:hint="eastAsia"/>
          <w:sz w:val="22"/>
          <w:szCs w:val="22"/>
        </w:rPr>
        <w:t xml:space="preserve">bag or </w:t>
      </w:r>
      <w:r>
        <w:rPr>
          <w:sz w:val="22"/>
          <w:szCs w:val="22"/>
        </w:rPr>
        <w:t>drum at its sole discretion, provided that the</w:t>
      </w:r>
      <w:r>
        <w:rPr>
          <w:rFonts w:hint="eastAsia"/>
          <w:sz w:val="22"/>
          <w:szCs w:val="22"/>
        </w:rPr>
        <w:t xml:space="preserve"> bags or </w:t>
      </w:r>
      <w:r>
        <w:rPr>
          <w:sz w:val="22"/>
          <w:szCs w:val="22"/>
        </w:rPr>
        <w:t>drum</w:t>
      </w:r>
      <w:r>
        <w:rPr>
          <w:rFonts w:hint="eastAsia"/>
          <w:sz w:val="22"/>
          <w:szCs w:val="22"/>
        </w:rPr>
        <w:t>s</w:t>
      </w:r>
      <w:r>
        <w:rPr>
          <w:sz w:val="22"/>
          <w:szCs w:val="22"/>
        </w:rPr>
        <w:t xml:space="preserve"> can readily yield the delivery unit.</w:t>
      </w:r>
      <w:r>
        <w:rPr>
          <w:rFonts w:hint="eastAsia"/>
          <w:sz w:val="22"/>
          <w:szCs w:val="22"/>
        </w:rPr>
        <w:t xml:space="preserve"> </w:t>
      </w:r>
      <w:r>
        <w:rPr>
          <w:sz w:val="22"/>
          <w:szCs w:val="22"/>
        </w:rPr>
        <w:t xml:space="preserve">Each bag or drum </w:t>
      </w:r>
      <w:r>
        <w:rPr>
          <w:rFonts w:hint="eastAsia"/>
          <w:sz w:val="22"/>
          <w:szCs w:val="22"/>
        </w:rPr>
        <w:t>s</w:t>
      </w:r>
      <w:r>
        <w:rPr>
          <w:sz w:val="22"/>
          <w:szCs w:val="22"/>
        </w:rPr>
        <w:t>hall be marked by a prominent and secure product label.</w:t>
      </w:r>
    </w:p>
    <w:p w14:paraId="469552FF" w14:textId="77777777" w:rsidR="006F10EB" w:rsidRDefault="006F10EB" w:rsidP="006F10EB">
      <w:pPr>
        <w:tabs>
          <w:tab w:val="left" w:pos="709"/>
        </w:tabs>
        <w:adjustRightInd w:val="0"/>
        <w:snapToGrid w:val="0"/>
        <w:spacing w:afterLines="100" w:after="312" w:line="276" w:lineRule="auto"/>
        <w:jc w:val="left"/>
        <w:rPr>
          <w:sz w:val="22"/>
          <w:szCs w:val="22"/>
        </w:rPr>
      </w:pPr>
      <w:r>
        <w:rPr>
          <w:sz w:val="22"/>
          <w:szCs w:val="22"/>
        </w:rPr>
        <w:t>2.</w:t>
      </w:r>
      <w:r>
        <w:rPr>
          <w:sz w:val="22"/>
          <w:szCs w:val="22"/>
        </w:rPr>
        <w:tab/>
        <w:t>If the commodities arrive at the warehouse with broken packaging, the commodities shall be repackaged with any costs incurred borne by the owner.</w:t>
      </w:r>
    </w:p>
    <w:p w14:paraId="699DD468" w14:textId="77777777" w:rsidR="006F10EB" w:rsidRDefault="006F10EB" w:rsidP="006F10EB">
      <w:pPr>
        <w:tabs>
          <w:tab w:val="left" w:pos="709"/>
        </w:tabs>
        <w:adjustRightInd w:val="0"/>
        <w:snapToGrid w:val="0"/>
        <w:spacing w:afterLines="100" w:after="312" w:line="276" w:lineRule="auto"/>
        <w:jc w:val="left"/>
        <w:rPr>
          <w:sz w:val="22"/>
          <w:szCs w:val="22"/>
        </w:rPr>
      </w:pPr>
      <w:r>
        <w:rPr>
          <w:sz w:val="22"/>
          <w:szCs w:val="22"/>
        </w:rPr>
        <w:t>(iii)</w:t>
      </w:r>
      <w:r>
        <w:rPr>
          <w:sz w:val="22"/>
          <w:szCs w:val="22"/>
        </w:rPr>
        <w:tab/>
        <w:t>Others</w:t>
      </w:r>
    </w:p>
    <w:p w14:paraId="66EA7677" w14:textId="77777777" w:rsidR="006F10EB" w:rsidRDefault="006F10EB" w:rsidP="006F10EB">
      <w:pPr>
        <w:tabs>
          <w:tab w:val="left" w:pos="1204"/>
        </w:tabs>
        <w:adjustRightInd w:val="0"/>
        <w:snapToGrid w:val="0"/>
        <w:spacing w:afterLines="100" w:after="312" w:line="276" w:lineRule="auto"/>
        <w:jc w:val="left"/>
        <w:rPr>
          <w:sz w:val="22"/>
          <w:szCs w:val="22"/>
        </w:rPr>
      </w:pPr>
      <w:r>
        <w:rPr>
          <w:sz w:val="22"/>
          <w:szCs w:val="22"/>
        </w:rPr>
        <w:t>To be separately announced by the Exchange.</w:t>
      </w:r>
    </w:p>
    <w:p w14:paraId="4BCFA785"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7</w:t>
      </w:r>
      <w:r>
        <w:rPr>
          <w:b/>
          <w:bCs/>
          <w:sz w:val="22"/>
          <w:szCs w:val="22"/>
        </w:rPr>
        <w:tab/>
      </w:r>
      <w:r>
        <w:rPr>
          <w:sz w:val="22"/>
          <w:szCs w:val="22"/>
        </w:rPr>
        <w:t>Required documentation for deliverable commodity</w:t>
      </w:r>
    </w:p>
    <w:p w14:paraId="785A6F8E" w14:textId="77777777" w:rsidR="006F10EB" w:rsidRDefault="006F10EB" w:rsidP="006F10EB">
      <w:pPr>
        <w:tabs>
          <w:tab w:val="left" w:pos="709"/>
        </w:tabs>
        <w:adjustRightInd w:val="0"/>
        <w:snapToGrid w:val="0"/>
        <w:spacing w:afterLines="100" w:after="312" w:line="276" w:lineRule="auto"/>
        <w:jc w:val="left"/>
        <w:rPr>
          <w:sz w:val="22"/>
          <w:szCs w:val="22"/>
        </w:rPr>
      </w:pPr>
      <w:r>
        <w:rPr>
          <w:sz w:val="22"/>
          <w:szCs w:val="22"/>
        </w:rPr>
        <w:t>(</w:t>
      </w:r>
      <w:proofErr w:type="spellStart"/>
      <w:r>
        <w:rPr>
          <w:sz w:val="22"/>
          <w:szCs w:val="22"/>
        </w:rPr>
        <w:t>i</w:t>
      </w:r>
      <w:proofErr w:type="spellEnd"/>
      <w:r>
        <w:rPr>
          <w:sz w:val="22"/>
          <w:szCs w:val="22"/>
        </w:rPr>
        <w:t>)</w:t>
      </w:r>
      <w:r>
        <w:rPr>
          <w:sz w:val="22"/>
          <w:szCs w:val="22"/>
        </w:rPr>
        <w:tab/>
        <w:t>Domestic commodity: the certificate of quality issued by the registered manufacturer.</w:t>
      </w:r>
    </w:p>
    <w:p w14:paraId="40769D69" w14:textId="77777777" w:rsidR="006F10EB" w:rsidRDefault="006F10EB" w:rsidP="006F10EB">
      <w:pPr>
        <w:tabs>
          <w:tab w:val="left" w:pos="709"/>
        </w:tabs>
        <w:adjustRightInd w:val="0"/>
        <w:snapToGrid w:val="0"/>
        <w:spacing w:afterLines="100" w:after="312" w:line="276" w:lineRule="auto"/>
        <w:jc w:val="left"/>
        <w:rPr>
          <w:sz w:val="22"/>
          <w:szCs w:val="22"/>
        </w:rPr>
      </w:pPr>
      <w:r>
        <w:rPr>
          <w:sz w:val="22"/>
          <w:szCs w:val="22"/>
        </w:rPr>
        <w:t>(ii)</w:t>
      </w:r>
      <w:r>
        <w:rPr>
          <w:sz w:val="22"/>
          <w:szCs w:val="22"/>
        </w:rPr>
        <w:tab/>
        <w:t>Imported commodity: the certificate of quality, certificate of origin, certificate of commodity inspection, certificate of payment of import tariff, and certificate of VAT withholding by the customs. These documents are deemed valid only upon being verified by the Exchange.</w:t>
      </w:r>
    </w:p>
    <w:p w14:paraId="2181A4AE" w14:textId="77777777" w:rsidR="006F10EB" w:rsidRDefault="006F10EB" w:rsidP="006F10EB">
      <w:pPr>
        <w:tabs>
          <w:tab w:val="left" w:pos="1204"/>
        </w:tabs>
        <w:adjustRightInd w:val="0"/>
        <w:snapToGrid w:val="0"/>
        <w:spacing w:afterLines="100" w:after="312" w:line="276" w:lineRule="auto"/>
        <w:jc w:val="left"/>
        <w:rPr>
          <w:sz w:val="22"/>
          <w:szCs w:val="22"/>
        </w:rPr>
      </w:pPr>
      <w:r>
        <w:rPr>
          <w:sz w:val="22"/>
          <w:szCs w:val="22"/>
        </w:rPr>
        <w:t>If there has been any change to national policies on taxation, commodity inspection, or other relevant matters, the revised policies shall prevail. Under such circumstance, the Exchange will separately announce the revised requirements for the documentation</w:t>
      </w:r>
      <w:r>
        <w:rPr>
          <w:rFonts w:hint="eastAsia"/>
          <w:sz w:val="22"/>
          <w:szCs w:val="22"/>
        </w:rPr>
        <w:t xml:space="preserve"> of </w:t>
      </w:r>
      <w:r>
        <w:rPr>
          <w:sz w:val="22"/>
          <w:szCs w:val="22"/>
        </w:rPr>
        <w:t>relevant imported products.</w:t>
      </w:r>
    </w:p>
    <w:p w14:paraId="05977165"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18</w:t>
      </w:r>
      <w:r>
        <w:rPr>
          <w:b/>
          <w:bCs/>
          <w:sz w:val="22"/>
          <w:szCs w:val="22"/>
        </w:rPr>
        <w:tab/>
      </w:r>
      <w:r>
        <w:rPr>
          <w:sz w:val="22"/>
          <w:szCs w:val="22"/>
        </w:rPr>
        <w:t xml:space="preserve">Tolerance and pound difference: The underlying </w:t>
      </w:r>
      <w:r>
        <w:rPr>
          <w:rFonts w:hint="eastAsia"/>
        </w:rPr>
        <w:t>e</w:t>
      </w:r>
      <w:r>
        <w:rPr>
          <w:sz w:val="22"/>
          <w:szCs w:val="22"/>
        </w:rPr>
        <w:t xml:space="preserve">lectrolytic nickel for each standard warrant weighs </w:t>
      </w:r>
      <w:r>
        <w:rPr>
          <w:rFonts w:hint="eastAsia"/>
          <w:sz w:val="22"/>
          <w:szCs w:val="22"/>
        </w:rPr>
        <w:t>six</w:t>
      </w:r>
      <w:r>
        <w:rPr>
          <w:sz w:val="22"/>
          <w:szCs w:val="22"/>
        </w:rPr>
        <w:t xml:space="preserve"> (</w:t>
      </w:r>
      <w:r>
        <w:rPr>
          <w:rFonts w:hint="eastAsia"/>
          <w:sz w:val="22"/>
          <w:szCs w:val="22"/>
        </w:rPr>
        <w:t>6</w:t>
      </w:r>
      <w:r>
        <w:rPr>
          <w:sz w:val="22"/>
          <w:szCs w:val="22"/>
        </w:rPr>
        <w:t xml:space="preserve">) metric tons. Difference between standard warrant weight and actual delivery weight shall not exceed plus or minus </w:t>
      </w:r>
      <w:r>
        <w:rPr>
          <w:rFonts w:hint="eastAsia"/>
          <w:sz w:val="22"/>
          <w:szCs w:val="22"/>
        </w:rPr>
        <w:t>three</w:t>
      </w:r>
      <w:r>
        <w:rPr>
          <w:sz w:val="22"/>
          <w:szCs w:val="22"/>
        </w:rPr>
        <w:t xml:space="preserve"> percent (±</w:t>
      </w:r>
      <w:r>
        <w:rPr>
          <w:rFonts w:hint="eastAsia"/>
          <w:sz w:val="22"/>
          <w:szCs w:val="22"/>
        </w:rPr>
        <w:t>3</w:t>
      </w:r>
      <w:r>
        <w:rPr>
          <w:sz w:val="22"/>
          <w:szCs w:val="22"/>
        </w:rPr>
        <w:t>%). Pound difference shall not exceed plus or minus one-tenth of one percent (±0.1%).</w:t>
      </w:r>
    </w:p>
    <w:p w14:paraId="1DE5DC6D"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19</w:t>
      </w:r>
      <w:r>
        <w:rPr>
          <w:b/>
          <w:bCs/>
          <w:sz w:val="22"/>
          <w:szCs w:val="22"/>
        </w:rPr>
        <w:tab/>
      </w:r>
      <w:r>
        <w:rPr>
          <w:sz w:val="22"/>
          <w:szCs w:val="22"/>
        </w:rPr>
        <w:t>Delivery unit</w:t>
      </w:r>
      <w:r>
        <w:rPr>
          <w:rFonts w:hint="eastAsia"/>
          <w:sz w:val="22"/>
          <w:szCs w:val="22"/>
        </w:rPr>
        <w:t xml:space="preserve"> of a nickel futures contract is</w:t>
      </w:r>
      <w:r>
        <w:rPr>
          <w:sz w:val="22"/>
          <w:szCs w:val="22"/>
        </w:rPr>
        <w:t xml:space="preserve"> </w:t>
      </w:r>
      <w:r>
        <w:rPr>
          <w:rFonts w:hint="eastAsia"/>
          <w:sz w:val="22"/>
          <w:szCs w:val="22"/>
        </w:rPr>
        <w:t>six</w:t>
      </w:r>
      <w:r>
        <w:rPr>
          <w:sz w:val="22"/>
          <w:szCs w:val="22"/>
        </w:rPr>
        <w:t xml:space="preserve"> (</w:t>
      </w:r>
      <w:r>
        <w:rPr>
          <w:rFonts w:hint="eastAsia"/>
          <w:sz w:val="22"/>
          <w:szCs w:val="22"/>
        </w:rPr>
        <w:t>6</w:t>
      </w:r>
      <w:r>
        <w:rPr>
          <w:sz w:val="22"/>
          <w:szCs w:val="22"/>
        </w:rPr>
        <w:t>) metric tons.</w:t>
      </w:r>
    </w:p>
    <w:p w14:paraId="164605EF"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rFonts w:hint="eastAsia"/>
          <w:sz w:val="22"/>
          <w:szCs w:val="22"/>
        </w:rPr>
        <w:t>D</w:t>
      </w:r>
      <w:r>
        <w:rPr>
          <w:sz w:val="22"/>
          <w:szCs w:val="22"/>
        </w:rPr>
        <w:t xml:space="preserve">elivery period </w:t>
      </w:r>
      <w:r>
        <w:rPr>
          <w:rFonts w:hint="eastAsia"/>
          <w:sz w:val="22"/>
          <w:szCs w:val="22"/>
        </w:rPr>
        <w:t>of a nickel futures contract is</w:t>
      </w:r>
      <w:r>
        <w:rPr>
          <w:sz w:val="22"/>
          <w:szCs w:val="22"/>
        </w:rPr>
        <w:t xml:space="preserve"> the two (2) consecutive business days immediately following the last trading day of the contract.</w:t>
      </w:r>
    </w:p>
    <w:p w14:paraId="175E6E7B"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sz w:val="22"/>
          <w:szCs w:val="22"/>
        </w:rPr>
        <w:t xml:space="preserve">The benchmark price for delivery settlement of a </w:t>
      </w:r>
      <w:r>
        <w:rPr>
          <w:rFonts w:hint="eastAsia"/>
          <w:sz w:val="22"/>
          <w:szCs w:val="22"/>
        </w:rPr>
        <w:t xml:space="preserve">nickel </w:t>
      </w:r>
      <w:r>
        <w:rPr>
          <w:sz w:val="22"/>
          <w:szCs w:val="22"/>
        </w:rPr>
        <w:t>futures contract is its settlement price on the last trading day</w:t>
      </w:r>
      <w:r>
        <w:rPr>
          <w:rFonts w:hint="eastAsia"/>
          <w:sz w:val="22"/>
          <w:szCs w:val="22"/>
        </w:rPr>
        <w:t>.</w:t>
      </w:r>
    </w:p>
    <w:p w14:paraId="1CC11132"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Delivery venue: the delivery warehouse</w:t>
      </w:r>
      <w:r>
        <w:rPr>
          <w:rFonts w:hint="eastAsia"/>
          <w:sz w:val="22"/>
          <w:szCs w:val="22"/>
        </w:rPr>
        <w:t>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r>
        <w:rPr>
          <w:rFonts w:hint="eastAsia"/>
          <w:sz w:val="22"/>
          <w:szCs w:val="22"/>
        </w:rPr>
        <w:t xml:space="preserve"> </w:t>
      </w:r>
      <w:r>
        <w:rPr>
          <w:sz w:val="22"/>
          <w:szCs w:val="22"/>
        </w:rPr>
        <w:t>The electrolytic nickel intended for delivery must be stored indoors.</w:t>
      </w:r>
    </w:p>
    <w:p w14:paraId="35BD5A98"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 xml:space="preserve">After the physical delivery is completed, if the buyer has any dispute over the quality or quantity of the commodity, the buyer shall submit a written request to the Exchange for dispute resolution before the 15th day (including that day) of the month following the </w:t>
      </w:r>
      <w:r>
        <w:rPr>
          <w:sz w:val="22"/>
          <w:szCs w:val="22"/>
        </w:rPr>
        <w:lastRenderedPageBreak/>
        <w:t xml:space="preserve">delivery month (in case that day falls on a public holiday, the date shall be extended to the first business day after the holiday), together with the quality assay report issued by a Designated Inspection Agency. If no submission is received within the prescribed time, the </w:t>
      </w:r>
      <w:r>
        <w:rPr>
          <w:rFonts w:hint="eastAsia"/>
          <w:sz w:val="22"/>
          <w:szCs w:val="22"/>
        </w:rPr>
        <w:t xml:space="preserve">buyer </w:t>
      </w:r>
      <w:r>
        <w:rPr>
          <w:sz w:val="22"/>
          <w:szCs w:val="22"/>
        </w:rPr>
        <w:t>shall be deemed to have no disputes over</w:t>
      </w:r>
      <w:r>
        <w:rPr>
          <w:rFonts w:hint="eastAsia"/>
          <w:sz w:val="22"/>
          <w:szCs w:val="22"/>
        </w:rPr>
        <w:t xml:space="preserve"> the</w:t>
      </w:r>
      <w:r>
        <w:rPr>
          <w:sz w:val="22"/>
          <w:szCs w:val="22"/>
        </w:rPr>
        <w:t xml:space="preserve"> commodity, and the Exchange will no longer accept</w:t>
      </w:r>
      <w:r>
        <w:rPr>
          <w:rFonts w:hint="eastAsia"/>
          <w:sz w:val="22"/>
          <w:szCs w:val="22"/>
        </w:rPr>
        <w:t xml:space="preserve"> its relevant</w:t>
      </w:r>
      <w:r>
        <w:rPr>
          <w:sz w:val="22"/>
          <w:szCs w:val="22"/>
        </w:rPr>
        <w:t xml:space="preserve"> </w:t>
      </w:r>
      <w:r>
        <w:rPr>
          <w:rFonts w:hint="eastAsia"/>
          <w:sz w:val="22"/>
          <w:szCs w:val="22"/>
        </w:rPr>
        <w:t xml:space="preserve">request </w:t>
      </w:r>
      <w:r>
        <w:rPr>
          <w:sz w:val="22"/>
          <w:szCs w:val="22"/>
        </w:rPr>
        <w:t>for dispute resolution.</w:t>
      </w:r>
    </w:p>
    <w:p w14:paraId="3C49523C"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24</w:t>
      </w:r>
      <w:r>
        <w:rPr>
          <w:b/>
          <w:bCs/>
          <w:sz w:val="22"/>
          <w:szCs w:val="22"/>
        </w:rPr>
        <w:tab/>
      </w:r>
      <w:r>
        <w:rPr>
          <w:sz w:val="22"/>
          <w:szCs w:val="22"/>
        </w:rPr>
        <w:t xml:space="preserve">If standard warrants are used for the EFPs </w:t>
      </w:r>
      <w:r>
        <w:rPr>
          <w:rFonts w:hint="eastAsia"/>
          <w:sz w:val="22"/>
          <w:szCs w:val="22"/>
        </w:rPr>
        <w:t xml:space="preserve">of a nickel futures contract </w:t>
      </w:r>
      <w:r>
        <w:rPr>
          <w:sz w:val="22"/>
          <w:szCs w:val="22"/>
        </w:rPr>
        <w:t>and the EFPs are settled via the Exchange</w:t>
      </w:r>
      <w:r>
        <w:rPr>
          <w:rFonts w:hint="eastAsia"/>
          <w:sz w:val="22"/>
          <w:szCs w:val="22"/>
        </w:rPr>
        <w:t>, and i</w:t>
      </w:r>
      <w:r>
        <w:rPr>
          <w:sz w:val="22"/>
          <w:szCs w:val="22"/>
        </w:rPr>
        <w:t>f a dispute over the quality of the commodities arises</w:t>
      </w:r>
      <w:r>
        <w:rPr>
          <w:rFonts w:hint="eastAsia"/>
          <w:sz w:val="22"/>
          <w:szCs w:val="22"/>
        </w:rPr>
        <w:t xml:space="preserve">, </w:t>
      </w:r>
      <w:r>
        <w:rPr>
          <w:sz w:val="22"/>
          <w:szCs w:val="22"/>
        </w:rPr>
        <w:t>the buyer shall submit a request for dispute resolution within twenty-five (25) days after the payment and the exchange of standard warrants, together with the quality assay report issued by a Designated Inspection Agency.</w:t>
      </w:r>
    </w:p>
    <w:p w14:paraId="63E4998B" w14:textId="77777777" w:rsidR="006F10EB" w:rsidRDefault="006F10EB" w:rsidP="006F10EB">
      <w:pPr>
        <w:widowControl/>
        <w:tabs>
          <w:tab w:val="left" w:pos="1560"/>
        </w:tabs>
        <w:adjustRightInd w:val="0"/>
        <w:snapToGrid w:val="0"/>
        <w:spacing w:afterLines="100" w:after="312" w:line="276"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14:paraId="53E349DA"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25</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 nickel futures contract is 5%.</w:t>
      </w:r>
    </w:p>
    <w:p w14:paraId="519520A9"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Article 2</w:t>
      </w:r>
      <w:r>
        <w:rPr>
          <w:rFonts w:hint="eastAsia"/>
          <w:b/>
          <w:bCs/>
          <w:sz w:val="22"/>
          <w:szCs w:val="22"/>
        </w:rPr>
        <w:t>6</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nickel futures are as follows:</w:t>
      </w:r>
    </w:p>
    <w:tbl>
      <w:tblPr>
        <w:tblW w:w="5000" w:type="pct"/>
        <w:tblCellMar>
          <w:top w:w="61" w:type="dxa"/>
          <w:right w:w="24" w:type="dxa"/>
        </w:tblCellMar>
        <w:tblLook w:val="04A0" w:firstRow="1" w:lastRow="0" w:firstColumn="1" w:lastColumn="0" w:noHBand="0" w:noVBand="1"/>
      </w:tblPr>
      <w:tblGrid>
        <w:gridCol w:w="5719"/>
        <w:gridCol w:w="2577"/>
      </w:tblGrid>
      <w:tr w:rsidR="006F10EB" w14:paraId="735F1302" w14:textId="77777777" w:rsidTr="00C36022">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6112E5E2" w14:textId="77777777" w:rsidR="006F10EB" w:rsidRDefault="006F10EB" w:rsidP="00C36022">
            <w:pPr>
              <w:tabs>
                <w:tab w:val="left" w:pos="1204"/>
              </w:tabs>
              <w:adjustRightInd w:val="0"/>
              <w:snapToGrid w:val="0"/>
              <w:spacing w:afterLines="100" w:after="312" w:line="276" w:lineRule="auto"/>
              <w:jc w:val="left"/>
              <w:rPr>
                <w:b/>
                <w:sz w:val="22"/>
                <w:szCs w:val="22"/>
              </w:rPr>
            </w:pPr>
            <w:r>
              <w:rPr>
                <w:b/>
                <w:sz w:val="22"/>
                <w:szCs w:val="22"/>
              </w:rPr>
              <w:t>Stage of Trading</w:t>
            </w:r>
          </w:p>
        </w:tc>
        <w:tc>
          <w:tcPr>
            <w:tcW w:w="1553" w:type="pct"/>
            <w:tcBorders>
              <w:top w:val="single" w:sz="4" w:space="0" w:color="000000"/>
              <w:left w:val="single" w:sz="4" w:space="0" w:color="000000"/>
              <w:bottom w:val="single" w:sz="4" w:space="0" w:color="000000"/>
              <w:right w:val="single" w:sz="4" w:space="0" w:color="000000"/>
            </w:tcBorders>
            <w:vAlign w:val="center"/>
          </w:tcPr>
          <w:p w14:paraId="2D09FDEC" w14:textId="77777777" w:rsidR="006F10EB" w:rsidRDefault="006F10EB" w:rsidP="00C36022">
            <w:pPr>
              <w:tabs>
                <w:tab w:val="left" w:pos="1204"/>
              </w:tabs>
              <w:adjustRightInd w:val="0"/>
              <w:snapToGrid w:val="0"/>
              <w:spacing w:afterLines="100" w:after="312" w:line="276" w:lineRule="auto"/>
              <w:jc w:val="left"/>
              <w:rPr>
                <w:b/>
                <w:sz w:val="22"/>
                <w:szCs w:val="22"/>
              </w:rPr>
            </w:pPr>
            <w:r>
              <w:rPr>
                <w:b/>
                <w:sz w:val="22"/>
                <w:szCs w:val="22"/>
              </w:rPr>
              <w:t>Trading Margin</w:t>
            </w:r>
          </w:p>
        </w:tc>
      </w:tr>
      <w:tr w:rsidR="006F10EB" w14:paraId="50B2E1A4" w14:textId="77777777" w:rsidTr="00C36022">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2169307C" w14:textId="77777777" w:rsidR="006F10EB" w:rsidRDefault="006F10EB" w:rsidP="00C36022">
            <w:pPr>
              <w:tabs>
                <w:tab w:val="left" w:pos="1204"/>
              </w:tabs>
              <w:adjustRightInd w:val="0"/>
              <w:snapToGrid w:val="0"/>
              <w:spacing w:afterLines="100" w:after="312" w:line="276" w:lineRule="auto"/>
              <w:jc w:val="left"/>
              <w:rPr>
                <w:sz w:val="22"/>
                <w:szCs w:val="22"/>
              </w:rPr>
            </w:pPr>
            <w:r>
              <w:rPr>
                <w:sz w:val="22"/>
                <w:szCs w:val="22"/>
              </w:rPr>
              <w:t>As of listing</w:t>
            </w:r>
          </w:p>
        </w:tc>
        <w:tc>
          <w:tcPr>
            <w:tcW w:w="1553" w:type="pct"/>
            <w:tcBorders>
              <w:top w:val="single" w:sz="4" w:space="0" w:color="000000"/>
              <w:left w:val="single" w:sz="4" w:space="0" w:color="000000"/>
              <w:bottom w:val="single" w:sz="4" w:space="0" w:color="000000"/>
              <w:right w:val="single" w:sz="4" w:space="0" w:color="000000"/>
            </w:tcBorders>
            <w:vAlign w:val="center"/>
          </w:tcPr>
          <w:p w14:paraId="5B75C928" w14:textId="77777777" w:rsidR="006F10EB" w:rsidRDefault="006F10EB" w:rsidP="00C36022">
            <w:pPr>
              <w:tabs>
                <w:tab w:val="left" w:pos="1204"/>
              </w:tabs>
              <w:adjustRightInd w:val="0"/>
              <w:snapToGrid w:val="0"/>
              <w:spacing w:afterLines="100" w:after="312" w:line="276" w:lineRule="auto"/>
              <w:jc w:val="left"/>
              <w:rPr>
                <w:sz w:val="22"/>
                <w:szCs w:val="22"/>
              </w:rPr>
            </w:pPr>
            <w:r>
              <w:rPr>
                <w:sz w:val="22"/>
                <w:szCs w:val="22"/>
              </w:rPr>
              <w:t>5%</w:t>
            </w:r>
          </w:p>
        </w:tc>
      </w:tr>
      <w:tr w:rsidR="006F10EB" w14:paraId="4BE8A22A" w14:textId="77777777" w:rsidTr="00C36022">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79872FCF" w14:textId="77777777" w:rsidR="006F10EB" w:rsidRDefault="006F10EB" w:rsidP="00C36022">
            <w:pPr>
              <w:tabs>
                <w:tab w:val="left" w:pos="1204"/>
              </w:tabs>
              <w:adjustRightInd w:val="0"/>
              <w:snapToGrid w:val="0"/>
              <w:spacing w:afterLines="100" w:after="312" w:line="276" w:lineRule="auto"/>
              <w:jc w:val="left"/>
              <w:rPr>
                <w:sz w:val="22"/>
                <w:szCs w:val="22"/>
              </w:rPr>
            </w:pPr>
            <w:r>
              <w:rPr>
                <w:sz w:val="22"/>
                <w:szCs w:val="22"/>
              </w:rPr>
              <w:t>As of the first trading day of the month prior to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14:paraId="5242133B" w14:textId="77777777" w:rsidR="006F10EB" w:rsidRDefault="006F10EB" w:rsidP="00C36022">
            <w:pPr>
              <w:tabs>
                <w:tab w:val="left" w:pos="1204"/>
              </w:tabs>
              <w:adjustRightInd w:val="0"/>
              <w:snapToGrid w:val="0"/>
              <w:spacing w:afterLines="100" w:after="312" w:line="276" w:lineRule="auto"/>
              <w:jc w:val="left"/>
              <w:rPr>
                <w:sz w:val="22"/>
                <w:szCs w:val="22"/>
              </w:rPr>
            </w:pPr>
            <w:r>
              <w:rPr>
                <w:sz w:val="22"/>
                <w:szCs w:val="22"/>
              </w:rPr>
              <w:t>10%</w:t>
            </w:r>
          </w:p>
        </w:tc>
      </w:tr>
      <w:tr w:rsidR="006F10EB" w14:paraId="05BA3FBD" w14:textId="77777777" w:rsidTr="00C36022">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36A1F608" w14:textId="77777777" w:rsidR="006F10EB" w:rsidRDefault="006F10EB" w:rsidP="00C36022">
            <w:pPr>
              <w:tabs>
                <w:tab w:val="left" w:pos="1204"/>
              </w:tabs>
              <w:adjustRightInd w:val="0"/>
              <w:snapToGrid w:val="0"/>
              <w:spacing w:afterLines="100" w:after="312" w:line="276" w:lineRule="auto"/>
              <w:jc w:val="left"/>
              <w:rPr>
                <w:sz w:val="22"/>
                <w:szCs w:val="22"/>
              </w:rPr>
            </w:pPr>
            <w:r>
              <w:rPr>
                <w:sz w:val="22"/>
                <w:szCs w:val="22"/>
              </w:rPr>
              <w:t>As of the first trading day of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14:paraId="7E686366" w14:textId="77777777" w:rsidR="006F10EB" w:rsidRDefault="006F10EB" w:rsidP="00C36022">
            <w:pPr>
              <w:tabs>
                <w:tab w:val="left" w:pos="1204"/>
              </w:tabs>
              <w:adjustRightInd w:val="0"/>
              <w:snapToGrid w:val="0"/>
              <w:spacing w:afterLines="100" w:after="312" w:line="276" w:lineRule="auto"/>
              <w:jc w:val="left"/>
              <w:rPr>
                <w:sz w:val="22"/>
                <w:szCs w:val="22"/>
              </w:rPr>
            </w:pPr>
            <w:r>
              <w:rPr>
                <w:sz w:val="22"/>
                <w:szCs w:val="22"/>
              </w:rPr>
              <w:t>15%</w:t>
            </w:r>
          </w:p>
        </w:tc>
      </w:tr>
      <w:tr w:rsidR="006F10EB" w14:paraId="6C53DB78" w14:textId="77777777" w:rsidTr="00C36022">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552BD68D" w14:textId="77777777" w:rsidR="006F10EB" w:rsidRDefault="006F10EB" w:rsidP="00C36022">
            <w:pPr>
              <w:tabs>
                <w:tab w:val="left" w:pos="1204"/>
              </w:tabs>
              <w:adjustRightInd w:val="0"/>
              <w:snapToGrid w:val="0"/>
              <w:spacing w:afterLines="100" w:after="312" w:line="276" w:lineRule="auto"/>
              <w:jc w:val="left"/>
              <w:rPr>
                <w:sz w:val="22"/>
                <w:szCs w:val="22"/>
              </w:rPr>
            </w:pPr>
            <w:r>
              <w:rPr>
                <w:sz w:val="22"/>
                <w:szCs w:val="22"/>
              </w:rPr>
              <w:t>As of the second trading day prior to the last trading day</w:t>
            </w:r>
          </w:p>
        </w:tc>
        <w:tc>
          <w:tcPr>
            <w:tcW w:w="1553" w:type="pct"/>
            <w:tcBorders>
              <w:top w:val="single" w:sz="4" w:space="0" w:color="000000"/>
              <w:left w:val="single" w:sz="4" w:space="0" w:color="000000"/>
              <w:bottom w:val="single" w:sz="4" w:space="0" w:color="000000"/>
              <w:right w:val="single" w:sz="4" w:space="0" w:color="000000"/>
            </w:tcBorders>
            <w:vAlign w:val="center"/>
          </w:tcPr>
          <w:p w14:paraId="0DD2D576" w14:textId="77777777" w:rsidR="006F10EB" w:rsidRDefault="006F10EB" w:rsidP="00C36022">
            <w:pPr>
              <w:tabs>
                <w:tab w:val="left" w:pos="1204"/>
              </w:tabs>
              <w:adjustRightInd w:val="0"/>
              <w:snapToGrid w:val="0"/>
              <w:spacing w:afterLines="100" w:after="312" w:line="276" w:lineRule="auto"/>
              <w:jc w:val="left"/>
              <w:rPr>
                <w:sz w:val="22"/>
                <w:szCs w:val="22"/>
              </w:rPr>
            </w:pPr>
            <w:r>
              <w:rPr>
                <w:sz w:val="22"/>
                <w:szCs w:val="22"/>
              </w:rPr>
              <w:t>20%</w:t>
            </w:r>
          </w:p>
        </w:tc>
      </w:tr>
    </w:tbl>
    <w:p w14:paraId="68176EFF" w14:textId="77777777" w:rsidR="006F10EB" w:rsidRDefault="006F10EB" w:rsidP="006F10EB">
      <w:pPr>
        <w:tabs>
          <w:tab w:val="left" w:pos="1204"/>
        </w:tabs>
        <w:adjustRightInd w:val="0"/>
        <w:snapToGrid w:val="0"/>
        <w:spacing w:afterLines="100" w:after="312" w:line="276" w:lineRule="auto"/>
        <w:jc w:val="left"/>
        <w:rPr>
          <w:b/>
          <w:bCs/>
          <w:sz w:val="22"/>
          <w:szCs w:val="22"/>
        </w:rPr>
      </w:pPr>
    </w:p>
    <w:p w14:paraId="660A15C2" w14:textId="77777777" w:rsidR="006F10EB" w:rsidRDefault="006F10EB" w:rsidP="006F10EB">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27</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a nickel futures contract is w</w:t>
      </w:r>
      <w:r>
        <w:rPr>
          <w:sz w:val="22"/>
          <w:szCs w:val="22"/>
        </w:rPr>
        <w:t xml:space="preserve">ithin ±4% of </w:t>
      </w:r>
      <w:r>
        <w:rPr>
          <w:rFonts w:hint="eastAsia"/>
          <w:sz w:val="22"/>
          <w:szCs w:val="22"/>
        </w:rPr>
        <w:t>its</w:t>
      </w:r>
      <w:r>
        <w:rPr>
          <w:sz w:val="22"/>
          <w:szCs w:val="22"/>
        </w:rPr>
        <w:t xml:space="preserve"> settlement price of the preceding trading day</w:t>
      </w:r>
      <w:r>
        <w:rPr>
          <w:rFonts w:hint="eastAsia"/>
          <w:sz w:val="22"/>
          <w:szCs w:val="22"/>
        </w:rPr>
        <w:t>.</w:t>
      </w:r>
    </w:p>
    <w:p w14:paraId="2BF1AD9C" w14:textId="77777777" w:rsidR="006F10EB" w:rsidRDefault="006F10EB" w:rsidP="006F10EB">
      <w:pPr>
        <w:tabs>
          <w:tab w:val="left" w:pos="1204"/>
        </w:tabs>
        <w:adjustRightInd w:val="0"/>
        <w:snapToGrid w:val="0"/>
        <w:spacing w:afterLines="100" w:after="312" w:line="276" w:lineRule="auto"/>
        <w:jc w:val="left"/>
        <w:rPr>
          <w:bCs/>
          <w:sz w:val="22"/>
          <w:szCs w:val="22"/>
        </w:rPr>
      </w:pPr>
      <w:r>
        <w:rPr>
          <w:b/>
          <w:sz w:val="22"/>
          <w:szCs w:val="22"/>
        </w:rPr>
        <w:t xml:space="preserve">Article </w:t>
      </w:r>
      <w:r>
        <w:rPr>
          <w:rFonts w:hint="eastAsia"/>
          <w:b/>
          <w:sz w:val="22"/>
          <w:szCs w:val="22"/>
        </w:rPr>
        <w:t>28</w:t>
      </w:r>
      <w:r>
        <w:rPr>
          <w:bCs/>
          <w:sz w:val="22"/>
          <w:szCs w:val="22"/>
        </w:rPr>
        <w:tab/>
        <w:t xml:space="preserve">Percentage-based Position Limit and </w:t>
      </w:r>
      <w:r>
        <w:rPr>
          <w:sz w:val="22"/>
          <w:szCs w:val="22"/>
        </w:rPr>
        <w:t>fixed-amount Position Limit</w:t>
      </w:r>
      <w:r>
        <w:rPr>
          <w:bCs/>
          <w:sz w:val="22"/>
          <w:szCs w:val="22"/>
        </w:rPr>
        <w:t xml:space="preserve"> for each</w:t>
      </w:r>
      <w:r>
        <w:rPr>
          <w:rFonts w:hint="eastAsia"/>
          <w:bCs/>
          <w:sz w:val="22"/>
          <w:szCs w:val="22"/>
        </w:rPr>
        <w:t xml:space="preserve"> nickel</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9"/>
        <w:gridCol w:w="782"/>
        <w:gridCol w:w="1095"/>
        <w:gridCol w:w="958"/>
        <w:gridCol w:w="834"/>
        <w:gridCol w:w="708"/>
        <w:gridCol w:w="834"/>
        <w:gridCol w:w="710"/>
        <w:gridCol w:w="802"/>
        <w:gridCol w:w="708"/>
      </w:tblGrid>
      <w:tr w:rsidR="006F10EB" w14:paraId="684027B9" w14:textId="77777777" w:rsidTr="00C36022">
        <w:trPr>
          <w:cantSplit/>
          <w:trHeight w:val="20"/>
        </w:trPr>
        <w:tc>
          <w:tcPr>
            <w:tcW w:w="544" w:type="pct"/>
            <w:vMerge w:val="restart"/>
            <w:tcBorders>
              <w:top w:val="single" w:sz="6" w:space="0" w:color="auto"/>
              <w:left w:val="single" w:sz="6" w:space="0" w:color="auto"/>
              <w:bottom w:val="single" w:sz="6" w:space="0" w:color="auto"/>
              <w:right w:val="single" w:sz="6" w:space="0" w:color="auto"/>
            </w:tcBorders>
            <w:vAlign w:val="center"/>
          </w:tcPr>
          <w:p w14:paraId="719E165B" w14:textId="77777777" w:rsidR="006F10EB" w:rsidRDefault="006F10EB" w:rsidP="00C36022">
            <w:pPr>
              <w:tabs>
                <w:tab w:val="left" w:pos="1204"/>
              </w:tabs>
              <w:adjustRightInd w:val="0"/>
              <w:snapToGrid w:val="0"/>
              <w:spacing w:afterLines="100" w:after="312" w:line="276" w:lineRule="auto"/>
              <w:jc w:val="left"/>
              <w:rPr>
                <w:bCs/>
                <w:sz w:val="22"/>
                <w:szCs w:val="22"/>
              </w:rPr>
            </w:pPr>
          </w:p>
        </w:tc>
        <w:tc>
          <w:tcPr>
            <w:tcW w:w="981" w:type="pct"/>
            <w:gridSpan w:val="2"/>
            <w:tcBorders>
              <w:top w:val="single" w:sz="6" w:space="0" w:color="auto"/>
              <w:left w:val="single" w:sz="6" w:space="0" w:color="auto"/>
              <w:bottom w:val="single" w:sz="6" w:space="0" w:color="auto"/>
              <w:right w:val="single" w:sz="4" w:space="0" w:color="auto"/>
            </w:tcBorders>
            <w:vAlign w:val="center"/>
          </w:tcPr>
          <w:p w14:paraId="58CC9559" w14:textId="77777777" w:rsidR="006F10EB" w:rsidRDefault="006F10EB" w:rsidP="00C36022">
            <w:pPr>
              <w:tabs>
                <w:tab w:val="left" w:pos="1204"/>
              </w:tabs>
              <w:adjustRightInd w:val="0"/>
              <w:snapToGrid w:val="0"/>
              <w:spacing w:afterLines="100" w:after="312" w:line="276" w:lineRule="auto"/>
              <w:jc w:val="left"/>
              <w:rPr>
                <w:bCs/>
                <w:sz w:val="22"/>
                <w:szCs w:val="22"/>
              </w:rPr>
            </w:pPr>
            <w:r>
              <w:rPr>
                <w:sz w:val="22"/>
                <w:szCs w:val="22"/>
              </w:rPr>
              <w:t>From the date of listing to the delivery month</w:t>
            </w:r>
          </w:p>
        </w:tc>
        <w:tc>
          <w:tcPr>
            <w:tcW w:w="1586" w:type="pct"/>
            <w:gridSpan w:val="3"/>
            <w:tcBorders>
              <w:top w:val="single" w:sz="6" w:space="0" w:color="auto"/>
              <w:left w:val="single" w:sz="4" w:space="0" w:color="auto"/>
              <w:bottom w:val="single" w:sz="6" w:space="0" w:color="auto"/>
              <w:right w:val="single" w:sz="4" w:space="0" w:color="auto"/>
            </w:tcBorders>
            <w:vAlign w:val="center"/>
          </w:tcPr>
          <w:p w14:paraId="3B8A4D93" w14:textId="77777777" w:rsidR="006F10EB" w:rsidRDefault="006F10EB" w:rsidP="00C36022">
            <w:pPr>
              <w:tabs>
                <w:tab w:val="left" w:pos="1204"/>
              </w:tabs>
              <w:adjustRightInd w:val="0"/>
              <w:snapToGrid w:val="0"/>
              <w:spacing w:afterLines="100" w:after="312" w:line="276" w:lineRule="auto"/>
              <w:jc w:val="left"/>
              <w:rPr>
                <w:bCs/>
                <w:sz w:val="22"/>
                <w:szCs w:val="22"/>
              </w:rPr>
            </w:pPr>
            <w:r>
              <w:rPr>
                <w:sz w:val="22"/>
                <w:szCs w:val="22"/>
              </w:rPr>
              <w:t>From the date of listing to the last trading day of the second month prior to the delivery month</w:t>
            </w:r>
          </w:p>
        </w:tc>
        <w:tc>
          <w:tcPr>
            <w:tcW w:w="982" w:type="pct"/>
            <w:gridSpan w:val="2"/>
            <w:tcBorders>
              <w:top w:val="single" w:sz="6" w:space="0" w:color="auto"/>
              <w:left w:val="single" w:sz="4" w:space="0" w:color="auto"/>
              <w:bottom w:val="single" w:sz="6" w:space="0" w:color="auto"/>
              <w:right w:val="single" w:sz="6" w:space="0" w:color="auto"/>
            </w:tcBorders>
            <w:vAlign w:val="center"/>
          </w:tcPr>
          <w:p w14:paraId="43CEDCDD" w14:textId="77777777" w:rsidR="006F10EB" w:rsidRDefault="006F10EB" w:rsidP="00C36022">
            <w:pPr>
              <w:tabs>
                <w:tab w:val="left" w:pos="1204"/>
              </w:tabs>
              <w:adjustRightInd w:val="0"/>
              <w:snapToGrid w:val="0"/>
              <w:spacing w:afterLines="100" w:after="312" w:line="276" w:lineRule="auto"/>
              <w:jc w:val="left"/>
              <w:rPr>
                <w:bCs/>
                <w:sz w:val="22"/>
                <w:szCs w:val="22"/>
              </w:rPr>
            </w:pPr>
            <w:r>
              <w:rPr>
                <w:sz w:val="22"/>
                <w:szCs w:val="22"/>
              </w:rPr>
              <w:t>First month prior to the delivery month</w:t>
            </w:r>
          </w:p>
        </w:tc>
        <w:tc>
          <w:tcPr>
            <w:tcW w:w="907" w:type="pct"/>
            <w:gridSpan w:val="2"/>
            <w:tcBorders>
              <w:top w:val="single" w:sz="6" w:space="0" w:color="auto"/>
              <w:left w:val="single" w:sz="6" w:space="0" w:color="auto"/>
              <w:bottom w:val="single" w:sz="6" w:space="0" w:color="auto"/>
              <w:right w:val="single" w:sz="6" w:space="0" w:color="auto"/>
            </w:tcBorders>
            <w:vAlign w:val="center"/>
          </w:tcPr>
          <w:p w14:paraId="71FBE9AB" w14:textId="77777777" w:rsidR="006F10EB" w:rsidRDefault="006F10EB" w:rsidP="00C36022">
            <w:pPr>
              <w:tabs>
                <w:tab w:val="left" w:pos="1204"/>
              </w:tabs>
              <w:adjustRightInd w:val="0"/>
              <w:snapToGrid w:val="0"/>
              <w:spacing w:afterLines="100" w:after="312" w:line="276" w:lineRule="auto"/>
              <w:jc w:val="left"/>
              <w:rPr>
                <w:bCs/>
                <w:sz w:val="22"/>
                <w:szCs w:val="22"/>
              </w:rPr>
            </w:pPr>
            <w:r>
              <w:rPr>
                <w:bCs/>
                <w:sz w:val="22"/>
                <w:szCs w:val="22"/>
              </w:rPr>
              <w:t>Delivery month</w:t>
            </w:r>
          </w:p>
        </w:tc>
      </w:tr>
      <w:tr w:rsidR="006F10EB" w14:paraId="790C227A" w14:textId="77777777" w:rsidTr="00C36022">
        <w:trPr>
          <w:cantSplit/>
          <w:trHeight w:val="20"/>
        </w:trPr>
        <w:tc>
          <w:tcPr>
            <w:tcW w:w="544" w:type="pct"/>
            <w:vMerge/>
            <w:tcBorders>
              <w:top w:val="single" w:sz="6" w:space="0" w:color="auto"/>
              <w:left w:val="single" w:sz="6" w:space="0" w:color="auto"/>
              <w:bottom w:val="single" w:sz="6" w:space="0" w:color="auto"/>
              <w:right w:val="single" w:sz="6" w:space="0" w:color="auto"/>
            </w:tcBorders>
            <w:vAlign w:val="center"/>
          </w:tcPr>
          <w:p w14:paraId="0040E5EA" w14:textId="77777777" w:rsidR="006F10EB" w:rsidRDefault="006F10EB" w:rsidP="00C36022">
            <w:pPr>
              <w:tabs>
                <w:tab w:val="left" w:pos="1204"/>
              </w:tabs>
              <w:adjustRightInd w:val="0"/>
              <w:snapToGrid w:val="0"/>
              <w:spacing w:afterLines="100" w:after="312" w:line="276" w:lineRule="auto"/>
              <w:jc w:val="left"/>
              <w:rPr>
                <w:bCs/>
                <w:sz w:val="22"/>
                <w:szCs w:val="22"/>
              </w:rPr>
            </w:pPr>
          </w:p>
        </w:tc>
        <w:tc>
          <w:tcPr>
            <w:tcW w:w="453" w:type="pct"/>
            <w:vMerge w:val="restart"/>
            <w:tcBorders>
              <w:top w:val="single" w:sz="6" w:space="0" w:color="auto"/>
              <w:left w:val="single" w:sz="6" w:space="0" w:color="auto"/>
              <w:bottom w:val="single" w:sz="6" w:space="0" w:color="auto"/>
              <w:right w:val="single" w:sz="4" w:space="0" w:color="auto"/>
            </w:tcBorders>
            <w:vAlign w:val="center"/>
          </w:tcPr>
          <w:p w14:paraId="54C0DF3B" w14:textId="77777777" w:rsidR="006F10EB" w:rsidRDefault="006F10EB" w:rsidP="00C36022">
            <w:pPr>
              <w:tabs>
                <w:tab w:val="left" w:pos="1204"/>
              </w:tabs>
              <w:adjustRightInd w:val="0"/>
              <w:snapToGrid w:val="0"/>
              <w:spacing w:afterLines="100" w:after="312" w:line="276" w:lineRule="auto"/>
              <w:jc w:val="left"/>
              <w:rPr>
                <w:sz w:val="22"/>
                <w:szCs w:val="22"/>
              </w:rPr>
            </w:pPr>
            <w:r>
              <w:rPr>
                <w:sz w:val="22"/>
                <w:szCs w:val="22"/>
              </w:rPr>
              <w:t>Total open</w:t>
            </w:r>
          </w:p>
          <w:p w14:paraId="0640AE22" w14:textId="77777777" w:rsidR="006F10EB" w:rsidRDefault="006F10EB" w:rsidP="00C36022">
            <w:pPr>
              <w:tabs>
                <w:tab w:val="left" w:pos="1204"/>
              </w:tabs>
              <w:adjustRightInd w:val="0"/>
              <w:snapToGrid w:val="0"/>
              <w:spacing w:afterLines="100" w:after="312" w:line="276" w:lineRule="auto"/>
              <w:jc w:val="left"/>
              <w:rPr>
                <w:bCs/>
                <w:sz w:val="22"/>
                <w:szCs w:val="22"/>
              </w:rPr>
            </w:pPr>
            <w:r>
              <w:rPr>
                <w:sz w:val="22"/>
                <w:szCs w:val="22"/>
              </w:rPr>
              <w:t>interest</w:t>
            </w:r>
          </w:p>
        </w:tc>
        <w:tc>
          <w:tcPr>
            <w:tcW w:w="528" w:type="pct"/>
            <w:tcBorders>
              <w:top w:val="single" w:sz="6" w:space="0" w:color="auto"/>
              <w:left w:val="single" w:sz="6" w:space="0" w:color="auto"/>
              <w:bottom w:val="single" w:sz="6" w:space="0" w:color="auto"/>
              <w:right w:val="single" w:sz="4" w:space="0" w:color="auto"/>
            </w:tcBorders>
            <w:vAlign w:val="center"/>
          </w:tcPr>
          <w:p w14:paraId="7A650C17" w14:textId="77777777" w:rsidR="006F10EB" w:rsidRDefault="006F10EB" w:rsidP="00C36022">
            <w:pPr>
              <w:tabs>
                <w:tab w:val="left" w:pos="1204"/>
              </w:tabs>
              <w:adjustRightInd w:val="0"/>
              <w:snapToGrid w:val="0"/>
              <w:spacing w:afterLines="100" w:after="312" w:line="276" w:lineRule="auto"/>
              <w:jc w:val="left"/>
              <w:rPr>
                <w:bCs/>
                <w:sz w:val="22"/>
                <w:szCs w:val="22"/>
              </w:rPr>
            </w:pPr>
            <w:r>
              <w:rPr>
                <w:bCs/>
                <w:sz w:val="22"/>
                <w:szCs w:val="22"/>
              </w:rPr>
              <w:t>Percentage-based Position Limit (%)</w:t>
            </w:r>
          </w:p>
        </w:tc>
        <w:tc>
          <w:tcPr>
            <w:tcW w:w="604" w:type="pct"/>
            <w:vMerge w:val="restart"/>
            <w:tcBorders>
              <w:top w:val="single" w:sz="6" w:space="0" w:color="auto"/>
              <w:left w:val="single" w:sz="4" w:space="0" w:color="auto"/>
              <w:bottom w:val="single" w:sz="6" w:space="0" w:color="auto"/>
              <w:right w:val="single" w:sz="4" w:space="0" w:color="auto"/>
            </w:tcBorders>
            <w:vAlign w:val="center"/>
          </w:tcPr>
          <w:p w14:paraId="118DC1F9" w14:textId="77777777" w:rsidR="006F10EB" w:rsidRDefault="006F10EB" w:rsidP="00C36022">
            <w:pPr>
              <w:tabs>
                <w:tab w:val="left" w:pos="1204"/>
              </w:tabs>
              <w:adjustRightInd w:val="0"/>
              <w:snapToGrid w:val="0"/>
              <w:spacing w:afterLines="100" w:after="312" w:line="276" w:lineRule="auto"/>
              <w:jc w:val="left"/>
              <w:rPr>
                <w:sz w:val="22"/>
                <w:szCs w:val="22"/>
              </w:rPr>
            </w:pPr>
            <w:r>
              <w:rPr>
                <w:sz w:val="22"/>
                <w:szCs w:val="22"/>
              </w:rPr>
              <w:t>Total open</w:t>
            </w:r>
          </w:p>
          <w:p w14:paraId="06572B6D" w14:textId="77777777" w:rsidR="006F10EB" w:rsidRDefault="006F10EB" w:rsidP="00C36022">
            <w:pPr>
              <w:tabs>
                <w:tab w:val="left" w:pos="1204"/>
              </w:tabs>
              <w:adjustRightInd w:val="0"/>
              <w:snapToGrid w:val="0"/>
              <w:spacing w:afterLines="100" w:after="312" w:line="276" w:lineRule="auto"/>
              <w:jc w:val="left"/>
              <w:rPr>
                <w:bCs/>
                <w:sz w:val="22"/>
                <w:szCs w:val="22"/>
              </w:rPr>
            </w:pPr>
            <w:r>
              <w:rPr>
                <w:sz w:val="22"/>
                <w:szCs w:val="22"/>
              </w:rPr>
              <w:t>interest</w:t>
            </w:r>
          </w:p>
        </w:tc>
        <w:tc>
          <w:tcPr>
            <w:tcW w:w="982" w:type="pct"/>
            <w:gridSpan w:val="2"/>
            <w:tcBorders>
              <w:top w:val="single" w:sz="6" w:space="0" w:color="auto"/>
              <w:left w:val="single" w:sz="4" w:space="0" w:color="auto"/>
              <w:bottom w:val="single" w:sz="6" w:space="0" w:color="auto"/>
              <w:right w:val="single" w:sz="4" w:space="0" w:color="auto"/>
            </w:tcBorders>
            <w:vAlign w:val="center"/>
          </w:tcPr>
          <w:p w14:paraId="5929B064" w14:textId="77777777" w:rsidR="006F10EB" w:rsidRDefault="006F10EB" w:rsidP="00C36022">
            <w:pPr>
              <w:tabs>
                <w:tab w:val="left" w:pos="1204"/>
              </w:tabs>
              <w:adjustRightInd w:val="0"/>
              <w:snapToGrid w:val="0"/>
              <w:spacing w:afterLines="100" w:after="312" w:line="276" w:lineRule="auto"/>
              <w:jc w:val="left"/>
              <w:rPr>
                <w:sz w:val="22"/>
                <w:szCs w:val="22"/>
              </w:rPr>
            </w:pPr>
            <w:r>
              <w:rPr>
                <w:bCs/>
                <w:sz w:val="22"/>
                <w:szCs w:val="22"/>
              </w:rPr>
              <w:t xml:space="preserve">Percentage-based Position Limit (%) and </w:t>
            </w:r>
            <w:r>
              <w:rPr>
                <w:sz w:val="22"/>
                <w:szCs w:val="22"/>
              </w:rPr>
              <w:t>fixed-amount Position Limit (in lots)</w:t>
            </w:r>
          </w:p>
        </w:tc>
        <w:tc>
          <w:tcPr>
            <w:tcW w:w="982" w:type="pct"/>
            <w:gridSpan w:val="2"/>
            <w:tcBorders>
              <w:top w:val="single" w:sz="6" w:space="0" w:color="auto"/>
              <w:left w:val="single" w:sz="4" w:space="0" w:color="auto"/>
              <w:bottom w:val="single" w:sz="6" w:space="0" w:color="auto"/>
              <w:right w:val="single" w:sz="6" w:space="0" w:color="auto"/>
            </w:tcBorders>
            <w:vAlign w:val="center"/>
          </w:tcPr>
          <w:p w14:paraId="2F60C438" w14:textId="77777777" w:rsidR="006F10EB" w:rsidRDefault="006F10EB" w:rsidP="00C36022">
            <w:pPr>
              <w:tabs>
                <w:tab w:val="left" w:pos="1204"/>
              </w:tabs>
              <w:adjustRightInd w:val="0"/>
              <w:snapToGrid w:val="0"/>
              <w:spacing w:afterLines="100" w:after="312" w:line="276" w:lineRule="auto"/>
              <w:jc w:val="left"/>
              <w:rPr>
                <w:bCs/>
                <w:sz w:val="22"/>
                <w:szCs w:val="22"/>
              </w:rPr>
            </w:pPr>
            <w:r>
              <w:rPr>
                <w:sz w:val="22"/>
                <w:szCs w:val="22"/>
              </w:rPr>
              <w:t>Fixed-amount Position Limit (in lots)</w:t>
            </w:r>
          </w:p>
        </w:tc>
        <w:tc>
          <w:tcPr>
            <w:tcW w:w="907" w:type="pct"/>
            <w:gridSpan w:val="2"/>
            <w:tcBorders>
              <w:top w:val="single" w:sz="6" w:space="0" w:color="auto"/>
              <w:left w:val="single" w:sz="6" w:space="0" w:color="auto"/>
              <w:bottom w:val="single" w:sz="6" w:space="0" w:color="auto"/>
              <w:right w:val="single" w:sz="6" w:space="0" w:color="auto"/>
            </w:tcBorders>
            <w:vAlign w:val="center"/>
          </w:tcPr>
          <w:p w14:paraId="2E5474A8" w14:textId="77777777" w:rsidR="006F10EB" w:rsidRDefault="006F10EB" w:rsidP="00C36022">
            <w:pPr>
              <w:tabs>
                <w:tab w:val="left" w:pos="1204"/>
              </w:tabs>
              <w:adjustRightInd w:val="0"/>
              <w:snapToGrid w:val="0"/>
              <w:spacing w:afterLines="100" w:after="312" w:line="276" w:lineRule="auto"/>
              <w:jc w:val="left"/>
              <w:rPr>
                <w:bCs/>
                <w:sz w:val="22"/>
                <w:szCs w:val="22"/>
              </w:rPr>
            </w:pPr>
            <w:r>
              <w:rPr>
                <w:sz w:val="22"/>
                <w:szCs w:val="22"/>
              </w:rPr>
              <w:t>Fixed-amount Position Limit (in lots)</w:t>
            </w:r>
          </w:p>
        </w:tc>
      </w:tr>
      <w:tr w:rsidR="006F10EB" w14:paraId="6D280237" w14:textId="77777777" w:rsidTr="00C36022">
        <w:trPr>
          <w:cantSplit/>
          <w:trHeight w:val="20"/>
        </w:trPr>
        <w:tc>
          <w:tcPr>
            <w:tcW w:w="544" w:type="pct"/>
            <w:vMerge/>
            <w:tcBorders>
              <w:top w:val="single" w:sz="6" w:space="0" w:color="auto"/>
              <w:left w:val="single" w:sz="6" w:space="0" w:color="auto"/>
              <w:bottom w:val="single" w:sz="6" w:space="0" w:color="auto"/>
              <w:right w:val="single" w:sz="6" w:space="0" w:color="auto"/>
            </w:tcBorders>
            <w:vAlign w:val="center"/>
          </w:tcPr>
          <w:p w14:paraId="61938D2B" w14:textId="77777777" w:rsidR="006F10EB" w:rsidRDefault="006F10EB" w:rsidP="00C36022">
            <w:pPr>
              <w:tabs>
                <w:tab w:val="left" w:pos="1204"/>
              </w:tabs>
              <w:adjustRightInd w:val="0"/>
              <w:snapToGrid w:val="0"/>
              <w:spacing w:afterLines="100" w:after="312" w:line="276" w:lineRule="auto"/>
              <w:jc w:val="left"/>
              <w:rPr>
                <w:bCs/>
                <w:sz w:val="22"/>
                <w:szCs w:val="22"/>
              </w:rPr>
            </w:pPr>
          </w:p>
        </w:tc>
        <w:tc>
          <w:tcPr>
            <w:tcW w:w="453" w:type="pct"/>
            <w:vMerge/>
            <w:tcBorders>
              <w:top w:val="single" w:sz="6" w:space="0" w:color="auto"/>
              <w:left w:val="single" w:sz="6" w:space="0" w:color="auto"/>
              <w:bottom w:val="single" w:sz="6" w:space="0" w:color="auto"/>
              <w:right w:val="single" w:sz="4" w:space="0" w:color="auto"/>
            </w:tcBorders>
            <w:vAlign w:val="center"/>
          </w:tcPr>
          <w:p w14:paraId="749B855B" w14:textId="77777777" w:rsidR="006F10EB" w:rsidRDefault="006F10EB" w:rsidP="00C36022">
            <w:pPr>
              <w:tabs>
                <w:tab w:val="left" w:pos="1204"/>
              </w:tabs>
              <w:adjustRightInd w:val="0"/>
              <w:snapToGrid w:val="0"/>
              <w:spacing w:afterLines="100" w:after="312" w:line="276" w:lineRule="auto"/>
              <w:jc w:val="left"/>
              <w:rPr>
                <w:bCs/>
                <w:sz w:val="22"/>
                <w:szCs w:val="22"/>
              </w:rPr>
            </w:pPr>
          </w:p>
        </w:tc>
        <w:tc>
          <w:tcPr>
            <w:tcW w:w="528" w:type="pct"/>
            <w:tcBorders>
              <w:top w:val="single" w:sz="6" w:space="0" w:color="auto"/>
              <w:left w:val="single" w:sz="6" w:space="0" w:color="auto"/>
              <w:bottom w:val="single" w:sz="6" w:space="0" w:color="auto"/>
              <w:right w:val="single" w:sz="4" w:space="0" w:color="auto"/>
            </w:tcBorders>
            <w:vAlign w:val="center"/>
          </w:tcPr>
          <w:p w14:paraId="0D57F2FE" w14:textId="77777777" w:rsidR="006F10EB" w:rsidRDefault="006F10EB" w:rsidP="00C36022">
            <w:pPr>
              <w:tabs>
                <w:tab w:val="left" w:pos="1204"/>
              </w:tabs>
              <w:adjustRightInd w:val="0"/>
              <w:snapToGrid w:val="0"/>
              <w:spacing w:afterLines="100" w:after="312" w:line="276" w:lineRule="auto"/>
              <w:jc w:val="left"/>
              <w:rPr>
                <w:bCs/>
                <w:sz w:val="22"/>
                <w:szCs w:val="22"/>
              </w:rPr>
            </w:pPr>
            <w:r>
              <w:rPr>
                <w:sz w:val="22"/>
                <w:szCs w:val="22"/>
              </w:rPr>
              <w:t>FF Member</w:t>
            </w:r>
          </w:p>
        </w:tc>
        <w:tc>
          <w:tcPr>
            <w:tcW w:w="604" w:type="pct"/>
            <w:vMerge/>
            <w:tcBorders>
              <w:top w:val="single" w:sz="6" w:space="0" w:color="auto"/>
              <w:left w:val="single" w:sz="4" w:space="0" w:color="auto"/>
              <w:bottom w:val="single" w:sz="6" w:space="0" w:color="auto"/>
              <w:right w:val="single" w:sz="4" w:space="0" w:color="auto"/>
            </w:tcBorders>
            <w:vAlign w:val="center"/>
          </w:tcPr>
          <w:p w14:paraId="0211A25D" w14:textId="77777777" w:rsidR="006F10EB" w:rsidRDefault="006F10EB" w:rsidP="00C36022">
            <w:pPr>
              <w:tabs>
                <w:tab w:val="left" w:pos="1204"/>
              </w:tabs>
              <w:adjustRightInd w:val="0"/>
              <w:snapToGrid w:val="0"/>
              <w:spacing w:afterLines="100" w:after="312" w:line="276" w:lineRule="auto"/>
              <w:jc w:val="left"/>
              <w:rPr>
                <w:bCs/>
                <w:sz w:val="22"/>
                <w:szCs w:val="22"/>
              </w:rPr>
            </w:pPr>
          </w:p>
        </w:tc>
        <w:tc>
          <w:tcPr>
            <w:tcW w:w="529" w:type="pct"/>
            <w:tcBorders>
              <w:top w:val="single" w:sz="6" w:space="0" w:color="auto"/>
              <w:left w:val="single" w:sz="4" w:space="0" w:color="auto"/>
              <w:bottom w:val="single" w:sz="6" w:space="0" w:color="auto"/>
              <w:right w:val="single" w:sz="6" w:space="0" w:color="auto"/>
            </w:tcBorders>
            <w:vAlign w:val="center"/>
          </w:tcPr>
          <w:p w14:paraId="798E8414" w14:textId="77777777" w:rsidR="006F10EB" w:rsidRDefault="006F10EB" w:rsidP="00C36022">
            <w:pPr>
              <w:tabs>
                <w:tab w:val="left" w:pos="1204"/>
              </w:tabs>
              <w:adjustRightInd w:val="0"/>
              <w:snapToGrid w:val="0"/>
              <w:spacing w:afterLines="100" w:after="312" w:line="276" w:lineRule="auto"/>
              <w:jc w:val="left"/>
              <w:rPr>
                <w:bCs/>
                <w:sz w:val="22"/>
                <w:szCs w:val="22"/>
              </w:rPr>
            </w:pPr>
            <w:r>
              <w:rPr>
                <w:sz w:val="22"/>
                <w:szCs w:val="22"/>
              </w:rPr>
              <w:t>Non-FF Member</w:t>
            </w:r>
          </w:p>
        </w:tc>
        <w:tc>
          <w:tcPr>
            <w:tcW w:w="453" w:type="pct"/>
            <w:tcBorders>
              <w:top w:val="single" w:sz="6" w:space="0" w:color="auto"/>
              <w:left w:val="single" w:sz="6" w:space="0" w:color="auto"/>
              <w:bottom w:val="single" w:sz="6" w:space="0" w:color="auto"/>
              <w:right w:val="single" w:sz="6" w:space="0" w:color="auto"/>
            </w:tcBorders>
            <w:vAlign w:val="center"/>
          </w:tcPr>
          <w:p w14:paraId="6B6DD93E" w14:textId="77777777" w:rsidR="006F10EB" w:rsidRDefault="006F10EB" w:rsidP="00C36022">
            <w:pPr>
              <w:tabs>
                <w:tab w:val="left" w:pos="1204"/>
              </w:tabs>
              <w:adjustRightInd w:val="0"/>
              <w:snapToGrid w:val="0"/>
              <w:spacing w:afterLines="100" w:after="312" w:line="276" w:lineRule="auto"/>
              <w:jc w:val="left"/>
              <w:rPr>
                <w:bCs/>
                <w:sz w:val="22"/>
                <w:szCs w:val="22"/>
              </w:rPr>
            </w:pPr>
            <w:r>
              <w:rPr>
                <w:bCs/>
                <w:sz w:val="22"/>
                <w:szCs w:val="22"/>
              </w:rPr>
              <w:t>Client</w:t>
            </w:r>
          </w:p>
        </w:tc>
        <w:tc>
          <w:tcPr>
            <w:tcW w:w="529" w:type="pct"/>
            <w:tcBorders>
              <w:top w:val="single" w:sz="6" w:space="0" w:color="auto"/>
              <w:left w:val="single" w:sz="4" w:space="0" w:color="auto"/>
              <w:bottom w:val="single" w:sz="6" w:space="0" w:color="auto"/>
              <w:right w:val="single" w:sz="6" w:space="0" w:color="auto"/>
            </w:tcBorders>
            <w:vAlign w:val="center"/>
          </w:tcPr>
          <w:p w14:paraId="70341888" w14:textId="77777777" w:rsidR="006F10EB" w:rsidRDefault="006F10EB" w:rsidP="00C36022">
            <w:pPr>
              <w:tabs>
                <w:tab w:val="left" w:pos="1204"/>
              </w:tabs>
              <w:adjustRightInd w:val="0"/>
              <w:snapToGrid w:val="0"/>
              <w:spacing w:afterLines="100" w:after="312" w:line="276" w:lineRule="auto"/>
              <w:jc w:val="left"/>
              <w:rPr>
                <w:bCs/>
                <w:sz w:val="22"/>
                <w:szCs w:val="22"/>
              </w:rPr>
            </w:pPr>
            <w:r>
              <w:rPr>
                <w:sz w:val="22"/>
                <w:szCs w:val="22"/>
              </w:rPr>
              <w:t>Non-FF Member</w:t>
            </w:r>
          </w:p>
        </w:tc>
        <w:tc>
          <w:tcPr>
            <w:tcW w:w="454" w:type="pct"/>
            <w:tcBorders>
              <w:top w:val="single" w:sz="6" w:space="0" w:color="auto"/>
              <w:left w:val="single" w:sz="6" w:space="0" w:color="auto"/>
              <w:bottom w:val="single" w:sz="6" w:space="0" w:color="auto"/>
              <w:right w:val="single" w:sz="6" w:space="0" w:color="auto"/>
            </w:tcBorders>
            <w:vAlign w:val="center"/>
          </w:tcPr>
          <w:p w14:paraId="199E00BC" w14:textId="77777777" w:rsidR="006F10EB" w:rsidRDefault="006F10EB" w:rsidP="00C36022">
            <w:pPr>
              <w:tabs>
                <w:tab w:val="left" w:pos="1204"/>
              </w:tabs>
              <w:adjustRightInd w:val="0"/>
              <w:snapToGrid w:val="0"/>
              <w:spacing w:afterLines="100" w:after="312" w:line="276" w:lineRule="auto"/>
              <w:jc w:val="left"/>
              <w:rPr>
                <w:bCs/>
                <w:sz w:val="22"/>
                <w:szCs w:val="22"/>
              </w:rPr>
            </w:pPr>
            <w:r>
              <w:rPr>
                <w:bCs/>
                <w:sz w:val="22"/>
                <w:szCs w:val="22"/>
              </w:rPr>
              <w:t>Client</w:t>
            </w:r>
          </w:p>
        </w:tc>
        <w:tc>
          <w:tcPr>
            <w:tcW w:w="453" w:type="pct"/>
            <w:tcBorders>
              <w:top w:val="single" w:sz="6" w:space="0" w:color="auto"/>
              <w:left w:val="single" w:sz="4" w:space="0" w:color="auto"/>
              <w:bottom w:val="single" w:sz="6" w:space="0" w:color="auto"/>
              <w:right w:val="single" w:sz="6" w:space="0" w:color="auto"/>
            </w:tcBorders>
            <w:vAlign w:val="center"/>
          </w:tcPr>
          <w:p w14:paraId="5D8EF25A" w14:textId="77777777" w:rsidR="006F10EB" w:rsidRDefault="006F10EB" w:rsidP="00C36022">
            <w:pPr>
              <w:tabs>
                <w:tab w:val="left" w:pos="1204"/>
              </w:tabs>
              <w:adjustRightInd w:val="0"/>
              <w:snapToGrid w:val="0"/>
              <w:spacing w:afterLines="100" w:after="312" w:line="276" w:lineRule="auto"/>
              <w:jc w:val="left"/>
              <w:rPr>
                <w:bCs/>
                <w:sz w:val="22"/>
                <w:szCs w:val="22"/>
              </w:rPr>
            </w:pPr>
            <w:r>
              <w:rPr>
                <w:sz w:val="22"/>
                <w:szCs w:val="22"/>
              </w:rPr>
              <w:t>Non-FF Member</w:t>
            </w:r>
          </w:p>
        </w:tc>
        <w:tc>
          <w:tcPr>
            <w:tcW w:w="454" w:type="pct"/>
            <w:tcBorders>
              <w:top w:val="single" w:sz="6" w:space="0" w:color="auto"/>
              <w:left w:val="single" w:sz="6" w:space="0" w:color="auto"/>
              <w:bottom w:val="single" w:sz="6" w:space="0" w:color="auto"/>
              <w:right w:val="single" w:sz="6" w:space="0" w:color="auto"/>
            </w:tcBorders>
            <w:vAlign w:val="center"/>
          </w:tcPr>
          <w:p w14:paraId="4FF46087" w14:textId="77777777" w:rsidR="006F10EB" w:rsidRDefault="006F10EB" w:rsidP="00C36022">
            <w:pPr>
              <w:tabs>
                <w:tab w:val="left" w:pos="1204"/>
              </w:tabs>
              <w:adjustRightInd w:val="0"/>
              <w:snapToGrid w:val="0"/>
              <w:spacing w:afterLines="100" w:after="312" w:line="276" w:lineRule="auto"/>
              <w:jc w:val="left"/>
              <w:rPr>
                <w:bCs/>
                <w:sz w:val="22"/>
                <w:szCs w:val="22"/>
              </w:rPr>
            </w:pPr>
            <w:r>
              <w:rPr>
                <w:bCs/>
                <w:sz w:val="22"/>
                <w:szCs w:val="22"/>
              </w:rPr>
              <w:t>Client</w:t>
            </w:r>
          </w:p>
        </w:tc>
      </w:tr>
      <w:tr w:rsidR="006F10EB" w14:paraId="048093A5" w14:textId="77777777" w:rsidTr="00C36022">
        <w:trPr>
          <w:cantSplit/>
          <w:trHeight w:val="20"/>
        </w:trPr>
        <w:tc>
          <w:tcPr>
            <w:tcW w:w="544" w:type="pct"/>
            <w:vMerge w:val="restart"/>
            <w:tcBorders>
              <w:top w:val="single" w:sz="6" w:space="0" w:color="auto"/>
              <w:left w:val="single" w:sz="6" w:space="0" w:color="auto"/>
              <w:bottom w:val="single" w:sz="6" w:space="0" w:color="auto"/>
              <w:right w:val="single" w:sz="6" w:space="0" w:color="auto"/>
            </w:tcBorders>
            <w:vAlign w:val="center"/>
          </w:tcPr>
          <w:p w14:paraId="32E9FCC1" w14:textId="77777777" w:rsidR="006F10EB" w:rsidRDefault="006F10EB" w:rsidP="00C36022">
            <w:pPr>
              <w:tabs>
                <w:tab w:val="left" w:pos="1204"/>
              </w:tabs>
              <w:adjustRightInd w:val="0"/>
              <w:snapToGrid w:val="0"/>
              <w:spacing w:afterLines="100" w:after="312" w:line="276" w:lineRule="auto"/>
              <w:jc w:val="left"/>
              <w:rPr>
                <w:bCs/>
                <w:sz w:val="22"/>
                <w:szCs w:val="22"/>
              </w:rPr>
            </w:pPr>
            <w:r>
              <w:rPr>
                <w:bCs/>
                <w:sz w:val="22"/>
                <w:szCs w:val="22"/>
              </w:rPr>
              <w:t>nickel</w:t>
            </w:r>
          </w:p>
        </w:tc>
        <w:tc>
          <w:tcPr>
            <w:tcW w:w="453" w:type="pct"/>
            <w:vMerge w:val="restart"/>
            <w:tcBorders>
              <w:top w:val="single" w:sz="6" w:space="0" w:color="auto"/>
              <w:left w:val="single" w:sz="6" w:space="0" w:color="auto"/>
              <w:bottom w:val="single" w:sz="6" w:space="0" w:color="auto"/>
              <w:right w:val="single" w:sz="4" w:space="0" w:color="auto"/>
            </w:tcBorders>
            <w:vAlign w:val="center"/>
          </w:tcPr>
          <w:p w14:paraId="55924CDB" w14:textId="77777777" w:rsidR="006F10EB" w:rsidRDefault="006F10EB" w:rsidP="00C36022">
            <w:pPr>
              <w:tabs>
                <w:tab w:val="left" w:pos="1204"/>
              </w:tabs>
              <w:adjustRightInd w:val="0"/>
              <w:snapToGrid w:val="0"/>
              <w:spacing w:afterLines="100" w:after="312" w:line="276" w:lineRule="auto"/>
              <w:jc w:val="left"/>
              <w:rPr>
                <w:bCs/>
                <w:sz w:val="22"/>
                <w:szCs w:val="22"/>
              </w:rPr>
            </w:pPr>
            <w:r>
              <w:rPr>
                <w:bCs/>
                <w:sz w:val="22"/>
                <w:szCs w:val="22"/>
              </w:rPr>
              <w:t>≥</w:t>
            </w:r>
            <w:r>
              <w:rPr>
                <w:rFonts w:hint="eastAsia"/>
                <w:bCs/>
                <w:sz w:val="22"/>
                <w:szCs w:val="22"/>
              </w:rPr>
              <w:t>6</w:t>
            </w:r>
            <w:r>
              <w:rPr>
                <w:bCs/>
                <w:sz w:val="22"/>
                <w:szCs w:val="22"/>
              </w:rPr>
              <w:t>0,000</w:t>
            </w:r>
          </w:p>
        </w:tc>
        <w:tc>
          <w:tcPr>
            <w:tcW w:w="528" w:type="pct"/>
            <w:vMerge w:val="restart"/>
            <w:tcBorders>
              <w:top w:val="single" w:sz="6" w:space="0" w:color="auto"/>
              <w:left w:val="single" w:sz="6" w:space="0" w:color="auto"/>
              <w:bottom w:val="single" w:sz="6" w:space="0" w:color="auto"/>
              <w:right w:val="single" w:sz="4" w:space="0" w:color="auto"/>
            </w:tcBorders>
            <w:vAlign w:val="center"/>
          </w:tcPr>
          <w:p w14:paraId="689B581B" w14:textId="77777777" w:rsidR="006F10EB" w:rsidRDefault="006F10EB" w:rsidP="00C36022">
            <w:pPr>
              <w:tabs>
                <w:tab w:val="left" w:pos="1204"/>
              </w:tabs>
              <w:adjustRightInd w:val="0"/>
              <w:snapToGrid w:val="0"/>
              <w:spacing w:afterLines="100" w:after="312" w:line="276" w:lineRule="auto"/>
              <w:jc w:val="left"/>
              <w:rPr>
                <w:bCs/>
                <w:sz w:val="22"/>
                <w:szCs w:val="22"/>
              </w:rPr>
            </w:pPr>
            <w:r>
              <w:rPr>
                <w:bCs/>
                <w:sz w:val="22"/>
                <w:szCs w:val="22"/>
              </w:rPr>
              <w:t>25</w:t>
            </w:r>
          </w:p>
        </w:tc>
        <w:tc>
          <w:tcPr>
            <w:tcW w:w="604" w:type="pct"/>
            <w:tcBorders>
              <w:top w:val="single" w:sz="6" w:space="0" w:color="auto"/>
              <w:left w:val="single" w:sz="4" w:space="0" w:color="auto"/>
              <w:bottom w:val="single" w:sz="6" w:space="0" w:color="auto"/>
              <w:right w:val="single" w:sz="4" w:space="0" w:color="auto"/>
            </w:tcBorders>
            <w:vAlign w:val="center"/>
          </w:tcPr>
          <w:p w14:paraId="2A8FE8E3" w14:textId="77777777" w:rsidR="006F10EB" w:rsidRDefault="006F10EB" w:rsidP="00C36022">
            <w:pPr>
              <w:tabs>
                <w:tab w:val="left" w:pos="1204"/>
              </w:tabs>
              <w:adjustRightInd w:val="0"/>
              <w:snapToGrid w:val="0"/>
              <w:spacing w:afterLines="100" w:after="312" w:line="276" w:lineRule="auto"/>
              <w:jc w:val="left"/>
              <w:rPr>
                <w:bCs/>
                <w:sz w:val="22"/>
                <w:szCs w:val="22"/>
              </w:rPr>
            </w:pPr>
            <w:r>
              <w:rPr>
                <w:bCs/>
                <w:sz w:val="22"/>
                <w:szCs w:val="22"/>
              </w:rPr>
              <w:t>≥</w:t>
            </w:r>
            <w:r>
              <w:rPr>
                <w:rFonts w:hint="eastAsia"/>
                <w:bCs/>
                <w:sz w:val="22"/>
                <w:szCs w:val="22"/>
              </w:rPr>
              <w:t>6</w:t>
            </w:r>
            <w:r>
              <w:rPr>
                <w:bCs/>
                <w:sz w:val="22"/>
                <w:szCs w:val="22"/>
              </w:rPr>
              <w:t>0,000</w:t>
            </w:r>
          </w:p>
        </w:tc>
        <w:tc>
          <w:tcPr>
            <w:tcW w:w="529" w:type="pct"/>
            <w:tcBorders>
              <w:top w:val="single" w:sz="6" w:space="0" w:color="auto"/>
              <w:left w:val="single" w:sz="4" w:space="0" w:color="auto"/>
              <w:bottom w:val="single" w:sz="6" w:space="0" w:color="auto"/>
              <w:right w:val="single" w:sz="6" w:space="0" w:color="auto"/>
            </w:tcBorders>
            <w:vAlign w:val="center"/>
          </w:tcPr>
          <w:p w14:paraId="6DE62793" w14:textId="77777777" w:rsidR="006F10EB" w:rsidRDefault="006F10EB" w:rsidP="00C36022">
            <w:pPr>
              <w:tabs>
                <w:tab w:val="left" w:pos="1204"/>
              </w:tabs>
              <w:adjustRightInd w:val="0"/>
              <w:snapToGrid w:val="0"/>
              <w:spacing w:afterLines="100" w:after="312" w:line="276" w:lineRule="auto"/>
              <w:jc w:val="left"/>
              <w:rPr>
                <w:bCs/>
                <w:sz w:val="22"/>
                <w:szCs w:val="22"/>
              </w:rPr>
            </w:pPr>
            <w:r>
              <w:rPr>
                <w:bCs/>
                <w:sz w:val="22"/>
                <w:szCs w:val="22"/>
              </w:rPr>
              <w:t>10</w:t>
            </w:r>
          </w:p>
        </w:tc>
        <w:tc>
          <w:tcPr>
            <w:tcW w:w="453" w:type="pct"/>
            <w:tcBorders>
              <w:top w:val="single" w:sz="6" w:space="0" w:color="auto"/>
              <w:left w:val="single" w:sz="6" w:space="0" w:color="auto"/>
              <w:bottom w:val="single" w:sz="6" w:space="0" w:color="auto"/>
              <w:right w:val="single" w:sz="6" w:space="0" w:color="auto"/>
            </w:tcBorders>
            <w:vAlign w:val="center"/>
          </w:tcPr>
          <w:p w14:paraId="31892DCF" w14:textId="77777777" w:rsidR="006F10EB" w:rsidRDefault="006F10EB" w:rsidP="00C36022">
            <w:pPr>
              <w:tabs>
                <w:tab w:val="left" w:pos="1204"/>
              </w:tabs>
              <w:adjustRightInd w:val="0"/>
              <w:snapToGrid w:val="0"/>
              <w:spacing w:afterLines="100" w:after="312" w:line="276" w:lineRule="auto"/>
              <w:jc w:val="left"/>
              <w:rPr>
                <w:bCs/>
                <w:sz w:val="22"/>
                <w:szCs w:val="22"/>
              </w:rPr>
            </w:pPr>
            <w:r>
              <w:rPr>
                <w:bCs/>
                <w:sz w:val="22"/>
                <w:szCs w:val="22"/>
              </w:rPr>
              <w:t>10</w:t>
            </w:r>
          </w:p>
        </w:tc>
        <w:tc>
          <w:tcPr>
            <w:tcW w:w="529" w:type="pct"/>
            <w:vMerge w:val="restart"/>
            <w:tcBorders>
              <w:top w:val="single" w:sz="6" w:space="0" w:color="auto"/>
              <w:left w:val="single" w:sz="4" w:space="0" w:color="auto"/>
              <w:bottom w:val="single" w:sz="6" w:space="0" w:color="auto"/>
              <w:right w:val="single" w:sz="6" w:space="0" w:color="auto"/>
            </w:tcBorders>
            <w:vAlign w:val="center"/>
          </w:tcPr>
          <w:p w14:paraId="76AF3E54" w14:textId="77777777" w:rsidR="006F10EB" w:rsidRDefault="006F10EB" w:rsidP="00C36022">
            <w:pPr>
              <w:tabs>
                <w:tab w:val="left" w:pos="1204"/>
              </w:tabs>
              <w:adjustRightInd w:val="0"/>
              <w:snapToGrid w:val="0"/>
              <w:spacing w:afterLines="100" w:after="312" w:line="276" w:lineRule="auto"/>
              <w:jc w:val="left"/>
              <w:rPr>
                <w:bCs/>
                <w:sz w:val="22"/>
                <w:szCs w:val="22"/>
              </w:rPr>
            </w:pPr>
            <w:r>
              <w:rPr>
                <w:rFonts w:hint="eastAsia"/>
                <w:bCs/>
                <w:sz w:val="22"/>
                <w:szCs w:val="22"/>
              </w:rPr>
              <w:t>1,800</w:t>
            </w:r>
          </w:p>
        </w:tc>
        <w:tc>
          <w:tcPr>
            <w:tcW w:w="454" w:type="pct"/>
            <w:vMerge w:val="restart"/>
            <w:tcBorders>
              <w:top w:val="single" w:sz="6" w:space="0" w:color="auto"/>
              <w:left w:val="single" w:sz="6" w:space="0" w:color="auto"/>
              <w:bottom w:val="single" w:sz="6" w:space="0" w:color="auto"/>
              <w:right w:val="single" w:sz="6" w:space="0" w:color="auto"/>
            </w:tcBorders>
            <w:vAlign w:val="center"/>
          </w:tcPr>
          <w:p w14:paraId="3BF71E71" w14:textId="77777777" w:rsidR="006F10EB" w:rsidRDefault="006F10EB" w:rsidP="00C36022">
            <w:pPr>
              <w:tabs>
                <w:tab w:val="left" w:pos="1204"/>
              </w:tabs>
              <w:adjustRightInd w:val="0"/>
              <w:snapToGrid w:val="0"/>
              <w:spacing w:afterLines="100" w:after="312" w:line="276" w:lineRule="auto"/>
              <w:jc w:val="left"/>
              <w:rPr>
                <w:bCs/>
                <w:sz w:val="22"/>
                <w:szCs w:val="22"/>
              </w:rPr>
            </w:pPr>
            <w:r>
              <w:rPr>
                <w:rFonts w:hint="eastAsia"/>
                <w:bCs/>
                <w:sz w:val="22"/>
                <w:szCs w:val="22"/>
              </w:rPr>
              <w:t>1,800</w:t>
            </w:r>
          </w:p>
        </w:tc>
        <w:tc>
          <w:tcPr>
            <w:tcW w:w="453" w:type="pct"/>
            <w:vMerge w:val="restart"/>
            <w:tcBorders>
              <w:top w:val="single" w:sz="6" w:space="0" w:color="auto"/>
              <w:left w:val="single" w:sz="4" w:space="0" w:color="auto"/>
              <w:bottom w:val="single" w:sz="6" w:space="0" w:color="auto"/>
              <w:right w:val="single" w:sz="6" w:space="0" w:color="auto"/>
            </w:tcBorders>
            <w:vAlign w:val="center"/>
          </w:tcPr>
          <w:p w14:paraId="1257ADB2" w14:textId="77777777" w:rsidR="006F10EB" w:rsidRDefault="006F10EB" w:rsidP="00C36022">
            <w:pPr>
              <w:tabs>
                <w:tab w:val="left" w:pos="1204"/>
              </w:tabs>
              <w:adjustRightInd w:val="0"/>
              <w:snapToGrid w:val="0"/>
              <w:spacing w:afterLines="100" w:after="312" w:line="276" w:lineRule="auto"/>
              <w:jc w:val="left"/>
              <w:rPr>
                <w:bCs/>
                <w:sz w:val="22"/>
                <w:szCs w:val="22"/>
              </w:rPr>
            </w:pPr>
            <w:r>
              <w:rPr>
                <w:rFonts w:hint="eastAsia"/>
                <w:bCs/>
                <w:sz w:val="22"/>
                <w:szCs w:val="22"/>
              </w:rPr>
              <w:t>600</w:t>
            </w:r>
          </w:p>
        </w:tc>
        <w:tc>
          <w:tcPr>
            <w:tcW w:w="454" w:type="pct"/>
            <w:vMerge w:val="restart"/>
            <w:tcBorders>
              <w:top w:val="single" w:sz="6" w:space="0" w:color="auto"/>
              <w:left w:val="single" w:sz="6" w:space="0" w:color="auto"/>
              <w:bottom w:val="single" w:sz="6" w:space="0" w:color="auto"/>
              <w:right w:val="single" w:sz="6" w:space="0" w:color="auto"/>
            </w:tcBorders>
            <w:vAlign w:val="center"/>
          </w:tcPr>
          <w:p w14:paraId="48AF3492" w14:textId="77777777" w:rsidR="006F10EB" w:rsidRDefault="006F10EB" w:rsidP="00C36022">
            <w:pPr>
              <w:tabs>
                <w:tab w:val="left" w:pos="1204"/>
              </w:tabs>
              <w:adjustRightInd w:val="0"/>
              <w:snapToGrid w:val="0"/>
              <w:spacing w:afterLines="100" w:after="312" w:line="276" w:lineRule="auto"/>
              <w:jc w:val="left"/>
              <w:rPr>
                <w:bCs/>
                <w:sz w:val="22"/>
                <w:szCs w:val="22"/>
              </w:rPr>
            </w:pPr>
            <w:r>
              <w:rPr>
                <w:rFonts w:hint="eastAsia"/>
                <w:bCs/>
                <w:sz w:val="22"/>
                <w:szCs w:val="22"/>
              </w:rPr>
              <w:t>600</w:t>
            </w:r>
          </w:p>
        </w:tc>
      </w:tr>
      <w:tr w:rsidR="006F10EB" w14:paraId="57A212E6" w14:textId="77777777" w:rsidTr="00C36022">
        <w:trPr>
          <w:cantSplit/>
          <w:trHeight w:val="20"/>
        </w:trPr>
        <w:tc>
          <w:tcPr>
            <w:tcW w:w="544" w:type="pct"/>
            <w:vMerge/>
            <w:tcBorders>
              <w:top w:val="single" w:sz="6" w:space="0" w:color="auto"/>
              <w:left w:val="single" w:sz="6" w:space="0" w:color="auto"/>
              <w:bottom w:val="single" w:sz="6" w:space="0" w:color="auto"/>
              <w:right w:val="single" w:sz="6" w:space="0" w:color="auto"/>
            </w:tcBorders>
            <w:vAlign w:val="center"/>
          </w:tcPr>
          <w:p w14:paraId="53ACC2CF" w14:textId="77777777" w:rsidR="006F10EB" w:rsidRDefault="006F10EB" w:rsidP="00C36022">
            <w:pPr>
              <w:tabs>
                <w:tab w:val="left" w:pos="1204"/>
              </w:tabs>
              <w:adjustRightInd w:val="0"/>
              <w:snapToGrid w:val="0"/>
              <w:spacing w:afterLines="100" w:after="312" w:line="276" w:lineRule="auto"/>
              <w:jc w:val="left"/>
              <w:rPr>
                <w:bCs/>
                <w:sz w:val="22"/>
                <w:szCs w:val="22"/>
              </w:rPr>
            </w:pPr>
          </w:p>
        </w:tc>
        <w:tc>
          <w:tcPr>
            <w:tcW w:w="453" w:type="pct"/>
            <w:vMerge/>
            <w:tcBorders>
              <w:top w:val="single" w:sz="6" w:space="0" w:color="auto"/>
              <w:left w:val="single" w:sz="6" w:space="0" w:color="auto"/>
              <w:bottom w:val="single" w:sz="6" w:space="0" w:color="auto"/>
              <w:right w:val="single" w:sz="4" w:space="0" w:color="auto"/>
            </w:tcBorders>
            <w:vAlign w:val="center"/>
          </w:tcPr>
          <w:p w14:paraId="25BA5CF0" w14:textId="77777777" w:rsidR="006F10EB" w:rsidRDefault="006F10EB" w:rsidP="00C36022">
            <w:pPr>
              <w:tabs>
                <w:tab w:val="left" w:pos="1204"/>
              </w:tabs>
              <w:adjustRightInd w:val="0"/>
              <w:snapToGrid w:val="0"/>
              <w:spacing w:afterLines="100" w:after="312" w:line="276" w:lineRule="auto"/>
              <w:jc w:val="left"/>
              <w:rPr>
                <w:bCs/>
                <w:sz w:val="22"/>
                <w:szCs w:val="22"/>
              </w:rPr>
            </w:pPr>
          </w:p>
        </w:tc>
        <w:tc>
          <w:tcPr>
            <w:tcW w:w="528" w:type="pct"/>
            <w:vMerge/>
            <w:tcBorders>
              <w:top w:val="single" w:sz="6" w:space="0" w:color="auto"/>
              <w:left w:val="single" w:sz="6" w:space="0" w:color="auto"/>
              <w:bottom w:val="single" w:sz="6" w:space="0" w:color="auto"/>
              <w:right w:val="single" w:sz="4" w:space="0" w:color="auto"/>
            </w:tcBorders>
            <w:vAlign w:val="center"/>
          </w:tcPr>
          <w:p w14:paraId="798C1F94" w14:textId="77777777" w:rsidR="006F10EB" w:rsidRDefault="006F10EB" w:rsidP="00C36022">
            <w:pPr>
              <w:tabs>
                <w:tab w:val="left" w:pos="1204"/>
              </w:tabs>
              <w:adjustRightInd w:val="0"/>
              <w:snapToGrid w:val="0"/>
              <w:spacing w:afterLines="100" w:after="312" w:line="276" w:lineRule="auto"/>
              <w:jc w:val="left"/>
              <w:rPr>
                <w:bCs/>
                <w:sz w:val="22"/>
                <w:szCs w:val="22"/>
              </w:rPr>
            </w:pPr>
          </w:p>
        </w:tc>
        <w:tc>
          <w:tcPr>
            <w:tcW w:w="604" w:type="pct"/>
            <w:tcBorders>
              <w:top w:val="single" w:sz="6" w:space="0" w:color="auto"/>
              <w:left w:val="single" w:sz="4" w:space="0" w:color="auto"/>
              <w:bottom w:val="single" w:sz="6" w:space="0" w:color="auto"/>
              <w:right w:val="single" w:sz="4" w:space="0" w:color="auto"/>
            </w:tcBorders>
            <w:vAlign w:val="center"/>
          </w:tcPr>
          <w:p w14:paraId="0FA45A0B" w14:textId="77777777" w:rsidR="006F10EB" w:rsidRDefault="006F10EB" w:rsidP="00C36022">
            <w:pPr>
              <w:tabs>
                <w:tab w:val="left" w:pos="1204"/>
              </w:tabs>
              <w:adjustRightInd w:val="0"/>
              <w:snapToGrid w:val="0"/>
              <w:spacing w:afterLines="100" w:after="312" w:line="276" w:lineRule="auto"/>
              <w:jc w:val="left"/>
              <w:rPr>
                <w:bCs/>
                <w:sz w:val="22"/>
                <w:szCs w:val="22"/>
              </w:rPr>
            </w:pPr>
            <w:r>
              <w:rPr>
                <w:rFonts w:hint="eastAsia"/>
                <w:bCs/>
                <w:sz w:val="22"/>
                <w:szCs w:val="22"/>
              </w:rPr>
              <w:t>＜</w:t>
            </w:r>
            <w:r>
              <w:rPr>
                <w:rFonts w:hint="eastAsia"/>
                <w:bCs/>
                <w:sz w:val="22"/>
                <w:szCs w:val="22"/>
              </w:rPr>
              <w:t>6</w:t>
            </w:r>
            <w:r>
              <w:rPr>
                <w:bCs/>
                <w:sz w:val="22"/>
                <w:szCs w:val="22"/>
              </w:rPr>
              <w:t>0,000</w:t>
            </w:r>
          </w:p>
        </w:tc>
        <w:tc>
          <w:tcPr>
            <w:tcW w:w="529" w:type="pct"/>
            <w:tcBorders>
              <w:top w:val="single" w:sz="6" w:space="0" w:color="auto"/>
              <w:left w:val="single" w:sz="4" w:space="0" w:color="auto"/>
              <w:bottom w:val="single" w:sz="6" w:space="0" w:color="auto"/>
              <w:right w:val="single" w:sz="6" w:space="0" w:color="auto"/>
            </w:tcBorders>
            <w:vAlign w:val="center"/>
          </w:tcPr>
          <w:p w14:paraId="2F1F136A" w14:textId="77777777" w:rsidR="006F10EB" w:rsidRDefault="006F10EB" w:rsidP="00C36022">
            <w:pPr>
              <w:tabs>
                <w:tab w:val="left" w:pos="1204"/>
              </w:tabs>
              <w:adjustRightInd w:val="0"/>
              <w:snapToGrid w:val="0"/>
              <w:spacing w:afterLines="100" w:after="312" w:line="276" w:lineRule="auto"/>
              <w:jc w:val="left"/>
              <w:rPr>
                <w:bCs/>
                <w:sz w:val="22"/>
                <w:szCs w:val="22"/>
              </w:rPr>
            </w:pPr>
            <w:r>
              <w:rPr>
                <w:rFonts w:hint="eastAsia"/>
                <w:bCs/>
                <w:sz w:val="22"/>
                <w:szCs w:val="22"/>
              </w:rPr>
              <w:t>6</w:t>
            </w:r>
            <w:r>
              <w:rPr>
                <w:bCs/>
                <w:sz w:val="22"/>
                <w:szCs w:val="22"/>
              </w:rPr>
              <w:t>,000</w:t>
            </w:r>
          </w:p>
        </w:tc>
        <w:tc>
          <w:tcPr>
            <w:tcW w:w="453" w:type="pct"/>
            <w:tcBorders>
              <w:top w:val="single" w:sz="6" w:space="0" w:color="auto"/>
              <w:left w:val="single" w:sz="6" w:space="0" w:color="auto"/>
              <w:bottom w:val="single" w:sz="6" w:space="0" w:color="auto"/>
              <w:right w:val="single" w:sz="6" w:space="0" w:color="auto"/>
            </w:tcBorders>
            <w:vAlign w:val="center"/>
          </w:tcPr>
          <w:p w14:paraId="5638A4EB" w14:textId="77777777" w:rsidR="006F10EB" w:rsidRDefault="006F10EB" w:rsidP="00C36022">
            <w:pPr>
              <w:tabs>
                <w:tab w:val="left" w:pos="1204"/>
              </w:tabs>
              <w:adjustRightInd w:val="0"/>
              <w:snapToGrid w:val="0"/>
              <w:spacing w:afterLines="100" w:after="312" w:line="276" w:lineRule="auto"/>
              <w:jc w:val="left"/>
              <w:rPr>
                <w:bCs/>
                <w:sz w:val="22"/>
                <w:szCs w:val="22"/>
              </w:rPr>
            </w:pPr>
            <w:r>
              <w:rPr>
                <w:rFonts w:hint="eastAsia"/>
                <w:bCs/>
                <w:sz w:val="22"/>
                <w:szCs w:val="22"/>
              </w:rPr>
              <w:t>6</w:t>
            </w:r>
            <w:r>
              <w:rPr>
                <w:bCs/>
                <w:sz w:val="22"/>
                <w:szCs w:val="22"/>
              </w:rPr>
              <w:t>,000</w:t>
            </w:r>
          </w:p>
        </w:tc>
        <w:tc>
          <w:tcPr>
            <w:tcW w:w="529" w:type="pct"/>
            <w:vMerge/>
            <w:tcBorders>
              <w:top w:val="single" w:sz="6" w:space="0" w:color="auto"/>
              <w:left w:val="single" w:sz="4" w:space="0" w:color="auto"/>
              <w:bottom w:val="single" w:sz="6" w:space="0" w:color="auto"/>
              <w:right w:val="single" w:sz="6" w:space="0" w:color="auto"/>
            </w:tcBorders>
            <w:vAlign w:val="center"/>
          </w:tcPr>
          <w:p w14:paraId="561BBC49" w14:textId="77777777" w:rsidR="006F10EB" w:rsidRDefault="006F10EB" w:rsidP="00C36022">
            <w:pPr>
              <w:tabs>
                <w:tab w:val="left" w:pos="1204"/>
              </w:tabs>
              <w:adjustRightInd w:val="0"/>
              <w:snapToGrid w:val="0"/>
              <w:spacing w:afterLines="100" w:after="312" w:line="276" w:lineRule="auto"/>
              <w:jc w:val="left"/>
              <w:rPr>
                <w:bCs/>
                <w:sz w:val="22"/>
                <w:szCs w:val="22"/>
              </w:rPr>
            </w:pPr>
          </w:p>
        </w:tc>
        <w:tc>
          <w:tcPr>
            <w:tcW w:w="454" w:type="pct"/>
            <w:vMerge/>
            <w:tcBorders>
              <w:top w:val="single" w:sz="6" w:space="0" w:color="auto"/>
              <w:left w:val="single" w:sz="6" w:space="0" w:color="auto"/>
              <w:bottom w:val="single" w:sz="6" w:space="0" w:color="auto"/>
              <w:right w:val="single" w:sz="6" w:space="0" w:color="auto"/>
            </w:tcBorders>
            <w:vAlign w:val="center"/>
          </w:tcPr>
          <w:p w14:paraId="01133276" w14:textId="77777777" w:rsidR="006F10EB" w:rsidRDefault="006F10EB" w:rsidP="00C36022">
            <w:pPr>
              <w:tabs>
                <w:tab w:val="left" w:pos="1204"/>
              </w:tabs>
              <w:adjustRightInd w:val="0"/>
              <w:snapToGrid w:val="0"/>
              <w:spacing w:afterLines="100" w:after="312" w:line="276" w:lineRule="auto"/>
              <w:jc w:val="left"/>
              <w:rPr>
                <w:bCs/>
                <w:sz w:val="22"/>
                <w:szCs w:val="22"/>
              </w:rPr>
            </w:pPr>
          </w:p>
        </w:tc>
        <w:tc>
          <w:tcPr>
            <w:tcW w:w="453" w:type="pct"/>
            <w:vMerge/>
            <w:tcBorders>
              <w:top w:val="single" w:sz="6" w:space="0" w:color="auto"/>
              <w:left w:val="single" w:sz="4" w:space="0" w:color="auto"/>
              <w:bottom w:val="single" w:sz="6" w:space="0" w:color="auto"/>
              <w:right w:val="single" w:sz="6" w:space="0" w:color="auto"/>
            </w:tcBorders>
            <w:vAlign w:val="center"/>
          </w:tcPr>
          <w:p w14:paraId="58838898" w14:textId="77777777" w:rsidR="006F10EB" w:rsidRDefault="006F10EB" w:rsidP="00C36022">
            <w:pPr>
              <w:tabs>
                <w:tab w:val="left" w:pos="1204"/>
              </w:tabs>
              <w:adjustRightInd w:val="0"/>
              <w:snapToGrid w:val="0"/>
              <w:spacing w:afterLines="100" w:after="312" w:line="276" w:lineRule="auto"/>
              <w:jc w:val="left"/>
              <w:rPr>
                <w:bCs/>
                <w:sz w:val="22"/>
                <w:szCs w:val="22"/>
              </w:rPr>
            </w:pPr>
          </w:p>
        </w:tc>
        <w:tc>
          <w:tcPr>
            <w:tcW w:w="454" w:type="pct"/>
            <w:vMerge/>
            <w:tcBorders>
              <w:top w:val="single" w:sz="6" w:space="0" w:color="auto"/>
              <w:left w:val="single" w:sz="6" w:space="0" w:color="auto"/>
              <w:bottom w:val="single" w:sz="6" w:space="0" w:color="auto"/>
              <w:right w:val="single" w:sz="6" w:space="0" w:color="auto"/>
            </w:tcBorders>
            <w:vAlign w:val="center"/>
          </w:tcPr>
          <w:p w14:paraId="491C241C" w14:textId="77777777" w:rsidR="006F10EB" w:rsidRDefault="006F10EB" w:rsidP="00C36022">
            <w:pPr>
              <w:tabs>
                <w:tab w:val="left" w:pos="1204"/>
              </w:tabs>
              <w:adjustRightInd w:val="0"/>
              <w:snapToGrid w:val="0"/>
              <w:spacing w:afterLines="100" w:after="312" w:line="276" w:lineRule="auto"/>
              <w:jc w:val="left"/>
              <w:rPr>
                <w:bCs/>
                <w:sz w:val="22"/>
                <w:szCs w:val="22"/>
              </w:rPr>
            </w:pPr>
          </w:p>
        </w:tc>
      </w:tr>
    </w:tbl>
    <w:p w14:paraId="7FBBDB64" w14:textId="77777777" w:rsidR="006F10EB" w:rsidRDefault="006F10EB" w:rsidP="006F10EB">
      <w:pPr>
        <w:tabs>
          <w:tab w:val="left" w:pos="1204"/>
        </w:tabs>
        <w:adjustRightInd w:val="0"/>
        <w:snapToGrid w:val="0"/>
        <w:spacing w:afterLines="100" w:after="312" w:line="276" w:lineRule="auto"/>
        <w:jc w:val="left"/>
        <w:rPr>
          <w:sz w:val="22"/>
          <w:szCs w:val="22"/>
        </w:rPr>
      </w:pPr>
      <w:r>
        <w:rPr>
          <w:sz w:val="22"/>
          <w:szCs w:val="22"/>
        </w:rPr>
        <w:t>Note: total open interest and the fixed-amount Position Limit are based on long or short</w:t>
      </w:r>
      <w:r>
        <w:rPr>
          <w:rFonts w:hint="eastAsia"/>
          <w:sz w:val="22"/>
          <w:szCs w:val="22"/>
        </w:rPr>
        <w:t xml:space="preserve"> </w:t>
      </w:r>
      <w:r>
        <w:rPr>
          <w:sz w:val="22"/>
          <w:szCs w:val="22"/>
        </w:rPr>
        <w:t>positions.</w:t>
      </w:r>
    </w:p>
    <w:p w14:paraId="64DC835D" w14:textId="77777777" w:rsidR="006F10EB" w:rsidRDefault="006F10EB" w:rsidP="006F10EB">
      <w:pPr>
        <w:tabs>
          <w:tab w:val="left" w:pos="1204"/>
        </w:tabs>
        <w:adjustRightInd w:val="0"/>
        <w:snapToGrid w:val="0"/>
        <w:spacing w:afterLines="100" w:after="312" w:line="276" w:lineRule="auto"/>
        <w:jc w:val="left"/>
        <w:rPr>
          <w:bCs/>
          <w:sz w:val="22"/>
          <w:szCs w:val="22"/>
        </w:rPr>
      </w:pPr>
      <w:r>
        <w:rPr>
          <w:b/>
          <w:sz w:val="22"/>
          <w:szCs w:val="22"/>
        </w:rPr>
        <w:t xml:space="preserve">Article </w:t>
      </w:r>
      <w:r>
        <w:rPr>
          <w:rFonts w:hint="eastAsia"/>
          <w:b/>
          <w:sz w:val="22"/>
          <w:szCs w:val="22"/>
        </w:rPr>
        <w:t>29</w:t>
      </w:r>
      <w:r>
        <w:rPr>
          <w:bCs/>
          <w:sz w:val="22"/>
          <w:szCs w:val="22"/>
        </w:rPr>
        <w:tab/>
        <w:t xml:space="preserve">For contracts in nickel futures, by the close of the last trading day of the month prior to the delivery month, </w:t>
      </w:r>
      <w:r>
        <w:rPr>
          <w:bCs/>
          <w:kern w:val="0"/>
          <w:sz w:val="22"/>
          <w:szCs w:val="22"/>
        </w:rPr>
        <w:t xml:space="preserve">each Trader (referring here and hereinafter to a Client, a Non-Futures Firm Member) </w:t>
      </w:r>
      <w:r>
        <w:rPr>
          <w:bCs/>
          <w:sz w:val="22"/>
          <w:szCs w:val="22"/>
        </w:rPr>
        <w:t>shall adjust</w:t>
      </w:r>
      <w:r>
        <w:rPr>
          <w:bCs/>
          <w:kern w:val="0"/>
          <w:sz w:val="22"/>
          <w:szCs w:val="22"/>
        </w:rPr>
        <w:t xml:space="preserve"> its general</w:t>
      </w:r>
      <w:r>
        <w:rPr>
          <w:bCs/>
          <w:sz w:val="22"/>
          <w:szCs w:val="22"/>
        </w:rPr>
        <w:t xml:space="preserve"> positions held under </w:t>
      </w:r>
      <w:r>
        <w:rPr>
          <w:rFonts w:hint="eastAsia"/>
          <w:bCs/>
          <w:sz w:val="22"/>
          <w:szCs w:val="22"/>
        </w:rPr>
        <w:t>its</w:t>
      </w:r>
      <w:r>
        <w:rPr>
          <w:bCs/>
          <w:sz w:val="22"/>
          <w:szCs w:val="22"/>
        </w:rPr>
        <w:t xml:space="preserve"> trading code, to multiples of </w:t>
      </w:r>
      <w:r>
        <w:rPr>
          <w:rFonts w:hint="eastAsia"/>
          <w:bCs/>
          <w:sz w:val="22"/>
          <w:szCs w:val="22"/>
        </w:rPr>
        <w:t>six</w:t>
      </w:r>
      <w:r>
        <w:rPr>
          <w:bCs/>
          <w:sz w:val="22"/>
          <w:szCs w:val="22"/>
        </w:rPr>
        <w:t xml:space="preserve"> (</w:t>
      </w:r>
      <w:r>
        <w:rPr>
          <w:rFonts w:hint="eastAsia"/>
          <w:bCs/>
          <w:sz w:val="22"/>
          <w:szCs w:val="22"/>
        </w:rPr>
        <w:t>6</w:t>
      </w:r>
      <w:r>
        <w:rPr>
          <w:bCs/>
          <w:sz w:val="22"/>
          <w:szCs w:val="22"/>
        </w:rPr>
        <w:t>) lots and a one-day delay is allowed under special market conditions; in the delivery month, the</w:t>
      </w:r>
      <w:r>
        <w:rPr>
          <w:bCs/>
          <w:kern w:val="0"/>
          <w:sz w:val="22"/>
          <w:szCs w:val="22"/>
        </w:rPr>
        <w:t xml:space="preserve"> general</w:t>
      </w:r>
      <w:r>
        <w:rPr>
          <w:bCs/>
          <w:sz w:val="22"/>
          <w:szCs w:val="22"/>
        </w:rPr>
        <w:t xml:space="preserve"> positions as well as newly opened and closed-out positions shall be held in multiples of </w:t>
      </w:r>
      <w:r>
        <w:rPr>
          <w:rFonts w:hint="eastAsia"/>
          <w:bCs/>
          <w:sz w:val="22"/>
          <w:szCs w:val="22"/>
        </w:rPr>
        <w:t>six</w:t>
      </w:r>
      <w:r>
        <w:rPr>
          <w:bCs/>
          <w:sz w:val="22"/>
          <w:szCs w:val="22"/>
        </w:rPr>
        <w:t xml:space="preserve"> (</w:t>
      </w:r>
      <w:r>
        <w:rPr>
          <w:rFonts w:hint="eastAsia"/>
          <w:bCs/>
          <w:sz w:val="22"/>
          <w:szCs w:val="22"/>
        </w:rPr>
        <w:t>6</w:t>
      </w:r>
      <w:r>
        <w:rPr>
          <w:bCs/>
          <w:sz w:val="22"/>
          <w:szCs w:val="22"/>
        </w:rPr>
        <w:t xml:space="preserve">) lots. </w:t>
      </w:r>
    </w:p>
    <w:p w14:paraId="7AA86052" w14:textId="77777777" w:rsidR="006F10EB" w:rsidRDefault="006F10EB" w:rsidP="006F10EB">
      <w:pPr>
        <w:tabs>
          <w:tab w:val="left" w:pos="1204"/>
        </w:tabs>
        <w:adjustRightInd w:val="0"/>
        <w:snapToGrid w:val="0"/>
        <w:spacing w:afterLines="100" w:after="312" w:line="276" w:lineRule="auto"/>
        <w:jc w:val="left"/>
        <w:rPr>
          <w:bCs/>
          <w:sz w:val="22"/>
          <w:szCs w:val="22"/>
        </w:rPr>
      </w:pPr>
      <w:r>
        <w:rPr>
          <w:b/>
          <w:sz w:val="22"/>
          <w:szCs w:val="22"/>
        </w:rPr>
        <w:t xml:space="preserve">Article </w:t>
      </w:r>
      <w:r>
        <w:rPr>
          <w:rFonts w:hint="eastAsia"/>
          <w:b/>
          <w:sz w:val="22"/>
          <w:szCs w:val="22"/>
        </w:rPr>
        <w:t>30</w:t>
      </w:r>
      <w:r>
        <w:rPr>
          <w:bCs/>
          <w:sz w:val="22"/>
          <w:szCs w:val="22"/>
        </w:rPr>
        <w:tab/>
        <w:t>If the Exchange makes a forced position reduction</w:t>
      </w:r>
      <w:r>
        <w:rPr>
          <w:rFonts w:hint="eastAsia"/>
          <w:bCs/>
          <w:sz w:val="22"/>
          <w:szCs w:val="22"/>
        </w:rPr>
        <w:t xml:space="preserve"> to a nickel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w:t>
      </w:r>
      <w:r>
        <w:rPr>
          <w:bCs/>
          <w:kern w:val="0"/>
          <w:sz w:val="22"/>
          <w:szCs w:val="22"/>
        </w:rPr>
        <w:t xml:space="preserve"> of a Trader</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p>
    <w:p w14:paraId="28842C51" w14:textId="77777777" w:rsidR="006F10EB" w:rsidRDefault="006F10EB" w:rsidP="006F10EB">
      <w:pPr>
        <w:tabs>
          <w:tab w:val="left" w:pos="709"/>
        </w:tabs>
        <w:adjustRightInd w:val="0"/>
        <w:snapToGrid w:val="0"/>
        <w:spacing w:afterLines="100" w:after="312" w:line="276" w:lineRule="auto"/>
        <w:jc w:val="left"/>
        <w:rPr>
          <w:bCs/>
          <w:sz w:val="22"/>
          <w:szCs w:val="22"/>
        </w:rPr>
      </w:pPr>
      <w:r>
        <w:rPr>
          <w:bCs/>
          <w:sz w:val="22"/>
          <w:szCs w:val="22"/>
        </w:rPr>
        <w:t>(</w:t>
      </w:r>
      <w:proofErr w:type="spellStart"/>
      <w:r>
        <w:rPr>
          <w:rFonts w:hint="eastAsia"/>
          <w:bCs/>
          <w:sz w:val="22"/>
          <w:szCs w:val="22"/>
        </w:rPr>
        <w:t>i</w:t>
      </w:r>
      <w:proofErr w:type="spellEnd"/>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The term “amount of unfilled orders subject to the order fill” means the total amount of all the unfilled orders submitted after the close of the base date at the limit price into the central order book by each</w:t>
      </w:r>
      <w:r>
        <w:rPr>
          <w:bCs/>
          <w:kern w:val="0"/>
          <w:sz w:val="22"/>
          <w:szCs w:val="22"/>
        </w:rPr>
        <w:t xml:space="preserve"> Trader</w:t>
      </w:r>
      <w:r>
        <w:rPr>
          <w:bCs/>
          <w:sz w:val="22"/>
          <w:szCs w:val="22"/>
        </w:rPr>
        <w:t xml:space="preserve"> who has incurred losses on net positions in the contract of an average level of no less than six percent (6%)</w:t>
      </w:r>
      <w:r>
        <w:rPr>
          <w:rFonts w:hint="eastAsia"/>
          <w:bCs/>
          <w:sz w:val="22"/>
          <w:szCs w:val="22"/>
        </w:rPr>
        <w:t xml:space="preserve"> for nickel</w:t>
      </w:r>
      <w:r>
        <w:rPr>
          <w:bCs/>
          <w:sz w:val="22"/>
          <w:szCs w:val="22"/>
        </w:rPr>
        <w:t xml:space="preserve"> futures contracts, of the settlement price of the base date.</w:t>
      </w:r>
    </w:p>
    <w:p w14:paraId="71A4E315" w14:textId="77777777" w:rsidR="006F10EB" w:rsidRDefault="006F10EB" w:rsidP="006F10EB">
      <w:pPr>
        <w:tabs>
          <w:tab w:val="left" w:pos="709"/>
        </w:tabs>
        <w:adjustRightInd w:val="0"/>
        <w:snapToGrid w:val="0"/>
        <w:spacing w:afterLines="100" w:after="312" w:line="276"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Pr>
          <w:rFonts w:hint="eastAsia"/>
          <w:bCs/>
          <w:sz w:val="22"/>
          <w:szCs w:val="22"/>
        </w:rPr>
        <w:t xml:space="preserve"> of a Trader. </w:t>
      </w:r>
      <w:r>
        <w:rPr>
          <w:bCs/>
          <w:sz w:val="22"/>
          <w:szCs w:val="22"/>
        </w:rPr>
        <w:t>The positions eligible to fill the unfilled orders include the net positions, on which the</w:t>
      </w:r>
      <w:r>
        <w:rPr>
          <w:bCs/>
          <w:kern w:val="0"/>
          <w:sz w:val="22"/>
          <w:szCs w:val="22"/>
        </w:rPr>
        <w:t xml:space="preserve"> Trader</w:t>
      </w:r>
      <w:r>
        <w:rPr>
          <w:bCs/>
          <w:sz w:val="22"/>
          <w:szCs w:val="22"/>
        </w:rPr>
        <w:t>, as calculated using the above formula</w:t>
      </w:r>
      <w:r>
        <w:t xml:space="preserve"> </w:t>
      </w:r>
      <w:r>
        <w:rPr>
          <w:bCs/>
          <w:sz w:val="22"/>
          <w:szCs w:val="22"/>
        </w:rPr>
        <w:t>stipulated in the Risk Management Rules of the Shanghai Futures Exchange, records average gains for</w:t>
      </w:r>
      <w:r>
        <w:rPr>
          <w:bCs/>
          <w:kern w:val="0"/>
          <w:sz w:val="22"/>
          <w:szCs w:val="22"/>
        </w:rPr>
        <w:t xml:space="preserve"> general</w:t>
      </w:r>
      <w:r>
        <w:rPr>
          <w:bCs/>
          <w:sz w:val="22"/>
          <w:szCs w:val="22"/>
        </w:rPr>
        <w:t xml:space="preserve"> purposes or for hedging purposes at no less than six percent (6%)</w:t>
      </w:r>
      <w:r>
        <w:rPr>
          <w:rFonts w:hint="eastAsia"/>
          <w:bCs/>
          <w:sz w:val="22"/>
          <w:szCs w:val="22"/>
        </w:rPr>
        <w:t xml:space="preserve"> </w:t>
      </w:r>
      <w:r>
        <w:rPr>
          <w:bCs/>
          <w:sz w:val="22"/>
          <w:szCs w:val="22"/>
        </w:rPr>
        <w:t>of the settlement price of the base date.</w:t>
      </w:r>
    </w:p>
    <w:p w14:paraId="5DA89DA7" w14:textId="77777777" w:rsidR="006F10EB" w:rsidRDefault="006F10EB" w:rsidP="006F10EB">
      <w:pPr>
        <w:tabs>
          <w:tab w:val="left" w:pos="709"/>
        </w:tabs>
        <w:adjustRightInd w:val="0"/>
        <w:snapToGrid w:val="0"/>
        <w:spacing w:afterLines="100" w:after="312" w:line="276" w:lineRule="auto"/>
        <w:jc w:val="left"/>
        <w:rPr>
          <w:bCs/>
          <w:sz w:val="22"/>
          <w:szCs w:val="22"/>
        </w:rPr>
      </w:pPr>
      <w:r>
        <w:rPr>
          <w:rFonts w:hint="eastAsia"/>
          <w:bCs/>
          <w:sz w:val="22"/>
          <w:szCs w:val="22"/>
        </w:rPr>
        <w:t>(iii)</w:t>
      </w:r>
      <w:r>
        <w:rPr>
          <w:bCs/>
          <w:sz w:val="22"/>
          <w:szCs w:val="22"/>
        </w:rPr>
        <w:tab/>
        <w:t>Principles for the order fill of unfilled orders</w:t>
      </w:r>
      <w:r>
        <w:rPr>
          <w:rFonts w:hint="eastAsia"/>
          <w:bCs/>
          <w:sz w:val="22"/>
          <w:szCs w:val="22"/>
        </w:rPr>
        <w:t xml:space="preserve">. </w:t>
      </w:r>
      <w:r>
        <w:rPr>
          <w:bCs/>
          <w:sz w:val="22"/>
          <w:szCs w:val="22"/>
        </w:rPr>
        <w:t>The order fill of unfilled orders shall take place in the order of the following four levels with regard to the amount of gains and whether such positions are</w:t>
      </w:r>
      <w:r>
        <w:rPr>
          <w:bCs/>
          <w:kern w:val="0"/>
          <w:sz w:val="22"/>
          <w:szCs w:val="22"/>
        </w:rPr>
        <w:t xml:space="preserve"> general</w:t>
      </w:r>
      <w:r>
        <w:rPr>
          <w:bCs/>
          <w:sz w:val="22"/>
          <w:szCs w:val="22"/>
        </w:rPr>
        <w:t xml:space="preserve"> or hedging: </w:t>
      </w:r>
    </w:p>
    <w:p w14:paraId="28B507C8" w14:textId="77777777" w:rsidR="006F10EB" w:rsidRDefault="006F10EB" w:rsidP="006F10EB">
      <w:pPr>
        <w:tabs>
          <w:tab w:val="left" w:pos="775"/>
        </w:tabs>
        <w:adjustRightInd w:val="0"/>
        <w:snapToGrid w:val="0"/>
        <w:spacing w:afterLines="100" w:after="312" w:line="276" w:lineRule="auto"/>
        <w:jc w:val="left"/>
        <w:rPr>
          <w:bCs/>
          <w:sz w:val="22"/>
          <w:szCs w:val="22"/>
        </w:rPr>
      </w:pPr>
      <w:r>
        <w:rPr>
          <w:bCs/>
          <w:sz w:val="22"/>
          <w:szCs w:val="22"/>
        </w:rPr>
        <w:t>Level 1: Unfilled orders shall be filled with the</w:t>
      </w:r>
      <w:r>
        <w:rPr>
          <w:bCs/>
          <w:kern w:val="0"/>
          <w:sz w:val="22"/>
          <w:szCs w:val="22"/>
        </w:rPr>
        <w:t xml:space="preserve"> general</w:t>
      </w:r>
      <w:r>
        <w:rPr>
          <w:bCs/>
          <w:sz w:val="22"/>
          <w:szCs w:val="22"/>
        </w:rPr>
        <w:t xml:space="preserve"> positions eligible to fill the unfilled </w:t>
      </w:r>
      <w:r>
        <w:rPr>
          <w:bCs/>
          <w:sz w:val="22"/>
          <w:szCs w:val="22"/>
        </w:rPr>
        <w:lastRenderedPageBreak/>
        <w:t>orders of any</w:t>
      </w:r>
      <w:r>
        <w:rPr>
          <w:bCs/>
          <w:kern w:val="0"/>
          <w:sz w:val="22"/>
          <w:szCs w:val="22"/>
        </w:rPr>
        <w:t xml:space="preserve"> Trader</w:t>
      </w:r>
      <w:r>
        <w:rPr>
          <w:bCs/>
          <w:sz w:val="22"/>
          <w:szCs w:val="22"/>
        </w:rPr>
        <w:t xml:space="preserve"> with average gains on net positions of no less than six percent (6%) of the settlement price on the base date for the contracts in nickel futures</w:t>
      </w:r>
      <w:r>
        <w:rPr>
          <w:rFonts w:hint="eastAsia"/>
          <w:bCs/>
          <w:sz w:val="22"/>
          <w:szCs w:val="22"/>
        </w:rPr>
        <w:t>,</w:t>
      </w:r>
      <w:r>
        <w:rPr>
          <w:bCs/>
          <w:sz w:val="22"/>
          <w:szCs w:val="22"/>
        </w:rPr>
        <w:t xml:space="preserve"> or the</w:t>
      </w:r>
      <w:r>
        <w:rPr>
          <w:bCs/>
          <w:kern w:val="0"/>
          <w:sz w:val="22"/>
          <w:szCs w:val="22"/>
        </w:rPr>
        <w:t xml:space="preserve"> General</w:t>
      </w:r>
      <w:r>
        <w:rPr>
          <w:bCs/>
          <w:sz w:val="22"/>
          <w:szCs w:val="22"/>
        </w:rPr>
        <w:t xml:space="preserve"> Position Gains of Over 6%; </w:t>
      </w:r>
    </w:p>
    <w:p w14:paraId="43F83DA7" w14:textId="77777777" w:rsidR="006F10EB" w:rsidRDefault="006F10EB" w:rsidP="006F10EB">
      <w:pPr>
        <w:tabs>
          <w:tab w:val="left" w:pos="775"/>
        </w:tabs>
        <w:adjustRightInd w:val="0"/>
        <w:snapToGrid w:val="0"/>
        <w:spacing w:afterLines="100" w:after="312" w:line="276" w:lineRule="auto"/>
        <w:jc w:val="left"/>
        <w:rPr>
          <w:bCs/>
          <w:sz w:val="22"/>
          <w:szCs w:val="22"/>
        </w:rPr>
      </w:pPr>
      <w:r>
        <w:rPr>
          <w:bCs/>
          <w:sz w:val="22"/>
          <w:szCs w:val="22"/>
        </w:rPr>
        <w:t>Level 2: Unfilled orders shall be filled with the general positions eligible to fill the unfilled orders of any Trader with average gains on net positions of no less than three percent (3%) but no more than six percent (6%) of the settlement price on the base date for contracts with respect to nickel futures, or the General Position Gains of Over 3%</w:t>
      </w:r>
      <w:r>
        <w:rPr>
          <w:rFonts w:hint="eastAsia"/>
          <w:bCs/>
          <w:sz w:val="22"/>
          <w:szCs w:val="22"/>
        </w:rPr>
        <w:t>;</w:t>
      </w:r>
    </w:p>
    <w:p w14:paraId="2561F9C6" w14:textId="77777777" w:rsidR="006F10EB" w:rsidRDefault="006F10EB" w:rsidP="006F10EB">
      <w:pPr>
        <w:tabs>
          <w:tab w:val="left" w:pos="709"/>
        </w:tabs>
        <w:adjustRightInd w:val="0"/>
        <w:snapToGrid w:val="0"/>
        <w:spacing w:afterLines="100" w:after="312" w:line="276" w:lineRule="auto"/>
        <w:jc w:val="left"/>
        <w:rPr>
          <w:bCs/>
          <w:sz w:val="22"/>
          <w:szCs w:val="22"/>
        </w:rPr>
      </w:pPr>
      <w:r>
        <w:rPr>
          <w:bCs/>
          <w:sz w:val="22"/>
          <w:szCs w:val="22"/>
        </w:rPr>
        <w:t>Level 3: Unfilled orders shall be filled with the general positions eligible to fill the unfilled orders of a Trader with average gains on net positions of no more than three percent (3%) of the settlement price on the base date for contracts in nickel futures, or the General Position Gains Below 3%; and</w:t>
      </w:r>
    </w:p>
    <w:p w14:paraId="3AB7ED0F" w14:textId="77777777" w:rsidR="006F10EB" w:rsidRDefault="006F10EB" w:rsidP="006F10EB">
      <w:pPr>
        <w:tabs>
          <w:tab w:val="left" w:pos="775"/>
        </w:tabs>
        <w:adjustRightInd w:val="0"/>
        <w:snapToGrid w:val="0"/>
        <w:spacing w:afterLines="100" w:after="312" w:line="276"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 Trader with average gains on net positions of no less than six percent (6%) of the settlement price on the base date for contracts in nickel futures</w:t>
      </w:r>
      <w:r>
        <w:rPr>
          <w:rFonts w:hint="eastAsia"/>
          <w:bCs/>
          <w:sz w:val="22"/>
          <w:szCs w:val="22"/>
        </w:rPr>
        <w:t>,</w:t>
      </w:r>
      <w:r>
        <w:rPr>
          <w:bCs/>
          <w:sz w:val="22"/>
          <w:szCs w:val="22"/>
        </w:rPr>
        <w:t xml:space="preserve"> or the Hedging Position Gains of Over 6%.</w:t>
      </w:r>
    </w:p>
    <w:p w14:paraId="3D0E20E8" w14:textId="77777777" w:rsidR="006F10EB" w:rsidRDefault="006F10EB" w:rsidP="006F10EB">
      <w:pPr>
        <w:tabs>
          <w:tab w:val="left" w:pos="709"/>
        </w:tabs>
        <w:adjustRightInd w:val="0"/>
        <w:snapToGrid w:val="0"/>
        <w:spacing w:afterLines="100" w:after="312" w:line="276" w:lineRule="auto"/>
        <w:jc w:val="left"/>
        <w:rPr>
          <w:bCs/>
          <w:sz w:val="22"/>
          <w:szCs w:val="22"/>
        </w:rPr>
      </w:pPr>
      <w:proofErr w:type="gramStart"/>
      <w:r>
        <w:rPr>
          <w:rFonts w:hint="eastAsia"/>
          <w:bCs/>
          <w:sz w:val="22"/>
          <w:szCs w:val="22"/>
        </w:rPr>
        <w:t>(iv)</w:t>
      </w:r>
      <w:r>
        <w:rPr>
          <w:bCs/>
          <w:sz w:val="22"/>
          <w:szCs w:val="22"/>
        </w:rPr>
        <w:tab/>
        <w:t>Methods</w:t>
      </w:r>
      <w:proofErr w:type="gramEnd"/>
      <w:r>
        <w:rPr>
          <w:bCs/>
          <w:sz w:val="22"/>
          <w:szCs w:val="22"/>
        </w:rPr>
        <w:t xml:space="preserve"> for the order fill of unfilled orders</w:t>
      </w:r>
      <w:r>
        <w:rPr>
          <w:rFonts w:hint="eastAsia"/>
          <w:bCs/>
          <w:sz w:val="22"/>
          <w:szCs w:val="22"/>
        </w:rPr>
        <w:t xml:space="preserve">. </w:t>
      </w:r>
      <w:r>
        <w:rPr>
          <w:bCs/>
          <w:sz w:val="22"/>
          <w:szCs w:val="22"/>
        </w:rPr>
        <w:t>If the amount of the General Position Gains of Over 6% is greater than or equal to that of the unfilled orders, the unfilled orders shall be filled pro rata to the amount of the General Position Gains of Over 6%</w:t>
      </w:r>
      <w:r>
        <w:rPr>
          <w:rFonts w:hint="eastAsia"/>
          <w:bCs/>
          <w:sz w:val="22"/>
          <w:szCs w:val="22"/>
        </w:rPr>
        <w:t>.</w:t>
      </w:r>
      <w:r>
        <w:rPr>
          <w:bCs/>
          <w:sz w:val="22"/>
          <w:szCs w:val="22"/>
        </w:rPr>
        <w:t xml:space="preserve"> If the amount of the General Position Gains of Over 6% is smaller than that of the unfilled orders, the General Position Gains of Over 6% shall be filled pro rata to the amount of the unfilled orders. The residual unfilled orders, if any, shall be filled with the General Positions Gains of Over 3% in the same manner as the foregoing, and if there are still orders remaining, the outstanding unfilled orders shall be filled to the General Position Gains of Below 3%, and so to the Hedging Position Gains of Over 6%. Unfilled orders which eventually remain after all the order fills described above, if any, shall not be filled at all.</w:t>
      </w:r>
    </w:p>
    <w:p w14:paraId="6211308E" w14:textId="77777777" w:rsidR="006F10EB" w:rsidRDefault="006F10EB" w:rsidP="006F10EB">
      <w:pPr>
        <w:widowControl/>
        <w:tabs>
          <w:tab w:val="left" w:pos="1560"/>
        </w:tabs>
        <w:adjustRightInd w:val="0"/>
        <w:snapToGrid w:val="0"/>
        <w:spacing w:afterLines="100" w:after="312" w:line="276" w:lineRule="auto"/>
        <w:jc w:val="center"/>
        <w:rPr>
          <w:b/>
          <w:bCs/>
          <w:sz w:val="22"/>
          <w:szCs w:val="22"/>
        </w:rPr>
      </w:pPr>
      <w:bookmarkStart w:id="4" w:name="_Toc573966"/>
      <w:r>
        <w:rPr>
          <w:b/>
          <w:sz w:val="22"/>
          <w:szCs w:val="22"/>
        </w:rPr>
        <w:t xml:space="preserve">CHAPTER </w:t>
      </w:r>
      <w:r>
        <w:rPr>
          <w:rFonts w:hint="eastAsia"/>
          <w:b/>
          <w:sz w:val="22"/>
          <w:szCs w:val="22"/>
        </w:rPr>
        <w:t>5</w:t>
      </w:r>
      <w:r>
        <w:rPr>
          <w:b/>
          <w:bCs/>
          <w:sz w:val="22"/>
          <w:szCs w:val="22"/>
        </w:rPr>
        <w:tab/>
        <w:t>MISCELLANEOUS</w:t>
      </w:r>
    </w:p>
    <w:bookmarkEnd w:id="4"/>
    <w:p w14:paraId="4880B457" w14:textId="77777777" w:rsidR="006F10EB" w:rsidRDefault="006F10EB" w:rsidP="006F10EB">
      <w:pPr>
        <w:tabs>
          <w:tab w:val="left" w:pos="775"/>
        </w:tabs>
        <w:adjustRightInd w:val="0"/>
        <w:snapToGrid w:val="0"/>
        <w:spacing w:afterLines="100" w:after="312" w:line="276" w:lineRule="auto"/>
        <w:jc w:val="left"/>
        <w:rPr>
          <w:bCs/>
          <w:iCs/>
          <w:sz w:val="22"/>
          <w:szCs w:val="22"/>
        </w:rPr>
      </w:pPr>
      <w:r>
        <w:rPr>
          <w:b/>
          <w:bCs/>
          <w:sz w:val="22"/>
          <w:szCs w:val="22"/>
        </w:rPr>
        <w:t xml:space="preserve">Article </w:t>
      </w:r>
      <w:r>
        <w:rPr>
          <w:rFonts w:hint="eastAsia"/>
          <w:b/>
          <w:bCs/>
          <w:sz w:val="22"/>
          <w:szCs w:val="22"/>
        </w:rPr>
        <w:t>31</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14:paraId="0C935802" w14:textId="77777777" w:rsidR="006F10EB" w:rsidRDefault="006F10EB" w:rsidP="006F10EB">
      <w:pPr>
        <w:tabs>
          <w:tab w:val="left" w:pos="775"/>
        </w:tabs>
        <w:adjustRightInd w:val="0"/>
        <w:snapToGrid w:val="0"/>
        <w:spacing w:afterLines="100" w:after="312" w:line="276" w:lineRule="auto"/>
        <w:jc w:val="left"/>
        <w:rPr>
          <w:bCs/>
          <w:sz w:val="22"/>
          <w:szCs w:val="22"/>
        </w:rPr>
      </w:pPr>
      <w:r>
        <w:rPr>
          <w:b/>
          <w:bCs/>
          <w:sz w:val="22"/>
          <w:szCs w:val="22"/>
        </w:rPr>
        <w:t xml:space="preserve">Article </w:t>
      </w:r>
      <w:r>
        <w:rPr>
          <w:rFonts w:hint="eastAsia"/>
          <w:b/>
          <w:bCs/>
          <w:sz w:val="22"/>
          <w:szCs w:val="22"/>
        </w:rPr>
        <w:t>32</w:t>
      </w:r>
      <w:r>
        <w:rPr>
          <w:bCs/>
          <w:sz w:val="22"/>
          <w:szCs w:val="22"/>
        </w:rPr>
        <w:tab/>
      </w:r>
      <w:r>
        <w:rPr>
          <w:rFonts w:eastAsia="等线"/>
          <w:snapToGrid w:val="0"/>
          <w:kern w:val="22"/>
          <w:sz w:val="22"/>
        </w:rPr>
        <w:t>Any violation</w:t>
      </w:r>
      <w:r>
        <w:rPr>
          <w:rFonts w:eastAsia="等线" w:hint="eastAsia"/>
          <w:snapToGrid w:val="0"/>
          <w:kern w:val="22"/>
          <w:sz w:val="22"/>
        </w:rPr>
        <w:t>s</w:t>
      </w:r>
      <w:r>
        <w:rPr>
          <w:rFonts w:eastAsia="等线"/>
          <w:snapToGrid w:val="0"/>
          <w:kern w:val="22"/>
          <w:sz w:val="22"/>
        </w:rPr>
        <w:t xml:space="preserve"> of these </w:t>
      </w:r>
      <w:r>
        <w:rPr>
          <w:i/>
          <w:sz w:val="22"/>
          <w:szCs w:val="22"/>
        </w:rPr>
        <w:t>Nickel Futures Rules</w:t>
      </w:r>
      <w:r>
        <w:rPr>
          <w:rFonts w:eastAsia="等线"/>
          <w:i/>
          <w:iCs/>
          <w:snapToGrid w:val="0"/>
          <w:kern w:val="22"/>
          <w:sz w:val="22"/>
        </w:rPr>
        <w:t xml:space="preserve"> </w:t>
      </w:r>
      <w:bookmarkStart w:id="5" w:name="_Hlk172624163"/>
      <w:r>
        <w:rPr>
          <w:rFonts w:hint="eastAsia"/>
          <w:sz w:val="22"/>
        </w:rPr>
        <w:t>will be handled by the Exchange in accordance with</w:t>
      </w:r>
      <w:bookmarkEnd w:id="5"/>
      <w:r>
        <w:rPr>
          <w:rFonts w:hint="eastAsia"/>
          <w:sz w:val="22"/>
        </w:rPr>
        <w:t xml:space="preserve"> the </w:t>
      </w:r>
      <w:r>
        <w:rPr>
          <w:rFonts w:hint="eastAsia"/>
          <w:i/>
          <w:iCs/>
          <w:sz w:val="22"/>
        </w:rPr>
        <w:t>Enforcement Rules of the Shanghai Futures Exchange</w:t>
      </w:r>
      <w:r>
        <w:rPr>
          <w:rFonts w:hint="eastAsia"/>
          <w:sz w:val="22"/>
        </w:rPr>
        <w:t>.</w:t>
      </w:r>
    </w:p>
    <w:p w14:paraId="0BA3F582" w14:textId="77777777" w:rsidR="006F10EB" w:rsidRDefault="006F10EB" w:rsidP="006F10EB">
      <w:pPr>
        <w:tabs>
          <w:tab w:val="left" w:pos="775"/>
        </w:tabs>
        <w:adjustRightInd w:val="0"/>
        <w:snapToGrid w:val="0"/>
        <w:spacing w:afterLines="100" w:after="312" w:line="276" w:lineRule="auto"/>
        <w:jc w:val="left"/>
        <w:rPr>
          <w:bCs/>
          <w:sz w:val="22"/>
          <w:szCs w:val="22"/>
        </w:rPr>
      </w:pPr>
      <w:r>
        <w:rPr>
          <w:b/>
          <w:bCs/>
          <w:sz w:val="22"/>
          <w:szCs w:val="22"/>
        </w:rPr>
        <w:t xml:space="preserve">Article </w:t>
      </w:r>
      <w:r>
        <w:rPr>
          <w:rFonts w:hint="eastAsia"/>
          <w:b/>
          <w:bCs/>
          <w:sz w:val="22"/>
          <w:szCs w:val="22"/>
        </w:rPr>
        <w:t>33</w:t>
      </w:r>
      <w:r>
        <w:rPr>
          <w:bCs/>
          <w:sz w:val="22"/>
          <w:szCs w:val="22"/>
        </w:rPr>
        <w:tab/>
        <w:t xml:space="preserve">The Exchange reserves the right to interpret these </w:t>
      </w:r>
      <w:r>
        <w:rPr>
          <w:i/>
          <w:sz w:val="22"/>
          <w:szCs w:val="22"/>
        </w:rPr>
        <w:t>Nickel Futures Rules</w:t>
      </w:r>
      <w:r>
        <w:rPr>
          <w:bCs/>
          <w:sz w:val="22"/>
          <w:szCs w:val="22"/>
        </w:rPr>
        <w:t>.</w:t>
      </w:r>
    </w:p>
    <w:p w14:paraId="2C0E3938" w14:textId="46D1E39E" w:rsidR="006F10EB" w:rsidRDefault="006F10EB" w:rsidP="006F10EB">
      <w:pPr>
        <w:tabs>
          <w:tab w:val="left" w:pos="775"/>
        </w:tabs>
        <w:adjustRightInd w:val="0"/>
        <w:snapToGrid w:val="0"/>
        <w:spacing w:afterLines="100" w:after="312" w:line="276" w:lineRule="auto"/>
        <w:jc w:val="left"/>
        <w:rPr>
          <w:bCs/>
          <w:sz w:val="22"/>
          <w:szCs w:val="22"/>
        </w:rPr>
      </w:pPr>
      <w:r>
        <w:rPr>
          <w:b/>
          <w:bCs/>
          <w:sz w:val="22"/>
          <w:szCs w:val="22"/>
        </w:rPr>
        <w:t xml:space="preserve">Article </w:t>
      </w:r>
      <w:r>
        <w:rPr>
          <w:rFonts w:hint="eastAsia"/>
          <w:b/>
          <w:bCs/>
          <w:sz w:val="22"/>
          <w:szCs w:val="22"/>
        </w:rPr>
        <w:t>34</w:t>
      </w:r>
      <w:r>
        <w:rPr>
          <w:bCs/>
          <w:sz w:val="22"/>
          <w:szCs w:val="22"/>
        </w:rPr>
        <w:tab/>
        <w:t xml:space="preserve">These </w:t>
      </w:r>
      <w:r>
        <w:rPr>
          <w:i/>
          <w:sz w:val="22"/>
          <w:szCs w:val="22"/>
        </w:rPr>
        <w:t>Nickel Futures Rules</w:t>
      </w:r>
      <w:r>
        <w:rPr>
          <w:bCs/>
          <w:sz w:val="22"/>
          <w:szCs w:val="22"/>
        </w:rPr>
        <w:t xml:space="preserve"> </w:t>
      </w:r>
      <w:r>
        <w:rPr>
          <w:rFonts w:hint="eastAsia"/>
          <w:bCs/>
          <w:sz w:val="22"/>
          <w:szCs w:val="22"/>
        </w:rPr>
        <w:t>take effect on</w:t>
      </w:r>
      <w:r>
        <w:rPr>
          <w:bCs/>
          <w:sz w:val="22"/>
          <w:szCs w:val="22"/>
        </w:rPr>
        <w:t xml:space="preserve"> </w:t>
      </w:r>
      <w:r w:rsidR="00CA43FB">
        <w:rPr>
          <w:rFonts w:eastAsia="仿宋_GB2312"/>
          <w:kern w:val="0"/>
          <w:sz w:val="22"/>
        </w:rPr>
        <w:t>August 8, 2025</w:t>
      </w:r>
      <w:bookmarkStart w:id="6" w:name="_GoBack"/>
      <w:bookmarkEnd w:id="6"/>
      <w:r>
        <w:rPr>
          <w:rFonts w:hint="eastAsia"/>
          <w:bCs/>
          <w:sz w:val="22"/>
          <w:szCs w:val="22"/>
        </w:rPr>
        <w:t>.</w:t>
      </w:r>
    </w:p>
    <w:p w14:paraId="38B5EDA4" w14:textId="77777777" w:rsidR="006F10EB" w:rsidRDefault="006F10EB" w:rsidP="006F10EB">
      <w:pPr>
        <w:widowControl/>
        <w:jc w:val="left"/>
        <w:rPr>
          <w:bCs/>
          <w:sz w:val="22"/>
          <w:szCs w:val="22"/>
        </w:rPr>
      </w:pPr>
    </w:p>
    <w:p w14:paraId="40BD6CE1" w14:textId="64B470C6" w:rsidR="008B2FAD" w:rsidRPr="006F10EB" w:rsidRDefault="008B2FAD" w:rsidP="006F10EB"/>
    <w:sectPr w:rsidR="008B2FAD" w:rsidRPr="006F10E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786BA" w14:textId="77777777" w:rsidR="003A6AF4" w:rsidRDefault="003A6AF4" w:rsidP="009520AE">
      <w:r>
        <w:separator/>
      </w:r>
    </w:p>
  </w:endnote>
  <w:endnote w:type="continuationSeparator" w:id="0">
    <w:p w14:paraId="53BF276E" w14:textId="77777777" w:rsidR="003A6AF4" w:rsidRDefault="003A6AF4" w:rsidP="0095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28755"/>
      <w:docPartObj>
        <w:docPartGallery w:val="Page Numbers (Bottom of Page)"/>
        <w:docPartUnique/>
      </w:docPartObj>
    </w:sdtPr>
    <w:sdtEndPr>
      <w:rPr>
        <w:sz w:val="20"/>
        <w:szCs w:val="20"/>
      </w:rPr>
    </w:sdtEndPr>
    <w:sdtContent>
      <w:p w14:paraId="1DE2415C" w14:textId="3B864582" w:rsidR="0021098E" w:rsidRPr="0021098E" w:rsidRDefault="0021098E" w:rsidP="0021098E">
        <w:pPr>
          <w:pStyle w:val="a4"/>
          <w:jc w:val="center"/>
          <w:rPr>
            <w:sz w:val="20"/>
            <w:szCs w:val="20"/>
          </w:rPr>
        </w:pPr>
        <w:r w:rsidRPr="0021098E">
          <w:rPr>
            <w:sz w:val="20"/>
            <w:szCs w:val="20"/>
          </w:rPr>
          <w:fldChar w:fldCharType="begin"/>
        </w:r>
        <w:r w:rsidRPr="0021098E">
          <w:rPr>
            <w:sz w:val="20"/>
            <w:szCs w:val="20"/>
          </w:rPr>
          <w:instrText>PAGE   \* MERGEFORMAT</w:instrText>
        </w:r>
        <w:r w:rsidRPr="0021098E">
          <w:rPr>
            <w:sz w:val="20"/>
            <w:szCs w:val="20"/>
          </w:rPr>
          <w:fldChar w:fldCharType="separate"/>
        </w:r>
        <w:r w:rsidR="00CA43FB" w:rsidRPr="00CA43FB">
          <w:rPr>
            <w:noProof/>
            <w:sz w:val="20"/>
            <w:szCs w:val="20"/>
            <w:lang w:val="zh-CN"/>
          </w:rPr>
          <w:t>5</w:t>
        </w:r>
        <w:r w:rsidRPr="0021098E">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8F0D5" w14:textId="77777777" w:rsidR="003A6AF4" w:rsidRDefault="003A6AF4" w:rsidP="009520AE">
      <w:r>
        <w:separator/>
      </w:r>
    </w:p>
  </w:footnote>
  <w:footnote w:type="continuationSeparator" w:id="0">
    <w:p w14:paraId="174214E0" w14:textId="77777777" w:rsidR="003A6AF4" w:rsidRDefault="003A6AF4" w:rsidP="00952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61"/>
    <w:rsid w:val="000009C4"/>
    <w:rsid w:val="00000F77"/>
    <w:rsid w:val="00044E52"/>
    <w:rsid w:val="00061C4B"/>
    <w:rsid w:val="000C5C46"/>
    <w:rsid w:val="000E1A68"/>
    <w:rsid w:val="0016298D"/>
    <w:rsid w:val="001823A0"/>
    <w:rsid w:val="001A32D8"/>
    <w:rsid w:val="001D680B"/>
    <w:rsid w:val="001E254B"/>
    <w:rsid w:val="001E7252"/>
    <w:rsid w:val="001F2BEA"/>
    <w:rsid w:val="0021098E"/>
    <w:rsid w:val="0021484B"/>
    <w:rsid w:val="002148B6"/>
    <w:rsid w:val="002341AB"/>
    <w:rsid w:val="00265DBA"/>
    <w:rsid w:val="0027521C"/>
    <w:rsid w:val="00287DEF"/>
    <w:rsid w:val="00297E2C"/>
    <w:rsid w:val="002A7549"/>
    <w:rsid w:val="002B0829"/>
    <w:rsid w:val="002B0D63"/>
    <w:rsid w:val="002B241E"/>
    <w:rsid w:val="002B647D"/>
    <w:rsid w:val="002E5636"/>
    <w:rsid w:val="002F76A3"/>
    <w:rsid w:val="0032403F"/>
    <w:rsid w:val="00324CCE"/>
    <w:rsid w:val="003333DE"/>
    <w:rsid w:val="00342A29"/>
    <w:rsid w:val="003647AB"/>
    <w:rsid w:val="00370321"/>
    <w:rsid w:val="003816EC"/>
    <w:rsid w:val="00391233"/>
    <w:rsid w:val="003A6AF4"/>
    <w:rsid w:val="003B5EC3"/>
    <w:rsid w:val="003C12E0"/>
    <w:rsid w:val="003D088E"/>
    <w:rsid w:val="003D6543"/>
    <w:rsid w:val="003E1A6B"/>
    <w:rsid w:val="003E4535"/>
    <w:rsid w:val="003F3EE1"/>
    <w:rsid w:val="004161A6"/>
    <w:rsid w:val="0042138D"/>
    <w:rsid w:val="004218E5"/>
    <w:rsid w:val="00431FED"/>
    <w:rsid w:val="00441D91"/>
    <w:rsid w:val="004B1BC8"/>
    <w:rsid w:val="004B6D97"/>
    <w:rsid w:val="004C7744"/>
    <w:rsid w:val="004D4C92"/>
    <w:rsid w:val="004E1AD1"/>
    <w:rsid w:val="004E54F2"/>
    <w:rsid w:val="00537EA7"/>
    <w:rsid w:val="00545761"/>
    <w:rsid w:val="005551BE"/>
    <w:rsid w:val="005568FA"/>
    <w:rsid w:val="005653A1"/>
    <w:rsid w:val="00575304"/>
    <w:rsid w:val="005B4DD4"/>
    <w:rsid w:val="005B7AFA"/>
    <w:rsid w:val="005F24F3"/>
    <w:rsid w:val="005F3A09"/>
    <w:rsid w:val="005F5291"/>
    <w:rsid w:val="0060505F"/>
    <w:rsid w:val="0062008A"/>
    <w:rsid w:val="00620A87"/>
    <w:rsid w:val="00623160"/>
    <w:rsid w:val="006479B1"/>
    <w:rsid w:val="00655A3B"/>
    <w:rsid w:val="00655DCD"/>
    <w:rsid w:val="00656386"/>
    <w:rsid w:val="0066014E"/>
    <w:rsid w:val="00661B6F"/>
    <w:rsid w:val="00666FDF"/>
    <w:rsid w:val="006B049C"/>
    <w:rsid w:val="006B3939"/>
    <w:rsid w:val="006C1A29"/>
    <w:rsid w:val="006E22CB"/>
    <w:rsid w:val="006E3932"/>
    <w:rsid w:val="006E6AD3"/>
    <w:rsid w:val="006F10EB"/>
    <w:rsid w:val="00724355"/>
    <w:rsid w:val="00755370"/>
    <w:rsid w:val="007715FC"/>
    <w:rsid w:val="00787C19"/>
    <w:rsid w:val="00793BE0"/>
    <w:rsid w:val="007A3D20"/>
    <w:rsid w:val="007B5E0C"/>
    <w:rsid w:val="007E1D77"/>
    <w:rsid w:val="007E2B46"/>
    <w:rsid w:val="007E5458"/>
    <w:rsid w:val="007F5B7B"/>
    <w:rsid w:val="00800A18"/>
    <w:rsid w:val="00844008"/>
    <w:rsid w:val="00844840"/>
    <w:rsid w:val="0086131A"/>
    <w:rsid w:val="00870FCF"/>
    <w:rsid w:val="0088282B"/>
    <w:rsid w:val="008B157C"/>
    <w:rsid w:val="008B1B03"/>
    <w:rsid w:val="008B2FAD"/>
    <w:rsid w:val="008E0BB1"/>
    <w:rsid w:val="008E2770"/>
    <w:rsid w:val="008F2E36"/>
    <w:rsid w:val="00901F86"/>
    <w:rsid w:val="009021DB"/>
    <w:rsid w:val="00902FE8"/>
    <w:rsid w:val="0091736D"/>
    <w:rsid w:val="009505B2"/>
    <w:rsid w:val="009520AE"/>
    <w:rsid w:val="00953442"/>
    <w:rsid w:val="009878D0"/>
    <w:rsid w:val="009C0558"/>
    <w:rsid w:val="009F0AEA"/>
    <w:rsid w:val="00A13328"/>
    <w:rsid w:val="00A201E7"/>
    <w:rsid w:val="00A25643"/>
    <w:rsid w:val="00A318F1"/>
    <w:rsid w:val="00A60356"/>
    <w:rsid w:val="00A66DEF"/>
    <w:rsid w:val="00A82BDE"/>
    <w:rsid w:val="00A96E6F"/>
    <w:rsid w:val="00AB4024"/>
    <w:rsid w:val="00B0213B"/>
    <w:rsid w:val="00B023AC"/>
    <w:rsid w:val="00B2706B"/>
    <w:rsid w:val="00B32A0C"/>
    <w:rsid w:val="00B34AFB"/>
    <w:rsid w:val="00B35004"/>
    <w:rsid w:val="00BF541D"/>
    <w:rsid w:val="00C128C6"/>
    <w:rsid w:val="00C35277"/>
    <w:rsid w:val="00C531B9"/>
    <w:rsid w:val="00C74BD6"/>
    <w:rsid w:val="00CA43FB"/>
    <w:rsid w:val="00CC0C6B"/>
    <w:rsid w:val="00CC1932"/>
    <w:rsid w:val="00CD6567"/>
    <w:rsid w:val="00CE0815"/>
    <w:rsid w:val="00CE3862"/>
    <w:rsid w:val="00CF0FD4"/>
    <w:rsid w:val="00CF12A5"/>
    <w:rsid w:val="00D05142"/>
    <w:rsid w:val="00D23B88"/>
    <w:rsid w:val="00D62918"/>
    <w:rsid w:val="00DB1314"/>
    <w:rsid w:val="00DC3062"/>
    <w:rsid w:val="00DC7855"/>
    <w:rsid w:val="00DF6AC8"/>
    <w:rsid w:val="00E02AFD"/>
    <w:rsid w:val="00E04F24"/>
    <w:rsid w:val="00E20C77"/>
    <w:rsid w:val="00E23361"/>
    <w:rsid w:val="00E2573D"/>
    <w:rsid w:val="00E3060D"/>
    <w:rsid w:val="00E84914"/>
    <w:rsid w:val="00E93D15"/>
    <w:rsid w:val="00EB09E2"/>
    <w:rsid w:val="00EF2E2B"/>
    <w:rsid w:val="00F05C18"/>
    <w:rsid w:val="00F75DA4"/>
    <w:rsid w:val="00F8610C"/>
    <w:rsid w:val="00F91936"/>
    <w:rsid w:val="00F91FB1"/>
    <w:rsid w:val="00FC67DC"/>
    <w:rsid w:val="00FE2D09"/>
    <w:rsid w:val="00FF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38966"/>
  <w15:chartTrackingRefBased/>
  <w15:docId w15:val="{935F84F4-7B4D-4B1C-AF4F-73B0AE58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0A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656386"/>
    <w:pPr>
      <w:snapToGrid w:val="0"/>
      <w:spacing w:afterLines="100" w:after="312" w:line="259" w:lineRule="auto"/>
      <w:ind w:right="666"/>
      <w:jc w:val="center"/>
      <w:outlineLvl w:val="0"/>
    </w:pPr>
    <w:rPr>
      <w:rFonts w:hAnsi="Calibri"/>
      <w:b/>
      <w:spacing w:val="-1"/>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20AE"/>
    <w:pPr>
      <w:tabs>
        <w:tab w:val="center" w:pos="4153"/>
        <w:tab w:val="right" w:pos="8306"/>
      </w:tabs>
      <w:snapToGrid w:val="0"/>
      <w:jc w:val="center"/>
    </w:pPr>
    <w:rPr>
      <w:sz w:val="18"/>
      <w:szCs w:val="18"/>
    </w:rPr>
  </w:style>
  <w:style w:type="character" w:customStyle="1" w:styleId="Char">
    <w:name w:val="页眉 Char"/>
    <w:basedOn w:val="a0"/>
    <w:link w:val="a3"/>
    <w:uiPriority w:val="99"/>
    <w:rsid w:val="009520AE"/>
    <w:rPr>
      <w:sz w:val="18"/>
      <w:szCs w:val="18"/>
    </w:rPr>
  </w:style>
  <w:style w:type="paragraph" w:styleId="a4">
    <w:name w:val="footer"/>
    <w:basedOn w:val="a"/>
    <w:link w:val="Char0"/>
    <w:uiPriority w:val="99"/>
    <w:unhideWhenUsed/>
    <w:rsid w:val="009520AE"/>
    <w:pPr>
      <w:tabs>
        <w:tab w:val="center" w:pos="4153"/>
        <w:tab w:val="right" w:pos="8306"/>
      </w:tabs>
      <w:snapToGrid w:val="0"/>
      <w:jc w:val="left"/>
    </w:pPr>
    <w:rPr>
      <w:sz w:val="18"/>
      <w:szCs w:val="18"/>
    </w:rPr>
  </w:style>
  <w:style w:type="character" w:customStyle="1" w:styleId="Char0">
    <w:name w:val="页脚 Char"/>
    <w:basedOn w:val="a0"/>
    <w:link w:val="a4"/>
    <w:uiPriority w:val="99"/>
    <w:rsid w:val="009520AE"/>
    <w:rPr>
      <w:sz w:val="18"/>
      <w:szCs w:val="18"/>
    </w:rPr>
  </w:style>
  <w:style w:type="paragraph" w:styleId="a5">
    <w:name w:val="annotation text"/>
    <w:link w:val="Char1"/>
    <w:uiPriority w:val="99"/>
    <w:semiHidden/>
    <w:unhideWhenUsed/>
    <w:rsid w:val="009520AE"/>
    <w:pPr>
      <w:spacing w:after="160"/>
    </w:pPr>
    <w:rPr>
      <w:rFonts w:ascii="等线" w:eastAsia="等线" w:hAnsi="等线" w:cs="Arial"/>
      <w:kern w:val="0"/>
      <w:sz w:val="20"/>
      <w:szCs w:val="20"/>
    </w:rPr>
  </w:style>
  <w:style w:type="character" w:customStyle="1" w:styleId="a6">
    <w:name w:val="批注文字 字符"/>
    <w:basedOn w:val="a0"/>
    <w:uiPriority w:val="99"/>
    <w:semiHidden/>
    <w:rsid w:val="009520AE"/>
    <w:rPr>
      <w:rFonts w:ascii="Times New Roman" w:eastAsia="宋体" w:hAnsi="Times New Roman" w:cs="Times New Roman"/>
      <w:szCs w:val="21"/>
    </w:rPr>
  </w:style>
  <w:style w:type="character" w:styleId="a7">
    <w:name w:val="annotation reference"/>
    <w:uiPriority w:val="99"/>
    <w:semiHidden/>
    <w:unhideWhenUsed/>
    <w:rsid w:val="009520AE"/>
    <w:rPr>
      <w:sz w:val="16"/>
      <w:szCs w:val="16"/>
    </w:rPr>
  </w:style>
  <w:style w:type="character" w:customStyle="1" w:styleId="Char1">
    <w:name w:val="批注文字 Char"/>
    <w:link w:val="a5"/>
    <w:uiPriority w:val="99"/>
    <w:semiHidden/>
    <w:rsid w:val="009520AE"/>
    <w:rPr>
      <w:rFonts w:ascii="等线" w:eastAsia="等线" w:hAnsi="等线" w:cs="Arial"/>
      <w:kern w:val="0"/>
      <w:sz w:val="20"/>
      <w:szCs w:val="20"/>
    </w:rPr>
  </w:style>
  <w:style w:type="paragraph" w:styleId="a8">
    <w:name w:val="annotation subject"/>
    <w:basedOn w:val="a5"/>
    <w:next w:val="a5"/>
    <w:link w:val="Char2"/>
    <w:uiPriority w:val="99"/>
    <w:semiHidden/>
    <w:unhideWhenUsed/>
    <w:rsid w:val="006B3939"/>
    <w:pPr>
      <w:widowControl w:val="0"/>
      <w:spacing w:after="0"/>
    </w:pPr>
    <w:rPr>
      <w:rFonts w:ascii="Times New Roman" w:eastAsia="宋体" w:hAnsi="Times New Roman" w:cs="Times New Roman"/>
      <w:b/>
      <w:bCs/>
      <w:kern w:val="2"/>
      <w:sz w:val="21"/>
      <w:szCs w:val="21"/>
    </w:rPr>
  </w:style>
  <w:style w:type="character" w:customStyle="1" w:styleId="Char2">
    <w:name w:val="批注主题 Char"/>
    <w:basedOn w:val="Char1"/>
    <w:link w:val="a8"/>
    <w:uiPriority w:val="99"/>
    <w:semiHidden/>
    <w:rsid w:val="006B3939"/>
    <w:rPr>
      <w:rFonts w:ascii="Times New Roman" w:eastAsia="宋体" w:hAnsi="Times New Roman" w:cs="Times New Roman"/>
      <w:b/>
      <w:bCs/>
      <w:kern w:val="0"/>
      <w:sz w:val="20"/>
      <w:szCs w:val="21"/>
    </w:rPr>
  </w:style>
  <w:style w:type="paragraph" w:styleId="a9">
    <w:name w:val="Revision"/>
    <w:hidden/>
    <w:uiPriority w:val="99"/>
    <w:semiHidden/>
    <w:rsid w:val="009878D0"/>
    <w:rPr>
      <w:rFonts w:ascii="Times New Roman" w:eastAsia="宋体" w:hAnsi="Times New Roman" w:cs="Times New Roman"/>
      <w:szCs w:val="21"/>
    </w:rPr>
  </w:style>
  <w:style w:type="paragraph" w:styleId="aa">
    <w:name w:val="List Paragraph"/>
    <w:basedOn w:val="a"/>
    <w:uiPriority w:val="34"/>
    <w:qFormat/>
    <w:rsid w:val="007E5458"/>
    <w:pPr>
      <w:ind w:firstLineChars="200" w:firstLine="420"/>
    </w:pPr>
  </w:style>
  <w:style w:type="paragraph" w:styleId="ab">
    <w:name w:val="Balloon Text"/>
    <w:basedOn w:val="a"/>
    <w:link w:val="Char3"/>
    <w:uiPriority w:val="99"/>
    <w:semiHidden/>
    <w:unhideWhenUsed/>
    <w:rsid w:val="00661B6F"/>
    <w:rPr>
      <w:sz w:val="18"/>
      <w:szCs w:val="18"/>
    </w:rPr>
  </w:style>
  <w:style w:type="character" w:customStyle="1" w:styleId="Char3">
    <w:name w:val="批注框文本 Char"/>
    <w:basedOn w:val="a0"/>
    <w:link w:val="ab"/>
    <w:uiPriority w:val="99"/>
    <w:semiHidden/>
    <w:rsid w:val="00661B6F"/>
    <w:rPr>
      <w:rFonts w:ascii="Times New Roman" w:eastAsia="宋体" w:hAnsi="Times New Roman" w:cs="Times New Roman"/>
      <w:sz w:val="18"/>
      <w:szCs w:val="18"/>
    </w:rPr>
  </w:style>
  <w:style w:type="character" w:customStyle="1" w:styleId="1Char">
    <w:name w:val="标题 1 Char"/>
    <w:basedOn w:val="a0"/>
    <w:link w:val="1"/>
    <w:uiPriority w:val="9"/>
    <w:rsid w:val="00656386"/>
    <w:rPr>
      <w:rFonts w:ascii="Times New Roman" w:eastAsia="宋体" w:hAnsi="Calibri" w:cs="Times New Roman"/>
      <w:b/>
      <w:spacing w:val="-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0308">
      <w:bodyDiv w:val="1"/>
      <w:marLeft w:val="0"/>
      <w:marRight w:val="0"/>
      <w:marTop w:val="0"/>
      <w:marBottom w:val="0"/>
      <w:divBdr>
        <w:top w:val="none" w:sz="0" w:space="0" w:color="auto"/>
        <w:left w:val="none" w:sz="0" w:space="0" w:color="auto"/>
        <w:bottom w:val="none" w:sz="0" w:space="0" w:color="auto"/>
        <w:right w:val="none" w:sz="0" w:space="0" w:color="auto"/>
      </w:divBdr>
    </w:div>
    <w:div w:id="234827523">
      <w:bodyDiv w:val="1"/>
      <w:marLeft w:val="0"/>
      <w:marRight w:val="0"/>
      <w:marTop w:val="0"/>
      <w:marBottom w:val="0"/>
      <w:divBdr>
        <w:top w:val="none" w:sz="0" w:space="0" w:color="auto"/>
        <w:left w:val="none" w:sz="0" w:space="0" w:color="auto"/>
        <w:bottom w:val="none" w:sz="0" w:space="0" w:color="auto"/>
        <w:right w:val="none" w:sz="0" w:space="0" w:color="auto"/>
      </w:divBdr>
    </w:div>
    <w:div w:id="245382760">
      <w:bodyDiv w:val="1"/>
      <w:marLeft w:val="0"/>
      <w:marRight w:val="0"/>
      <w:marTop w:val="0"/>
      <w:marBottom w:val="0"/>
      <w:divBdr>
        <w:top w:val="none" w:sz="0" w:space="0" w:color="auto"/>
        <w:left w:val="none" w:sz="0" w:space="0" w:color="auto"/>
        <w:bottom w:val="none" w:sz="0" w:space="0" w:color="auto"/>
        <w:right w:val="none" w:sz="0" w:space="0" w:color="auto"/>
      </w:divBdr>
    </w:div>
    <w:div w:id="558518428">
      <w:bodyDiv w:val="1"/>
      <w:marLeft w:val="0"/>
      <w:marRight w:val="0"/>
      <w:marTop w:val="0"/>
      <w:marBottom w:val="0"/>
      <w:divBdr>
        <w:top w:val="none" w:sz="0" w:space="0" w:color="auto"/>
        <w:left w:val="none" w:sz="0" w:space="0" w:color="auto"/>
        <w:bottom w:val="none" w:sz="0" w:space="0" w:color="auto"/>
        <w:right w:val="none" w:sz="0" w:space="0" w:color="auto"/>
      </w:divBdr>
    </w:div>
    <w:div w:id="617906166">
      <w:bodyDiv w:val="1"/>
      <w:marLeft w:val="0"/>
      <w:marRight w:val="0"/>
      <w:marTop w:val="0"/>
      <w:marBottom w:val="0"/>
      <w:divBdr>
        <w:top w:val="none" w:sz="0" w:space="0" w:color="auto"/>
        <w:left w:val="none" w:sz="0" w:space="0" w:color="auto"/>
        <w:bottom w:val="none" w:sz="0" w:space="0" w:color="auto"/>
        <w:right w:val="none" w:sz="0" w:space="0" w:color="auto"/>
      </w:divBdr>
    </w:div>
    <w:div w:id="849485883">
      <w:bodyDiv w:val="1"/>
      <w:marLeft w:val="0"/>
      <w:marRight w:val="0"/>
      <w:marTop w:val="0"/>
      <w:marBottom w:val="0"/>
      <w:divBdr>
        <w:top w:val="none" w:sz="0" w:space="0" w:color="auto"/>
        <w:left w:val="none" w:sz="0" w:space="0" w:color="auto"/>
        <w:bottom w:val="none" w:sz="0" w:space="0" w:color="auto"/>
        <w:right w:val="none" w:sz="0" w:space="0" w:color="auto"/>
      </w:divBdr>
    </w:div>
    <w:div w:id="866524297">
      <w:bodyDiv w:val="1"/>
      <w:marLeft w:val="0"/>
      <w:marRight w:val="0"/>
      <w:marTop w:val="0"/>
      <w:marBottom w:val="0"/>
      <w:divBdr>
        <w:top w:val="none" w:sz="0" w:space="0" w:color="auto"/>
        <w:left w:val="none" w:sz="0" w:space="0" w:color="auto"/>
        <w:bottom w:val="none" w:sz="0" w:space="0" w:color="auto"/>
        <w:right w:val="none" w:sz="0" w:space="0" w:color="auto"/>
      </w:divBdr>
    </w:div>
    <w:div w:id="1116102420">
      <w:bodyDiv w:val="1"/>
      <w:marLeft w:val="0"/>
      <w:marRight w:val="0"/>
      <w:marTop w:val="0"/>
      <w:marBottom w:val="0"/>
      <w:divBdr>
        <w:top w:val="none" w:sz="0" w:space="0" w:color="auto"/>
        <w:left w:val="none" w:sz="0" w:space="0" w:color="auto"/>
        <w:bottom w:val="none" w:sz="0" w:space="0" w:color="auto"/>
        <w:right w:val="none" w:sz="0" w:space="0" w:color="auto"/>
      </w:divBdr>
    </w:div>
    <w:div w:id="1250307312">
      <w:bodyDiv w:val="1"/>
      <w:marLeft w:val="0"/>
      <w:marRight w:val="0"/>
      <w:marTop w:val="0"/>
      <w:marBottom w:val="0"/>
      <w:divBdr>
        <w:top w:val="none" w:sz="0" w:space="0" w:color="auto"/>
        <w:left w:val="none" w:sz="0" w:space="0" w:color="auto"/>
        <w:bottom w:val="none" w:sz="0" w:space="0" w:color="auto"/>
        <w:right w:val="none" w:sz="0" w:space="0" w:color="auto"/>
      </w:divBdr>
    </w:div>
    <w:div w:id="1621456324">
      <w:bodyDiv w:val="1"/>
      <w:marLeft w:val="0"/>
      <w:marRight w:val="0"/>
      <w:marTop w:val="0"/>
      <w:marBottom w:val="0"/>
      <w:divBdr>
        <w:top w:val="none" w:sz="0" w:space="0" w:color="auto"/>
        <w:left w:val="none" w:sz="0" w:space="0" w:color="auto"/>
        <w:bottom w:val="none" w:sz="0" w:space="0" w:color="auto"/>
        <w:right w:val="none" w:sz="0" w:space="0" w:color="auto"/>
      </w:divBdr>
    </w:div>
    <w:div w:id="1914706012">
      <w:bodyDiv w:val="1"/>
      <w:marLeft w:val="0"/>
      <w:marRight w:val="0"/>
      <w:marTop w:val="0"/>
      <w:marBottom w:val="0"/>
      <w:divBdr>
        <w:top w:val="none" w:sz="0" w:space="0" w:color="auto"/>
        <w:left w:val="none" w:sz="0" w:space="0" w:color="auto"/>
        <w:bottom w:val="none" w:sz="0" w:space="0" w:color="auto"/>
        <w:right w:val="none" w:sz="0" w:space="0" w:color="auto"/>
      </w:divBdr>
    </w:div>
    <w:div w:id="1943103437">
      <w:bodyDiv w:val="1"/>
      <w:marLeft w:val="0"/>
      <w:marRight w:val="0"/>
      <w:marTop w:val="0"/>
      <w:marBottom w:val="0"/>
      <w:divBdr>
        <w:top w:val="none" w:sz="0" w:space="0" w:color="auto"/>
        <w:left w:val="none" w:sz="0" w:space="0" w:color="auto"/>
        <w:bottom w:val="none" w:sz="0" w:space="0" w:color="auto"/>
        <w:right w:val="none" w:sz="0" w:space="0" w:color="auto"/>
      </w:divBdr>
    </w:div>
    <w:div w:id="1981499922">
      <w:bodyDiv w:val="1"/>
      <w:marLeft w:val="0"/>
      <w:marRight w:val="0"/>
      <w:marTop w:val="0"/>
      <w:marBottom w:val="0"/>
      <w:divBdr>
        <w:top w:val="none" w:sz="0" w:space="0" w:color="auto"/>
        <w:left w:val="none" w:sz="0" w:space="0" w:color="auto"/>
        <w:bottom w:val="none" w:sz="0" w:space="0" w:color="auto"/>
        <w:right w:val="none" w:sz="0" w:space="0" w:color="auto"/>
      </w:divBdr>
    </w:div>
    <w:div w:id="204578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2083</Words>
  <Characters>11879</Characters>
  <Application>Microsoft Office Word</Application>
  <DocSecurity>0</DocSecurity>
  <Lines>98</Lines>
  <Paragraphs>27</Paragraphs>
  <ScaleCrop>false</ScaleCrop>
  <Company/>
  <LinksUpToDate>false</LinksUpToDate>
  <CharactersWithSpaces>13935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53</cp:revision>
  <dcterms:created xsi:type="dcterms:W3CDTF">2024-08-05T01:17:00Z</dcterms:created>
  <dcterms:modified xsi:type="dcterms:W3CDTF">2025-07-07T07:07:00Z</dcterms:modified>
</cp:coreProperties>
</file>