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EC" w:rsidRPr="00E2506B" w:rsidRDefault="00F217EC" w:rsidP="00F217EC">
      <w:pPr>
        <w:widowControl/>
        <w:adjustRightInd w:val="0"/>
        <w:snapToGrid w:val="0"/>
        <w:spacing w:afterLines="100" w:after="312" w:line="276" w:lineRule="auto"/>
        <w:rPr>
          <w:rFonts w:ascii="Times New Roman" w:eastAsia="华文中宋" w:hAnsi="Times New Roman" w:cs="Times New Roman"/>
          <w:b/>
          <w:sz w:val="22"/>
        </w:rPr>
      </w:pPr>
      <w:r w:rsidRPr="00E2506B">
        <w:rPr>
          <w:rFonts w:ascii="Times New Roman" w:eastAsia="华文中宋" w:hAnsi="Times New Roman" w:cs="Times New Roman"/>
          <w:b/>
          <w:sz w:val="22"/>
        </w:rPr>
        <w:t>Appendix 3</w:t>
      </w:r>
      <w:r w:rsidR="00C22EDB">
        <w:rPr>
          <w:rFonts w:ascii="Times New Roman" w:eastAsia="华文中宋" w:hAnsi="Times New Roman" w:cs="Times New Roman" w:hint="eastAsia"/>
          <w:b/>
          <w:sz w:val="22"/>
        </w:rPr>
        <w:t>6</w:t>
      </w:r>
      <w:r w:rsidR="00C22EDB">
        <w:rPr>
          <w:rFonts w:ascii="Times New Roman" w:eastAsia="华文中宋" w:hAnsi="Times New Roman" w:cs="Times New Roman" w:hint="eastAsia"/>
          <w:b/>
          <w:sz w:val="22"/>
        </w:rPr>
        <w:t>：</w:t>
      </w:r>
    </w:p>
    <w:p w:rsidR="00C22EDB" w:rsidRDefault="00F217EC" w:rsidP="00C22EDB">
      <w:pPr>
        <w:widowControl/>
        <w:adjustRightInd w:val="0"/>
        <w:snapToGrid w:val="0"/>
        <w:spacing w:afterLines="100" w:after="312" w:line="276" w:lineRule="auto"/>
        <w:jc w:val="center"/>
        <w:rPr>
          <w:rFonts w:ascii="Times New Roman" w:eastAsia="华文中宋" w:hAnsi="Times New Roman" w:cs="Times New Roman"/>
          <w:b/>
          <w:sz w:val="24"/>
        </w:rPr>
      </w:pPr>
      <w:r w:rsidRPr="00E2506B">
        <w:rPr>
          <w:rFonts w:ascii="Times New Roman" w:eastAsia="华文中宋" w:hAnsi="Times New Roman" w:cs="Times New Roman"/>
          <w:b/>
          <w:sz w:val="24"/>
        </w:rPr>
        <w:t>CAST ALUMINUM ALLOY FUTURES RULES OF THE SHANGHAI FUTURES EXCHANGE</w:t>
      </w:r>
    </w:p>
    <w:p w:rsidR="00F217EC" w:rsidRPr="00C22EDB" w:rsidRDefault="00C22EDB" w:rsidP="00C22EDB">
      <w:pPr>
        <w:widowControl/>
        <w:adjustRightInd w:val="0"/>
        <w:snapToGrid w:val="0"/>
        <w:spacing w:afterLines="100" w:after="312" w:line="276" w:lineRule="auto"/>
        <w:jc w:val="center"/>
        <w:rPr>
          <w:rFonts w:ascii="Times New Roman" w:eastAsia="华文中宋" w:hAnsi="Times New Roman" w:cs="Times New Roman"/>
          <w:b/>
          <w:sz w:val="22"/>
        </w:rPr>
      </w:pPr>
      <w:r w:rsidRPr="00566DC9">
        <w:rPr>
          <w:rFonts w:ascii="Times New Roman" w:hAnsi="Times New Roman" w:cs="Times New Roman"/>
          <w:b/>
          <w:spacing w:val="-1"/>
          <w:kern w:val="0"/>
          <w:sz w:val="22"/>
          <w:lang w:eastAsia="en-US"/>
        </w:rPr>
        <w:t>(revised)</w:t>
      </w:r>
      <w:bookmarkStart w:id="0" w:name="_Hlk46334348"/>
    </w:p>
    <w:bookmarkEnd w:id="0"/>
    <w:p w:rsidR="00F217EC" w:rsidRPr="00E2506B" w:rsidRDefault="00F217EC" w:rsidP="00F217EC">
      <w:pPr>
        <w:widowControl/>
        <w:tabs>
          <w:tab w:val="left" w:pos="1560"/>
        </w:tabs>
        <w:adjustRightInd w:val="0"/>
        <w:snapToGrid w:val="0"/>
        <w:spacing w:beforeLines="150" w:before="468" w:afterLines="100" w:after="312" w:line="276" w:lineRule="auto"/>
        <w:jc w:val="center"/>
        <w:rPr>
          <w:rFonts w:ascii="Times New Roman" w:eastAsia="宋体" w:hAnsi="Times New Roman" w:cs="Times New Roman"/>
          <w:b/>
          <w:sz w:val="22"/>
        </w:rPr>
      </w:pPr>
      <w:r w:rsidRPr="00E2506B">
        <w:rPr>
          <w:rFonts w:ascii="Times New Roman" w:eastAsia="宋体" w:hAnsi="Times New Roman" w:cs="Times New Roman"/>
          <w:b/>
          <w:sz w:val="22"/>
        </w:rPr>
        <w:t>CHAPTER 1</w:t>
      </w:r>
      <w:r w:rsidRPr="00E2506B">
        <w:rPr>
          <w:rFonts w:ascii="Times New Roman" w:eastAsia="宋体" w:hAnsi="Times New Roman" w:cs="Times New Roman"/>
          <w:b/>
          <w:sz w:val="22"/>
        </w:rPr>
        <w:tab/>
        <w:t>GENERAL PROVISIONS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bookmarkStart w:id="1" w:name="_Hlk501444119"/>
      <w:r w:rsidRPr="00E2506B">
        <w:rPr>
          <w:rFonts w:ascii="Times New Roman" w:eastAsia="宋体" w:hAnsi="Times New Roman" w:cs="Times New Roman"/>
          <w:b/>
          <w:bCs/>
          <w:sz w:val="22"/>
        </w:rPr>
        <w:t>Article 1</w:t>
      </w:r>
      <w:r w:rsidRPr="00E2506B">
        <w:rPr>
          <w:rFonts w:ascii="Times New Roman" w:eastAsia="宋体" w:hAnsi="Times New Roman" w:cs="Times New Roman"/>
          <w:sz w:val="22"/>
        </w:rPr>
        <w:tab/>
        <w:t xml:space="preserve">These </w:t>
      </w:r>
      <w:r w:rsidRPr="00E2506B">
        <w:rPr>
          <w:rFonts w:ascii="Times New Roman" w:eastAsia="宋体" w:hAnsi="Times New Roman" w:cs="Times New Roman"/>
          <w:i/>
          <w:sz w:val="22"/>
        </w:rPr>
        <w:t>Cast Aluminum Alloy Futures Rules</w:t>
      </w:r>
      <w:r w:rsidRPr="00E2506B">
        <w:rPr>
          <w:rFonts w:ascii="Times New Roman" w:eastAsia="宋体" w:hAnsi="Times New Roman" w:cs="Times New Roman"/>
          <w:sz w:val="22"/>
        </w:rPr>
        <w:t xml:space="preserve"> are made in accordance with the </w:t>
      </w:r>
      <w:r w:rsidRPr="00E2506B">
        <w:rPr>
          <w:rFonts w:ascii="Times New Roman" w:eastAsia="宋体" w:hAnsi="Times New Roman" w:cs="Times New Roman"/>
          <w:i/>
          <w:iCs/>
          <w:sz w:val="22"/>
        </w:rPr>
        <w:t>General Exchange Rules of the Shanghai Futures Exchange</w:t>
      </w:r>
      <w:r w:rsidRPr="00E2506B">
        <w:rPr>
          <w:rFonts w:ascii="Times New Roman" w:eastAsia="宋体" w:hAnsi="Times New Roman" w:cs="Times New Roman"/>
          <w:sz w:val="22"/>
        </w:rPr>
        <w:t>, the</w:t>
      </w:r>
      <w:r w:rsidRPr="00E2506B">
        <w:rPr>
          <w:rFonts w:ascii="Times New Roman" w:eastAsia="宋体" w:hAnsi="Times New Roman" w:cs="Times New Roman"/>
          <w:i/>
          <w:iCs/>
          <w:sz w:val="22"/>
        </w:rPr>
        <w:t xml:space="preserve"> SHFE Cast Aluminum Alloy Futures Contract Specifications</w:t>
      </w:r>
      <w:r w:rsidRPr="00E2506B">
        <w:rPr>
          <w:rFonts w:ascii="Times New Roman" w:eastAsia="宋体" w:hAnsi="Times New Roman" w:cs="Times New Roman"/>
          <w:sz w:val="22"/>
        </w:rPr>
        <w:t>, and the relevant business rules</w:t>
      </w:r>
      <w:r w:rsidRPr="00E2506B">
        <w:rPr>
          <w:rFonts w:ascii="Times New Roman" w:eastAsia="宋体" w:hAnsi="Times New Roman" w:cs="Times New Roman"/>
          <w:b/>
          <w:bCs/>
          <w:sz w:val="22"/>
        </w:rPr>
        <w:t xml:space="preserve"> </w:t>
      </w:r>
      <w:r w:rsidRPr="00E2506B">
        <w:rPr>
          <w:rFonts w:ascii="Times New Roman" w:eastAsia="宋体" w:hAnsi="Times New Roman" w:cs="Times New Roman"/>
          <w:sz w:val="22"/>
        </w:rPr>
        <w:t>to regulate business related to cast aluminum alloy futures at the Shanghai Futures Exchange (the “Exchange”).</w:t>
      </w:r>
    </w:p>
    <w:bookmarkEnd w:id="1"/>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color w:val="000000"/>
          <w:kern w:val="0"/>
          <w:sz w:val="22"/>
        </w:rPr>
      </w:pPr>
      <w:r w:rsidRPr="00E2506B">
        <w:rPr>
          <w:rFonts w:ascii="Times New Roman" w:eastAsia="宋体" w:hAnsi="Times New Roman" w:cs="Times New Roman"/>
          <w:b/>
          <w:bCs/>
          <w:color w:val="000000"/>
          <w:sz w:val="22"/>
        </w:rPr>
        <w:t>Article 2</w:t>
      </w:r>
      <w:r w:rsidRPr="00E2506B">
        <w:rPr>
          <w:rFonts w:ascii="Times New Roman" w:eastAsia="宋体" w:hAnsi="Times New Roman" w:cs="Times New Roman"/>
          <w:color w:val="000000"/>
          <w:sz w:val="22"/>
        </w:rPr>
        <w:tab/>
        <w:t xml:space="preserve">These </w:t>
      </w:r>
      <w:r w:rsidRPr="00E2506B">
        <w:rPr>
          <w:rFonts w:ascii="Times New Roman" w:eastAsia="宋体" w:hAnsi="Times New Roman" w:cs="Times New Roman"/>
          <w:i/>
          <w:sz w:val="22"/>
        </w:rPr>
        <w:t>Cast Aluminum Alloy Futures Rules</w:t>
      </w:r>
      <w:r w:rsidRPr="00E2506B">
        <w:rPr>
          <w:rFonts w:ascii="Times New Roman" w:eastAsia="宋体" w:hAnsi="Times New Roman" w:cs="Times New Roman"/>
          <w:color w:val="000000"/>
          <w:sz w:val="22"/>
        </w:rPr>
        <w:t xml:space="preserve"> shall be observed by the Exchange, Members, Clients, Delivery Storage Facilities, Designated Inspection Agencies, Futures Margin Depository Institutions, and other participants of the futures market.</w:t>
      </w:r>
    </w:p>
    <w:p w:rsidR="00F217EC" w:rsidRPr="00E2506B" w:rsidRDefault="00F217EC" w:rsidP="00F217EC">
      <w:pPr>
        <w:widowControl/>
        <w:tabs>
          <w:tab w:val="left" w:pos="1560"/>
        </w:tabs>
        <w:adjustRightInd w:val="0"/>
        <w:snapToGrid w:val="0"/>
        <w:spacing w:beforeLines="150" w:before="468" w:afterLines="100" w:after="312" w:line="276" w:lineRule="auto"/>
        <w:jc w:val="center"/>
        <w:rPr>
          <w:rFonts w:ascii="Times New Roman" w:eastAsia="宋体" w:hAnsi="Times New Roman" w:cs="Times New Roman"/>
          <w:b/>
          <w:sz w:val="22"/>
        </w:rPr>
      </w:pPr>
      <w:bookmarkStart w:id="2" w:name="OLE_LINK1"/>
      <w:r w:rsidRPr="00E2506B">
        <w:rPr>
          <w:rFonts w:ascii="Times New Roman" w:eastAsia="宋体" w:hAnsi="Times New Roman" w:cs="Times New Roman"/>
          <w:b/>
          <w:sz w:val="22"/>
        </w:rPr>
        <w:t>CHAPTER 2</w:t>
      </w:r>
      <w:r w:rsidRPr="00E2506B">
        <w:rPr>
          <w:rFonts w:ascii="Times New Roman" w:eastAsia="宋体" w:hAnsi="Times New Roman" w:cs="Times New Roman"/>
          <w:b/>
          <w:sz w:val="22"/>
        </w:rPr>
        <w:tab/>
        <w:t>TRADING</w:t>
      </w:r>
    </w:p>
    <w:bookmarkEnd w:id="2"/>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3</w:t>
      </w:r>
      <w:r w:rsidRPr="00E2506B">
        <w:rPr>
          <w:rFonts w:ascii="Times New Roman" w:eastAsia="宋体" w:hAnsi="Times New Roman" w:cs="Times New Roman"/>
          <w:sz w:val="22"/>
        </w:rPr>
        <w:tab/>
        <w:t>Contract size for cast aluminum alloy futures is ten (10) metric tons per lot.</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color w:val="000000"/>
          <w:sz w:val="22"/>
        </w:rPr>
        <w:t>Article 4</w:t>
      </w:r>
      <w:r w:rsidRPr="00E2506B">
        <w:rPr>
          <w:rFonts w:ascii="Times New Roman" w:eastAsia="宋体" w:hAnsi="Times New Roman" w:cs="Times New Roman"/>
          <w:color w:val="000000"/>
          <w:sz w:val="22"/>
        </w:rPr>
        <w:tab/>
        <w:t xml:space="preserve">Price quotation of a </w:t>
      </w:r>
      <w:r w:rsidRPr="00E2506B">
        <w:rPr>
          <w:rFonts w:ascii="Times New Roman" w:eastAsia="宋体" w:hAnsi="Times New Roman" w:cs="Times New Roman"/>
          <w:sz w:val="22"/>
        </w:rPr>
        <w:t>cast aluminum alloy futures contract is Yuan (RMB)/metric ton.</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5</w:t>
      </w:r>
      <w:r w:rsidRPr="00E2506B">
        <w:rPr>
          <w:rFonts w:ascii="Times New Roman" w:eastAsia="宋体" w:hAnsi="Times New Roman" w:cs="Times New Roman"/>
          <w:sz w:val="22"/>
        </w:rPr>
        <w:tab/>
        <w:t>Minimum price fluctuation of a cast aluminum alloy futures contract is five (5) Yuan/metric ton.</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6</w:t>
      </w:r>
      <w:r w:rsidRPr="00E2506B">
        <w:rPr>
          <w:rFonts w:ascii="Times New Roman" w:eastAsia="宋体" w:hAnsi="Times New Roman" w:cs="Times New Roman"/>
          <w:sz w:val="22"/>
        </w:rPr>
        <w:tab/>
        <w:t>Listed contracts of cast aluminum alloy futures cover the most recent twelve (12) months.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7</w:t>
      </w:r>
      <w:r w:rsidRPr="00E2506B">
        <w:rPr>
          <w:rFonts w:ascii="Times New Roman" w:eastAsia="宋体" w:hAnsi="Times New Roman" w:cs="Times New Roman"/>
          <w:sz w:val="22"/>
        </w:rPr>
        <w:tab/>
        <w:t>Trading hours of a cast aluminum alloy futures contract are 9:00 a.m. to 11:30 a.m., 1:30 p.m. to 3:00 p.m., and other hours specified by the Exchange.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8</w:t>
      </w:r>
      <w:r w:rsidRPr="00E2506B">
        <w:rPr>
          <w:rFonts w:ascii="Times New Roman" w:eastAsia="宋体" w:hAnsi="Times New Roman" w:cs="Times New Roman"/>
          <w:sz w:val="22"/>
        </w:rPr>
        <w:tab/>
        <w:t>The last trading day of a cast aluminum alloy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9</w:t>
      </w:r>
      <w:r w:rsidRPr="00E2506B">
        <w:rPr>
          <w:rFonts w:ascii="Times New Roman" w:eastAsia="宋体" w:hAnsi="Times New Roman" w:cs="Times New Roman"/>
          <w:sz w:val="22"/>
        </w:rPr>
        <w:tab/>
        <w:t>Contract symbol of cast aluminum alloy futures is AD.</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10</w:t>
      </w:r>
      <w:r w:rsidRPr="00E2506B">
        <w:rPr>
          <w:rFonts w:ascii="Times New Roman" w:eastAsia="宋体" w:hAnsi="Times New Roman" w:cs="Times New Roman"/>
          <w:sz w:val="22"/>
        </w:rPr>
        <w:tab/>
        <w:t>For the hedging and arbitrage</w:t>
      </w:r>
      <w:r w:rsidR="002378FC" w:rsidRPr="009A3FC0">
        <w:rPr>
          <w:rFonts w:ascii="Times New Roman" w:eastAsia="宋体" w:hAnsi="Times New Roman" w:cs="Times New Roman"/>
          <w:sz w:val="22"/>
        </w:rPr>
        <w:t xml:space="preserve"> position</w:t>
      </w:r>
      <w:r w:rsidRPr="00E2506B">
        <w:rPr>
          <w:rFonts w:ascii="Times New Roman" w:eastAsia="宋体" w:hAnsi="Times New Roman" w:cs="Times New Roman"/>
          <w:sz w:val="22"/>
        </w:rPr>
        <w:t xml:space="preserve"> quotas of a cast aluminum alloy futures contract, regular months extend from the day of listing to the last trading day of the second month before the delivery month, while nearby delivery months cover the month before the delivery month and the delivery month.</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lastRenderedPageBreak/>
        <w:t>Article 11</w:t>
      </w:r>
      <w:r w:rsidRPr="00E2506B">
        <w:rPr>
          <w:rFonts w:ascii="Times New Roman" w:eastAsia="宋体" w:hAnsi="Times New Roman" w:cs="Times New Roman"/>
          <w:sz w:val="22"/>
        </w:rPr>
        <w:tab/>
        <w:t>An application for a regular month hedging</w:t>
      </w:r>
      <w:r w:rsidR="002378FC" w:rsidRPr="009A3FC0">
        <w:rPr>
          <w:rFonts w:ascii="Times New Roman" w:eastAsia="宋体" w:hAnsi="Times New Roman" w:cs="Times New Roman"/>
          <w:sz w:val="22"/>
        </w:rPr>
        <w:t xml:space="preserve"> position</w:t>
      </w:r>
      <w:r w:rsidRPr="00E2506B">
        <w:rPr>
          <w:rFonts w:ascii="Times New Roman" w:eastAsia="宋体" w:hAnsi="Times New Roman" w:cs="Times New Roman"/>
          <w:sz w:val="22"/>
        </w:rPr>
        <w:t xml:space="preserve"> quota of a cast aluminum alloy futures contract shall be submitted by the last trading day of the second month before the delivery month of the contract. Late applications will not be accepted by the Exchange.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An application for a nearby delivery month hedging</w:t>
      </w:r>
      <w:r w:rsidR="002378FC" w:rsidRPr="009A3FC0">
        <w:rPr>
          <w:rFonts w:ascii="Times New Roman" w:eastAsia="宋体" w:hAnsi="Times New Roman" w:cs="Times New Roman"/>
          <w:sz w:val="22"/>
        </w:rPr>
        <w:t xml:space="preserve"> position</w:t>
      </w:r>
      <w:r w:rsidRPr="00E2506B">
        <w:rPr>
          <w:rFonts w:ascii="Times New Roman" w:eastAsia="宋体" w:hAnsi="Times New Roman" w:cs="Times New Roman"/>
          <w:sz w:val="22"/>
        </w:rPr>
        <w:t xml:space="preserve"> quota of a cast aluminum alloy futures contract shall be submitted between the first trading day of the third month before the delivery month of the contract and the last trading day of the month before the delivery month. Late applications will not be accepted by the Exchange. An application for a nearby delivery month arbitrage</w:t>
      </w:r>
      <w:r w:rsidR="002378FC" w:rsidRPr="009A3FC0">
        <w:rPr>
          <w:rFonts w:ascii="Times New Roman" w:eastAsia="宋体" w:hAnsi="Times New Roman" w:cs="Times New Roman"/>
          <w:sz w:val="22"/>
        </w:rPr>
        <w:t xml:space="preserve"> position</w:t>
      </w:r>
      <w:r w:rsidRPr="00E2506B">
        <w:rPr>
          <w:rFonts w:ascii="Times New Roman" w:eastAsia="宋体" w:hAnsi="Times New Roman" w:cs="Times New Roman"/>
          <w:sz w:val="22"/>
        </w:rPr>
        <w:t xml:space="preserve"> quota of a cast aluminum alloy futures contract shall be submitted between the first trading day of the second month before the delivery month of the contract and the last trading day of the month before the delivery month. Late applications will not be accepted by the Exchange.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12</w:t>
      </w:r>
      <w:r w:rsidRPr="00E2506B">
        <w:rPr>
          <w:rFonts w:ascii="Times New Roman" w:eastAsia="宋体" w:hAnsi="Times New Roman" w:cs="Times New Roman"/>
          <w:sz w:val="22"/>
        </w:rPr>
        <w:tab/>
        <w:t>Hedging</w:t>
      </w:r>
      <w:r w:rsidR="002378FC" w:rsidRPr="009A3FC0">
        <w:rPr>
          <w:rFonts w:ascii="Times New Roman" w:eastAsia="宋体" w:hAnsi="Times New Roman" w:cs="Times New Roman"/>
          <w:sz w:val="22"/>
        </w:rPr>
        <w:t xml:space="preserve"> position</w:t>
      </w:r>
      <w:r w:rsidRPr="00E2506B">
        <w:rPr>
          <w:rFonts w:ascii="Times New Roman" w:eastAsia="宋体" w:hAnsi="Times New Roman" w:cs="Times New Roman"/>
          <w:sz w:val="22"/>
        </w:rPr>
        <w:t xml:space="preserve"> quota of a cast aluminum alloy futures contract shall no longer be used in a revolving manner starting from the first trading day of the delivery month.</w:t>
      </w:r>
    </w:p>
    <w:p w:rsidR="00F217EC" w:rsidRPr="00E2506B" w:rsidRDefault="00F217EC" w:rsidP="00F217EC">
      <w:pPr>
        <w:widowControl/>
        <w:tabs>
          <w:tab w:val="left" w:pos="1560"/>
        </w:tabs>
        <w:adjustRightInd w:val="0"/>
        <w:snapToGrid w:val="0"/>
        <w:spacing w:beforeLines="150" w:before="468" w:afterLines="100" w:after="312" w:line="276" w:lineRule="auto"/>
        <w:jc w:val="center"/>
        <w:rPr>
          <w:rFonts w:ascii="Times New Roman" w:eastAsia="宋体" w:hAnsi="Times New Roman" w:cs="Times New Roman"/>
          <w:b/>
          <w:sz w:val="22"/>
        </w:rPr>
      </w:pPr>
      <w:r w:rsidRPr="00E2506B">
        <w:rPr>
          <w:rFonts w:ascii="Times New Roman" w:eastAsia="宋体" w:hAnsi="Times New Roman" w:cs="Times New Roman"/>
          <w:b/>
          <w:sz w:val="22"/>
        </w:rPr>
        <w:t>CHAPTER 3</w:t>
      </w:r>
      <w:r w:rsidRPr="00E2506B">
        <w:rPr>
          <w:rFonts w:ascii="Times New Roman" w:eastAsia="宋体" w:hAnsi="Times New Roman" w:cs="Times New Roman"/>
          <w:b/>
          <w:sz w:val="22"/>
        </w:rPr>
        <w:tab/>
        <w:t>DELIVERY</w:t>
      </w:r>
    </w:p>
    <w:p w:rsidR="00F217EC" w:rsidRPr="00E2506B" w:rsidRDefault="00F217EC" w:rsidP="00F217EC">
      <w:pPr>
        <w:widowControl/>
        <w:tabs>
          <w:tab w:val="left" w:pos="1560"/>
        </w:tabs>
        <w:adjustRightInd w:val="0"/>
        <w:snapToGrid w:val="0"/>
        <w:spacing w:beforeLines="150" w:before="468" w:afterLines="100" w:after="312" w:line="276" w:lineRule="auto"/>
        <w:jc w:val="center"/>
        <w:rPr>
          <w:rFonts w:ascii="Times New Roman" w:eastAsia="宋体" w:hAnsi="Times New Roman" w:cs="Times New Roman"/>
          <w:b/>
          <w:sz w:val="22"/>
        </w:rPr>
      </w:pPr>
      <w:r w:rsidRPr="00E2506B">
        <w:rPr>
          <w:rFonts w:ascii="Times New Roman" w:eastAsia="宋体" w:hAnsi="Times New Roman" w:cs="Times New Roman"/>
          <w:b/>
          <w:sz w:val="22"/>
        </w:rPr>
        <w:t>SECTION 1</w:t>
      </w:r>
      <w:r w:rsidRPr="00E2506B">
        <w:rPr>
          <w:rFonts w:ascii="Times New Roman" w:eastAsia="宋体" w:hAnsi="Times New Roman" w:cs="Times New Roman"/>
          <w:b/>
          <w:sz w:val="22"/>
        </w:rPr>
        <w:tab/>
        <w:t>GENERAL PROVISIONS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13</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A cast aluminum alloy futures contract may be physically delivered through an Exchange of Futures for Physicals (“EFP”) or a delivery warehouse.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Cast Aluminum Alloy futures adopt duty-paid delivery.</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14</w:t>
      </w:r>
      <w:r w:rsidRPr="00E2506B">
        <w:rPr>
          <w:rFonts w:ascii="Times New Roman" w:eastAsia="宋体" w:hAnsi="Times New Roman" w:cs="Times New Roman"/>
          <w:b/>
          <w:bCs/>
          <w:sz w:val="22"/>
        </w:rPr>
        <w:tab/>
      </w:r>
      <w:r w:rsidRPr="00E2506B">
        <w:rPr>
          <w:rFonts w:ascii="Times New Roman" w:eastAsia="宋体" w:hAnsi="Times New Roman" w:cs="Times New Roman"/>
          <w:color w:val="212121"/>
          <w:kern w:val="0"/>
          <w:sz w:val="22"/>
          <w:szCs w:val="21"/>
        </w:rPr>
        <w:t>Delivery</w:t>
      </w:r>
      <w:r w:rsidRPr="00E2506B">
        <w:rPr>
          <w:rFonts w:ascii="Times New Roman" w:eastAsia="宋体" w:hAnsi="Times New Roman" w:cs="Times New Roman"/>
          <w:sz w:val="22"/>
        </w:rPr>
        <w:t xml:space="preserve"> grade and quality specifications are provided in the</w:t>
      </w:r>
      <w:r w:rsidRPr="00E2506B">
        <w:rPr>
          <w:rFonts w:ascii="Times New Roman" w:eastAsia="宋体" w:hAnsi="Times New Roman" w:cs="Times New Roman"/>
          <w:i/>
          <w:iCs/>
          <w:sz w:val="22"/>
        </w:rPr>
        <w:t xml:space="preserve"> SHFE Cast Aluminum Alloy Futures Contract Specifications</w:t>
      </w:r>
      <w:r w:rsidRPr="00E2506B">
        <w:rPr>
          <w:rFonts w:ascii="Times New Roman" w:eastAsia="宋体" w:hAnsi="Times New Roman" w:cs="Times New Roman"/>
          <w:sz w:val="22"/>
        </w:rPr>
        <w:t xml:space="preserve">. </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15</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Deliverable commodity</w:t>
      </w:r>
    </w:p>
    <w:p w:rsidR="00F217EC" w:rsidRPr="00E2506B" w:rsidRDefault="00F217EC" w:rsidP="00F217EC">
      <w:pPr>
        <w:adjustRightInd w:val="0"/>
        <w:snapToGrid w:val="0"/>
        <w:spacing w:afterLines="100" w:after="312" w:line="276" w:lineRule="auto"/>
        <w:jc w:val="left"/>
        <w:rPr>
          <w:rFonts w:ascii="Times New Roman" w:eastAsia="宋体" w:hAnsi="Times New Roman" w:cs="Times New Roman"/>
          <w:sz w:val="22"/>
          <w:szCs w:val="21"/>
        </w:rPr>
      </w:pPr>
      <w:r w:rsidRPr="00E2506B">
        <w:rPr>
          <w:rFonts w:ascii="Times New Roman" w:eastAsia="宋体" w:hAnsi="Times New Roman" w:cs="Times New Roman"/>
          <w:sz w:val="22"/>
          <w:szCs w:val="21"/>
        </w:rPr>
        <w:t xml:space="preserve">The deliverable </w:t>
      </w:r>
      <w:r w:rsidRPr="00E2506B">
        <w:rPr>
          <w:rFonts w:ascii="Times New Roman" w:eastAsia="宋体" w:hAnsi="Times New Roman" w:cs="Times New Roman"/>
          <w:sz w:val="22"/>
        </w:rPr>
        <w:t>cast aluminum alloy</w:t>
      </w:r>
      <w:r w:rsidRPr="00E2506B">
        <w:rPr>
          <w:rFonts w:ascii="Times New Roman" w:eastAsia="宋体" w:hAnsi="Times New Roman" w:cs="Times New Roman"/>
          <w:sz w:val="22"/>
          <w:szCs w:val="21"/>
        </w:rPr>
        <w:t xml:space="preserve"> shall be of a registered </w:t>
      </w:r>
      <w:r w:rsidRPr="00E2506B">
        <w:rPr>
          <w:rFonts w:ascii="Times New Roman" w:eastAsia="宋体" w:hAnsi="Times New Roman" w:cs="Times New Roman"/>
          <w:sz w:val="22"/>
        </w:rPr>
        <w:t>trademark from a manufacturer registered with the Exchange.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The inspection of deliverable cast aluminum alloy shall be conducted in accordance with the requirements of the</w:t>
      </w:r>
      <w:r w:rsidRPr="00E2506B">
        <w:rPr>
          <w:rFonts w:ascii="Times New Roman" w:eastAsia="宋体" w:hAnsi="Times New Roman" w:cs="Times New Roman"/>
          <w:i/>
          <w:iCs/>
          <w:sz w:val="22"/>
        </w:rPr>
        <w:t xml:space="preserve"> Rules on Management of Non-Ferrous Metal Products for Futures Delivery of the Shanghai Futures Exchange</w:t>
      </w:r>
      <w:r w:rsidRPr="00E2506B">
        <w:rPr>
          <w:rFonts w:ascii="Times New Roman" w:eastAsia="宋体" w:hAnsi="Times New Roman" w:cs="Times New Roman"/>
          <w:sz w:val="22"/>
        </w:rPr>
        <w:t>.</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b/>
          <w:bCs/>
          <w:sz w:val="22"/>
        </w:rPr>
      </w:pPr>
      <w:r w:rsidRPr="00E2506B">
        <w:rPr>
          <w:rFonts w:ascii="Times New Roman" w:eastAsia="宋体" w:hAnsi="Times New Roman" w:cs="Times New Roman"/>
          <w:sz w:val="22"/>
          <w:szCs w:val="21"/>
        </w:rPr>
        <w:t xml:space="preserve">Each warehouse standard warrant of </w:t>
      </w:r>
      <w:r w:rsidRPr="00E2506B">
        <w:rPr>
          <w:rFonts w:ascii="Times New Roman" w:eastAsia="宋体" w:hAnsi="Times New Roman" w:cs="Times New Roman"/>
          <w:sz w:val="22"/>
        </w:rPr>
        <w:t>cast aluminum alloy</w:t>
      </w:r>
      <w:r w:rsidRPr="00E2506B">
        <w:rPr>
          <w:rFonts w:ascii="Times New Roman" w:eastAsia="宋体" w:hAnsi="Times New Roman" w:cs="Times New Roman"/>
          <w:sz w:val="22"/>
          <w:szCs w:val="21"/>
        </w:rPr>
        <w:t xml:space="preserve"> shall be valid for three hundred and sixty (360) days from the earliest production date of the underlying commodities, and be created only if all underlying commodities are delivered to the warehouse within one hundred and eighty (180) days following their earliest production date.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16</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Specifications and packaging for deliverable commodity</w:t>
      </w:r>
    </w:p>
    <w:p w:rsidR="00F217EC" w:rsidRPr="00E2506B" w:rsidRDefault="00F217EC" w:rsidP="00F217EC">
      <w:pPr>
        <w:tabs>
          <w:tab w:val="left" w:pos="602"/>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(i)</w:t>
      </w:r>
      <w:r w:rsidRPr="00E2506B">
        <w:rPr>
          <w:rFonts w:ascii="Times New Roman" w:eastAsia="宋体" w:hAnsi="Times New Roman" w:cs="Times New Roman"/>
          <w:sz w:val="22"/>
        </w:rPr>
        <w:tab/>
        <w:t>Cast aluminum alloy</w:t>
      </w:r>
      <w:r w:rsidRPr="00E2506B">
        <w:rPr>
          <w:rFonts w:ascii="Times New Roman" w:eastAsia="宋体" w:hAnsi="Times New Roman" w:cs="Times New Roman"/>
          <w:sz w:val="22"/>
          <w:szCs w:val="21"/>
        </w:rPr>
        <w:t xml:space="preserve"> underlying each standard warrant shall consist of commodity of the same manufacturer, grade (designation), registered trademark, shape, and packaged </w:t>
      </w:r>
      <w:r w:rsidRPr="00E2506B">
        <w:rPr>
          <w:rFonts w:ascii="Times New Roman" w:eastAsia="宋体" w:hAnsi="Times New Roman" w:cs="Times New Roman"/>
          <w:sz w:val="22"/>
          <w:szCs w:val="21"/>
        </w:rPr>
        <w:lastRenderedPageBreak/>
        <w:t>quantity (secured into bundles of similar weight), and have their dates of production spanning no more than sixty (60) consecutive days. The earliest of such dates shall be taken as the date of production on the standard warrant.</w:t>
      </w:r>
      <w:r w:rsidRPr="00E2506B">
        <w:rPr>
          <w:rFonts w:ascii="Times New Roman" w:eastAsia="宋体" w:hAnsi="Times New Roman" w:cs="Times New Roman"/>
          <w:sz w:val="22"/>
        </w:rPr>
        <w:t xml:space="preserve"> The registered manufacturer may decide the weight of each bundle at its sole discretion, provided that the bundles can readily yield the delivery unit. Cast aluminum alloy</w:t>
      </w:r>
      <w:r w:rsidRPr="00E2506B">
        <w:rPr>
          <w:rFonts w:ascii="Times New Roman" w:eastAsia="宋体" w:hAnsi="Times New Roman" w:cs="Times New Roman"/>
          <w:sz w:val="22"/>
          <w:szCs w:val="21"/>
        </w:rPr>
        <w:t xml:space="preserve"> </w:t>
      </w:r>
      <w:r w:rsidRPr="00E2506B">
        <w:rPr>
          <w:rFonts w:ascii="Times New Roman" w:eastAsia="宋体" w:hAnsi="Times New Roman" w:cs="Times New Roman"/>
          <w:sz w:val="22"/>
        </w:rPr>
        <w:t>shall be tightened into bundles with polyester straps in a dual-line grid (#) pattern, and specific requirements will be separately announced by the Exchange. The strapping shall be reliable and each bundle shall be marked by a prominent and secure product label, specifying grade (designation), registered trademark, manufacturer, weight, batch number (smelting number), and date of production. Each bundle shall weigh between seven hundred (700) and one thousand (1,000) kilograms.</w:t>
      </w:r>
    </w:p>
    <w:p w:rsidR="00F217EC" w:rsidRPr="00E2506B" w:rsidRDefault="00F217EC" w:rsidP="00F217EC">
      <w:pPr>
        <w:tabs>
          <w:tab w:val="left" w:pos="602"/>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(ii)</w:t>
      </w:r>
      <w:r w:rsidRPr="00E2506B">
        <w:rPr>
          <w:rFonts w:ascii="Times New Roman" w:eastAsia="宋体" w:hAnsi="Times New Roman" w:cs="Times New Roman"/>
          <w:sz w:val="22"/>
        </w:rPr>
        <w:tab/>
        <w:t>If the commodities arrive at the warehouse with broken polyester straps or loose ingots, the commodities shall be repackaged and securely tightened with specified straps before they are delivered. Any costs incurred in the reassembly shall be borne by the owner.</w:t>
      </w:r>
    </w:p>
    <w:p w:rsidR="00F217EC" w:rsidRPr="00E2506B" w:rsidRDefault="00F217EC" w:rsidP="00F217EC">
      <w:pPr>
        <w:tabs>
          <w:tab w:val="left" w:pos="602"/>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(iii)</w:t>
      </w:r>
      <w:r w:rsidRPr="00E2506B">
        <w:rPr>
          <w:rFonts w:ascii="Times New Roman" w:eastAsia="宋体" w:hAnsi="Times New Roman" w:cs="Times New Roman"/>
          <w:sz w:val="22"/>
        </w:rPr>
        <w:tab/>
        <w:t>Each cast aluminum alloy ingot shall weigh six (6) kilograms plus or minus one (±1) kilogram.</w:t>
      </w:r>
    </w:p>
    <w:p w:rsidR="00F217EC" w:rsidRPr="00E2506B" w:rsidRDefault="00F217EC" w:rsidP="00F217EC">
      <w:pPr>
        <w:tabs>
          <w:tab w:val="left" w:pos="602"/>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(iv)</w:t>
      </w:r>
      <w:r w:rsidRPr="00E2506B">
        <w:rPr>
          <w:rFonts w:ascii="Times New Roman" w:eastAsia="宋体" w:hAnsi="Times New Roman" w:cs="Times New Roman"/>
          <w:sz w:val="22"/>
        </w:rPr>
        <w:tab/>
        <w:t xml:space="preserve">Arriving commodities shall be covered with plastic film, and the delivery warehouse shall perform a visual inspection. The surfaces of the ingots shall be clean and free of mold spots and foreign inclusions. A minor amount of slag, trimming marks, and small cracks due to casting shrinkage are permissible. </w:t>
      </w:r>
      <w:r w:rsidRPr="00E2506B">
        <w:rPr>
          <w:rFonts w:ascii="Times New Roman" w:eastAsia="宋体" w:hAnsi="Times New Roman" w:cs="Times New Roman"/>
          <w:sz w:val="22"/>
          <w:szCs w:val="21"/>
        </w:rPr>
        <w:t>Any commodity that is not fit for purpose due to nuisance such as obvious rain stains and contamination shall not enter the delivery process.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17</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Required documentation for deliverable commodity</w:t>
      </w:r>
    </w:p>
    <w:p w:rsidR="00F217EC" w:rsidRPr="00E2506B" w:rsidRDefault="00F217EC" w:rsidP="00F217EC">
      <w:pPr>
        <w:tabs>
          <w:tab w:val="left" w:pos="602"/>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(i)</w:t>
      </w:r>
      <w:r w:rsidRPr="00E2506B">
        <w:rPr>
          <w:rFonts w:ascii="Times New Roman" w:eastAsia="宋体" w:hAnsi="Times New Roman" w:cs="Times New Roman"/>
          <w:sz w:val="22"/>
        </w:rPr>
        <w:tab/>
        <w:t>Domestic commodity: the certificate of quality issued by the registered manufacturer.</w:t>
      </w:r>
    </w:p>
    <w:p w:rsidR="00F217EC" w:rsidRPr="00E2506B" w:rsidRDefault="00F217EC" w:rsidP="00F217EC">
      <w:pPr>
        <w:tabs>
          <w:tab w:val="left" w:pos="602"/>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(ii)</w:t>
      </w:r>
      <w:r w:rsidRPr="00E2506B">
        <w:rPr>
          <w:rFonts w:ascii="Times New Roman" w:eastAsia="宋体" w:hAnsi="Times New Roman" w:cs="Times New Roman"/>
          <w:sz w:val="22"/>
        </w:rPr>
        <w:tab/>
        <w:t>Imported commodity: the certificate of quality, certificate of origin, certificate of inspection issued by a Designated Inspection Agency of the Exchange (excluding the amount of slag), declaration of imported goods, and certificate of VAT withholding by the customs. These documents are deemed valid only upon being verified by the Exchange.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If there has been any change to national policies on taxation, commodity inspection, or other relevant matters, the revised policies shall prevail. Under such circumstance, the Exchange will separately announce the revised requirements for the documentation of relevant imported products.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18</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Tolerance and pound difference: cast aluminum alloy</w:t>
      </w:r>
      <w:r w:rsidRPr="00E2506B">
        <w:rPr>
          <w:rFonts w:ascii="Times New Roman" w:eastAsia="方正仿宋简体" w:hAnsi="Times New Roman" w:cs="Times New Roman"/>
          <w:sz w:val="22"/>
          <w:szCs w:val="21"/>
        </w:rPr>
        <w:t xml:space="preserve"> shall be measured by net weight at delivery</w:t>
      </w:r>
      <w:r w:rsidRPr="00E2506B">
        <w:rPr>
          <w:rFonts w:ascii="Times New Roman" w:eastAsia="宋体" w:hAnsi="Times New Roman" w:cs="Times New Roman"/>
          <w:sz w:val="22"/>
        </w:rPr>
        <w:t>. The underlying cast aluminum alloy ingots for each standard warrant weigh thirty (30) metric tons. Difference between standard warrant weight and actual delivery weight shall not exceed plus or minus three percent (±3%). Pound difference shall not exceed plus or minus one-tenth of one percent (±0.1%).</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19</w:t>
      </w:r>
      <w:r w:rsidRPr="00E2506B">
        <w:rPr>
          <w:rFonts w:ascii="Times New Roman" w:eastAsia="宋体" w:hAnsi="Times New Roman" w:cs="Times New Roman"/>
          <w:sz w:val="22"/>
        </w:rPr>
        <w:tab/>
        <w:t>Cast aluminum alloy futures contracts have a delivery unit of thirty (30) metric tons.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lastRenderedPageBreak/>
        <w:t>Article 20</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Delivery period of a cast aluminum alloy futures contract is the two (2) consecutive business days immediately following the last trading day of the contract.</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21</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The benchmark price for delivery settlement of a cast aluminum alloy futures contract is its settlement price on the last trading day.</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22</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Delivery venue: the delivery warehouses of the Exchange, to be separately announced by the Exchange. The cast aluminum alloy ingots intended for delivery must be stored indoors.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23</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After the physical delivery is completed, if the buyer has any dispute over the quality or quantity of the commodity (any cast aluminum alloy</w:t>
      </w:r>
      <w:r w:rsidRPr="00E2506B">
        <w:rPr>
          <w:rFonts w:ascii="Times New Roman" w:eastAsia="宋体" w:hAnsi="Times New Roman" w:cs="Times New Roman"/>
          <w:sz w:val="22"/>
          <w:szCs w:val="21"/>
        </w:rPr>
        <w:t xml:space="preserve"> in dispute shall remain in the delivery warehouse</w:t>
      </w:r>
      <w:r w:rsidRPr="00E2506B">
        <w:rPr>
          <w:rFonts w:ascii="Times New Roman" w:eastAsia="宋体" w:hAnsi="Times New Roman" w:cs="Times New Roman"/>
          <w:sz w:val="22"/>
        </w:rPr>
        <w:t xml:space="preserv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inspection report issued by a Designated Inspection Agency. </w:t>
      </w:r>
      <w:r w:rsidRPr="00E2506B">
        <w:rPr>
          <w:rFonts w:ascii="Times New Roman" w:eastAsia="宋体" w:hAnsi="Times New Roman" w:cs="Times New Roman"/>
          <w:sz w:val="22"/>
          <w:szCs w:val="21"/>
        </w:rPr>
        <w:t xml:space="preserve">The validity period for each batch of the delivered </w:t>
      </w:r>
      <w:r w:rsidRPr="00E2506B">
        <w:rPr>
          <w:rFonts w:ascii="Times New Roman" w:eastAsia="宋体" w:hAnsi="Times New Roman" w:cs="Times New Roman"/>
          <w:sz w:val="22"/>
        </w:rPr>
        <w:t>cast aluminum alloy</w:t>
      </w:r>
      <w:r w:rsidRPr="00E2506B">
        <w:rPr>
          <w:rFonts w:ascii="Times New Roman" w:eastAsia="宋体" w:hAnsi="Times New Roman" w:cs="Times New Roman"/>
          <w:sz w:val="22"/>
          <w:szCs w:val="21"/>
        </w:rPr>
        <w:t xml:space="preserve"> shall cover the last delivery day of that delivery. Even if the validity period expires before the final date for the submission of a request for dispute resolution, the seller shall be responsible for the delivered commodities in the event that they fail the quality inspection.</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24</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If standard warrants are used for the EFPs of a cast aluminum alloy futures contract and the EFPs are settled via the Exchange, and if a dispute over the quality of the commodities arises, the buyer shall submit a request for dispute resolution within twenty-five (25) days after the payment and the exchange of standard warrants, together with the quality inspection report issued by a Designated Inspection Agency.</w:t>
      </w:r>
    </w:p>
    <w:p w:rsidR="00F217EC" w:rsidRPr="00E2506B" w:rsidRDefault="00F217EC" w:rsidP="00F217EC">
      <w:pPr>
        <w:widowControl/>
        <w:tabs>
          <w:tab w:val="left" w:pos="1560"/>
        </w:tabs>
        <w:adjustRightInd w:val="0"/>
        <w:snapToGrid w:val="0"/>
        <w:spacing w:beforeLines="150" w:before="468" w:afterLines="100" w:after="312" w:line="276" w:lineRule="auto"/>
        <w:jc w:val="center"/>
        <w:rPr>
          <w:rFonts w:ascii="Times New Roman" w:eastAsia="宋体" w:hAnsi="Times New Roman" w:cs="Times New Roman"/>
          <w:b/>
          <w:sz w:val="22"/>
        </w:rPr>
      </w:pPr>
      <w:r w:rsidRPr="00E2506B">
        <w:rPr>
          <w:rFonts w:ascii="Times New Roman" w:eastAsia="宋体" w:hAnsi="Times New Roman" w:cs="Times New Roman"/>
          <w:b/>
          <w:sz w:val="22"/>
        </w:rPr>
        <w:t>SECTION II</w:t>
      </w:r>
      <w:r w:rsidRPr="00E2506B">
        <w:rPr>
          <w:rFonts w:ascii="Times New Roman" w:eastAsia="宋体" w:hAnsi="Times New Roman" w:cs="Times New Roman"/>
          <w:b/>
          <w:sz w:val="22"/>
        </w:rPr>
        <w:tab/>
        <w:t>INVOICING PROCEDURES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25</w:t>
      </w:r>
      <w:r w:rsidRPr="00E2506B">
        <w:rPr>
          <w:rFonts w:ascii="Times New Roman" w:eastAsia="宋体" w:hAnsi="Times New Roman" w:cs="Times New Roman"/>
          <w:sz w:val="22"/>
        </w:rPr>
        <w:tab/>
        <w:t>Special value-added tax (“VAT”) invoices for cast aluminum alloy shall be issued by sellers to buyers, who are Non-FF Members. A special VAT invoice and the specific information required for its issuance shall be verified, transmitted, and confirmed by the carrying Members of the buyer and the seller. The carrying Members shall be responsible for mediating and resolving any related disputes.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26</w:t>
      </w:r>
      <w:r w:rsidRPr="00E2506B">
        <w:rPr>
          <w:rFonts w:ascii="Times New Roman" w:eastAsia="宋体" w:hAnsi="Times New Roman" w:cs="Times New Roman"/>
          <w:sz w:val="22"/>
        </w:rPr>
        <w:tab/>
        <w:t>By the end of the second delivery day, the buyer’s carrying Member shall provide the seller’s carrying Member with the specific information required for issuing the special VAT invoice. The seller’s carrying Member shall deliver the special VAT invoice to the buyer’s carrying Member no later than the seventh business day following the last trading day.</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color w:val="000000"/>
          <w:sz w:val="22"/>
          <w:szCs w:val="21"/>
        </w:rPr>
      </w:pPr>
      <w:r w:rsidRPr="00E2506B">
        <w:rPr>
          <w:rFonts w:ascii="Times New Roman" w:eastAsia="宋体" w:hAnsi="Times New Roman" w:cs="Times New Roman"/>
          <w:b/>
          <w:bCs/>
          <w:sz w:val="22"/>
        </w:rPr>
        <w:t>Article 27</w:t>
      </w:r>
      <w:r w:rsidRPr="00E2506B">
        <w:rPr>
          <w:rFonts w:ascii="Times New Roman" w:eastAsia="宋体" w:hAnsi="Times New Roman" w:cs="Times New Roman"/>
          <w:sz w:val="22"/>
        </w:rPr>
        <w:tab/>
      </w:r>
      <w:r w:rsidRPr="00E2506B">
        <w:rPr>
          <w:rFonts w:ascii="Times New Roman" w:eastAsia="宋体" w:hAnsi="Times New Roman" w:cs="Times New Roman"/>
          <w:color w:val="000000"/>
          <w:sz w:val="22"/>
          <w:szCs w:val="21"/>
        </w:rPr>
        <w:t xml:space="preserve">If the seller’s carrying Member fails to deliver the special VAT invoice by 2:00 p.m. on the second delivery day, the Exchange will charge a margin of no less than 15% of the final settlement price of the corresponding contract on the corresponding </w:t>
      </w:r>
      <w:r w:rsidR="00A71C50" w:rsidRPr="00E2506B">
        <w:rPr>
          <w:rFonts w:ascii="Times New Roman" w:eastAsia="宋体" w:hAnsi="Times New Roman" w:cs="Times New Roman"/>
          <w:color w:val="000000"/>
          <w:sz w:val="22"/>
          <w:szCs w:val="21"/>
        </w:rPr>
        <w:t>positions</w:t>
      </w:r>
      <w:r w:rsidRPr="00E2506B">
        <w:rPr>
          <w:rFonts w:ascii="Times New Roman" w:eastAsia="宋体" w:hAnsi="Times New Roman" w:cs="Times New Roman"/>
          <w:color w:val="000000"/>
          <w:sz w:val="22"/>
          <w:szCs w:val="21"/>
        </w:rPr>
        <w:t>. T</w:t>
      </w:r>
      <w:r w:rsidRPr="00E2506B">
        <w:rPr>
          <w:rFonts w:ascii="Times New Roman" w:eastAsia="宋体" w:hAnsi="Times New Roman" w:cs="Times New Roman"/>
          <w:sz w:val="22"/>
        </w:rPr>
        <w:t>his margin will be released once the seller issues the special VAT invoice to the buyer and their carrying members apply for and confirm the release.</w:t>
      </w:r>
    </w:p>
    <w:p w:rsidR="00F217EC" w:rsidRPr="00E2506B" w:rsidRDefault="00F217EC" w:rsidP="00F217EC">
      <w:pPr>
        <w:tabs>
          <w:tab w:val="left" w:pos="1276"/>
        </w:tabs>
        <w:adjustRightInd w:val="0"/>
        <w:snapToGrid w:val="0"/>
        <w:spacing w:afterLines="100" w:after="312" w:line="276" w:lineRule="auto"/>
        <w:jc w:val="left"/>
        <w:rPr>
          <w:rFonts w:ascii="Times New Roman" w:eastAsia="宋体" w:hAnsi="Times New Roman" w:cs="Times New Roman"/>
          <w:color w:val="000000"/>
          <w:sz w:val="22"/>
          <w:szCs w:val="21"/>
        </w:rPr>
      </w:pPr>
      <w:r w:rsidRPr="00E2506B">
        <w:rPr>
          <w:rFonts w:ascii="Times New Roman" w:eastAsia="宋体" w:hAnsi="Times New Roman" w:cs="Times New Roman"/>
          <w:color w:val="000000"/>
          <w:sz w:val="22"/>
          <w:szCs w:val="21"/>
        </w:rPr>
        <w:lastRenderedPageBreak/>
        <w:t xml:space="preserve">If the seller’s carrying Member is late in delivering the special VAT invoice for three (3) to ten (10) days, an overdue fine of 0.5‰ of the delivery payment will be imposed for each day of delay; if late for eleven (11) to thirty (30) days, the overdue fine will increase to 1‰ per day; if late for more than thirty (30) days, the Member shall be deemed to have failed to deliver the special VAT invoice, and </w:t>
      </w:r>
      <w:r w:rsidRPr="00E2506B">
        <w:rPr>
          <w:rFonts w:ascii="Times New Roman" w:eastAsia="宋体" w:hAnsi="Times New Roman" w:cs="Times New Roman"/>
          <w:sz w:val="22"/>
        </w:rPr>
        <w:t>the resulting liquidated damages will be calculated based on the VAT amount provided by national tax policies</w:t>
      </w:r>
      <w:r w:rsidRPr="00E2506B">
        <w:rPr>
          <w:rFonts w:ascii="Times New Roman" w:eastAsia="宋体" w:hAnsi="Times New Roman" w:cs="Times New Roman"/>
          <w:color w:val="000000"/>
          <w:sz w:val="22"/>
          <w:szCs w:val="21"/>
        </w:rPr>
        <w:t xml:space="preserve">. </w:t>
      </w:r>
      <w:r w:rsidRPr="00E2506B">
        <w:rPr>
          <w:rFonts w:ascii="Times New Roman" w:eastAsia="宋体" w:hAnsi="Times New Roman" w:cs="Times New Roman"/>
          <w:sz w:val="22"/>
        </w:rPr>
        <w:t xml:space="preserve">Upon confirmation and application from both the buyer and the seller, the Exchange will collect the liquidated damages and overdue fine from </w:t>
      </w:r>
      <w:r w:rsidRPr="00E2506B">
        <w:rPr>
          <w:rFonts w:ascii="Times New Roman" w:eastAsia="宋体" w:hAnsi="Times New Roman" w:cs="Times New Roman"/>
          <w:color w:val="000000"/>
          <w:sz w:val="22"/>
          <w:szCs w:val="21"/>
        </w:rPr>
        <w:t>the seller’s carrying Member</w:t>
      </w:r>
      <w:r w:rsidRPr="00E2506B">
        <w:rPr>
          <w:rFonts w:ascii="Times New Roman" w:eastAsia="宋体" w:hAnsi="Times New Roman" w:cs="Times New Roman"/>
          <w:sz w:val="22"/>
        </w:rPr>
        <w:t xml:space="preserve"> and transfer them</w:t>
      </w:r>
      <w:r w:rsidRPr="00E2506B">
        <w:rPr>
          <w:rFonts w:ascii="Times New Roman" w:eastAsia="宋体" w:hAnsi="Times New Roman" w:cs="Times New Roman"/>
          <w:color w:val="000000"/>
          <w:sz w:val="22"/>
          <w:szCs w:val="21"/>
        </w:rPr>
        <w:t xml:space="preserve"> to the buyer’s carrying Member. </w:t>
      </w:r>
      <w:r w:rsidRPr="00E2506B">
        <w:rPr>
          <w:rFonts w:ascii="Times New Roman" w:eastAsia="宋体" w:hAnsi="Times New Roman" w:cs="Times New Roman"/>
          <w:sz w:val="22"/>
        </w:rPr>
        <w:t>If the buyer and seller have other agreements, these agreements will prevail.</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The seller’s carrying Member is responsible for collecting the margin from the seller. The carrying Member and the seller shall make proper arrangements regarding the collection and payment of the margin, overdue fine, and liquidated damages. If the carrying Member pays overdue fine and liquidated damages in advance, it is entitled to seek reimbursement from the seller.</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28</w:t>
      </w:r>
      <w:r w:rsidRPr="00E2506B">
        <w:rPr>
          <w:rFonts w:ascii="Times New Roman" w:eastAsia="宋体" w:hAnsi="Times New Roman" w:cs="Times New Roman"/>
          <w:sz w:val="22"/>
        </w:rPr>
        <w:tab/>
        <w:t>The buyer’s carrying Member shall verify the special VAT invoice on the business day following its receipt and shall inform the seller’s carrying Member of the verification result.</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If the invoice is invalidated due to erroneous information provided by the buyer’s carrying Member or the buyer, they shall be held liable. If the buyer’s carrying Member delays in providing the required information, the time for the seller’s carrying Member to issue the invoice may be extended accordingly.</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29</w:t>
      </w:r>
      <w:r w:rsidRPr="00E2506B">
        <w:rPr>
          <w:rFonts w:ascii="Times New Roman" w:eastAsia="宋体" w:hAnsi="Times New Roman" w:cs="Times New Roman"/>
          <w:sz w:val="22"/>
        </w:rPr>
        <w:tab/>
        <w:t>If standard warrants are used for the EFPs of a cast aluminum alloy futures contract and the EFPs are settled via the Exchange, the seller (a Non-FF Member) shall issue a special VAT invoice to the buyer (a Non-FF Member). By the end of the business day following completing the EFPs procedures, the buyer’s carrying Member shall provide the seller’s carrying Member with the specific information required for issuing the special VAT invoice. The seller’s carrying Member shall deliver the special VAT invoice to the buyer’s carrying Member no later than the seventh business day following completing the EFPs procedures.</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color w:val="000000"/>
          <w:sz w:val="22"/>
          <w:szCs w:val="21"/>
        </w:rPr>
      </w:pPr>
      <w:r w:rsidRPr="00E2506B">
        <w:rPr>
          <w:rFonts w:ascii="Times New Roman" w:eastAsia="宋体" w:hAnsi="Times New Roman" w:cs="Times New Roman"/>
          <w:color w:val="000000"/>
          <w:sz w:val="22"/>
          <w:szCs w:val="21"/>
        </w:rPr>
        <w:t xml:space="preserve">If the seller’s carrying Member fails to deliver the special VAT invoice by 2:00 p.m. on the </w:t>
      </w:r>
      <w:r w:rsidRPr="00E2506B">
        <w:rPr>
          <w:rFonts w:ascii="Times New Roman" w:eastAsia="宋体" w:hAnsi="Times New Roman" w:cs="Times New Roman"/>
          <w:sz w:val="22"/>
        </w:rPr>
        <w:t>business day following completing the EFPs procedures</w:t>
      </w:r>
      <w:r w:rsidRPr="00E2506B">
        <w:rPr>
          <w:rFonts w:ascii="Times New Roman" w:eastAsia="宋体" w:hAnsi="Times New Roman" w:cs="Times New Roman"/>
          <w:color w:val="000000"/>
          <w:sz w:val="22"/>
          <w:szCs w:val="21"/>
        </w:rPr>
        <w:t xml:space="preserve">, the Exchange will charge a margin of no less than 15% of the final settlement price of the corresponding contract on the corresponding </w:t>
      </w:r>
      <w:r w:rsidR="00DF578F" w:rsidRPr="00E2506B">
        <w:rPr>
          <w:rFonts w:ascii="Times New Roman" w:eastAsia="宋体" w:hAnsi="Times New Roman" w:cs="Times New Roman"/>
          <w:color w:val="000000"/>
          <w:sz w:val="22"/>
          <w:szCs w:val="21"/>
        </w:rPr>
        <w:t>positions</w:t>
      </w:r>
      <w:r w:rsidRPr="00E2506B">
        <w:rPr>
          <w:rFonts w:ascii="Times New Roman" w:eastAsia="宋体" w:hAnsi="Times New Roman" w:cs="Times New Roman"/>
          <w:color w:val="000000"/>
          <w:sz w:val="22"/>
          <w:szCs w:val="21"/>
        </w:rPr>
        <w:t>.</w:t>
      </w:r>
      <w:r w:rsidRPr="00E2506B">
        <w:rPr>
          <w:rFonts w:ascii="Times New Roman" w:eastAsia="宋体" w:hAnsi="Times New Roman" w:cs="Times New Roman"/>
          <w:sz w:val="22"/>
        </w:rPr>
        <w:t xml:space="preserve"> This margin will be released once the seller issues the special VAT invoice to the buyer and their carrying members apply for and confirm the release.</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Any dispute mediation, overdue fine, liquidated damages, and other invoicing-related matters not covered shall be governed</w:t>
      </w:r>
      <w:r w:rsidRPr="00E2506B">
        <w:rPr>
          <w:rFonts w:ascii="Times New Roman" w:eastAsia="宋体" w:hAnsi="Times New Roman" w:cs="Times New Roman"/>
          <w:sz w:val="22"/>
          <w:szCs w:val="21"/>
        </w:rPr>
        <w:t xml:space="preserve">, </w:t>
      </w:r>
      <w:r w:rsidRPr="00E2506B">
        <w:rPr>
          <w:rFonts w:ascii="Times New Roman" w:eastAsia="宋体" w:hAnsi="Times New Roman" w:cs="Times New Roman"/>
          <w:i/>
          <w:iCs/>
          <w:sz w:val="22"/>
          <w:szCs w:val="21"/>
        </w:rPr>
        <w:t>mutatis mutandis</w:t>
      </w:r>
      <w:r w:rsidRPr="00E2506B">
        <w:rPr>
          <w:rFonts w:ascii="Times New Roman" w:eastAsia="宋体" w:hAnsi="Times New Roman" w:cs="Times New Roman"/>
          <w:sz w:val="22"/>
          <w:szCs w:val="21"/>
        </w:rPr>
        <w:t>,</w:t>
      </w:r>
      <w:r w:rsidRPr="00E2506B">
        <w:rPr>
          <w:rFonts w:ascii="Times New Roman" w:eastAsia="宋体" w:hAnsi="Times New Roman" w:cs="Times New Roman"/>
          <w:sz w:val="22"/>
        </w:rPr>
        <w:t xml:space="preserve"> by the relevant provisions in Articles 25 to 28 of these </w:t>
      </w:r>
      <w:r w:rsidRPr="00E2506B">
        <w:rPr>
          <w:rFonts w:ascii="Times New Roman" w:eastAsia="宋体" w:hAnsi="Times New Roman" w:cs="Times New Roman"/>
          <w:i/>
          <w:iCs/>
          <w:sz w:val="22"/>
        </w:rPr>
        <w:t>Cast Aluminum Alloy Futures Rules</w:t>
      </w:r>
      <w:r w:rsidRPr="00E2506B">
        <w:rPr>
          <w:rFonts w:ascii="Times New Roman" w:eastAsia="宋体" w:hAnsi="Times New Roman" w:cs="Times New Roman"/>
          <w:sz w:val="22"/>
        </w:rPr>
        <w:t>.</w:t>
      </w:r>
    </w:p>
    <w:p w:rsidR="00F217EC" w:rsidRPr="00E2506B" w:rsidRDefault="00F217EC" w:rsidP="00F217EC">
      <w:pPr>
        <w:widowControl/>
        <w:tabs>
          <w:tab w:val="left" w:pos="1560"/>
        </w:tabs>
        <w:adjustRightInd w:val="0"/>
        <w:snapToGrid w:val="0"/>
        <w:spacing w:beforeLines="150" w:before="468" w:afterLines="100" w:after="312" w:line="276" w:lineRule="auto"/>
        <w:jc w:val="center"/>
        <w:rPr>
          <w:rFonts w:ascii="Times New Roman" w:eastAsia="宋体" w:hAnsi="Times New Roman" w:cs="Times New Roman"/>
          <w:b/>
          <w:sz w:val="22"/>
        </w:rPr>
      </w:pPr>
      <w:r w:rsidRPr="00E2506B">
        <w:rPr>
          <w:rFonts w:ascii="Times New Roman" w:eastAsia="宋体" w:hAnsi="Times New Roman" w:cs="Times New Roman"/>
          <w:b/>
          <w:sz w:val="22"/>
        </w:rPr>
        <w:t>CHAPTER 4</w:t>
      </w:r>
      <w:r w:rsidRPr="00E2506B">
        <w:rPr>
          <w:rFonts w:ascii="Times New Roman" w:eastAsia="宋体" w:hAnsi="Times New Roman" w:cs="Times New Roman"/>
          <w:b/>
          <w:sz w:val="22"/>
        </w:rPr>
        <w:tab/>
        <w:t>RISK MANAGEMENT</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lastRenderedPageBreak/>
        <w:t>Article 30</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 xml:space="preserve">The minimum trading margin for a </w:t>
      </w:r>
      <w:bookmarkStart w:id="3" w:name="_Hlk181264563"/>
      <w:r w:rsidRPr="00E2506B">
        <w:rPr>
          <w:rFonts w:ascii="Times New Roman" w:eastAsia="宋体" w:hAnsi="Times New Roman" w:cs="Times New Roman"/>
          <w:sz w:val="22"/>
        </w:rPr>
        <w:t>cast aluminum alloy futures</w:t>
      </w:r>
      <w:bookmarkEnd w:id="3"/>
      <w:r w:rsidRPr="00E2506B">
        <w:rPr>
          <w:rFonts w:ascii="Times New Roman" w:eastAsia="宋体" w:hAnsi="Times New Roman" w:cs="Times New Roman"/>
          <w:sz w:val="22"/>
        </w:rPr>
        <w:t xml:space="preserve"> contract is 5%.</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31</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The stage-based trading margin rates for cast aluminum alloy futures are as follows:</w:t>
      </w:r>
    </w:p>
    <w:tbl>
      <w:tblPr>
        <w:tblW w:w="8467" w:type="dxa"/>
        <w:tblInd w:w="-108" w:type="dxa"/>
        <w:tblCellMar>
          <w:top w:w="61" w:type="dxa"/>
          <w:right w:w="24" w:type="dxa"/>
        </w:tblCellMar>
        <w:tblLook w:val="0000" w:firstRow="0" w:lastRow="0" w:firstColumn="0" w:lastColumn="0" w:noHBand="0" w:noVBand="0"/>
      </w:tblPr>
      <w:tblGrid>
        <w:gridCol w:w="6403"/>
        <w:gridCol w:w="2064"/>
      </w:tblGrid>
      <w:tr w:rsidR="00F217EC" w:rsidRPr="00E2506B" w:rsidTr="0092234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b/>
                <w:sz w:val="22"/>
              </w:rPr>
            </w:pPr>
            <w:r w:rsidRPr="00E2506B">
              <w:rPr>
                <w:rFonts w:ascii="Times New Roman" w:eastAsia="宋体" w:hAnsi="Times New Roman" w:cs="Times New Roman"/>
                <w:b/>
                <w:sz w:val="22"/>
              </w:rPr>
              <w:t>Stage of Trading</w:t>
            </w:r>
          </w:p>
        </w:tc>
        <w:tc>
          <w:tcPr>
            <w:tcW w:w="2064"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b/>
                <w:sz w:val="22"/>
              </w:rPr>
            </w:pPr>
            <w:r w:rsidRPr="00E2506B">
              <w:rPr>
                <w:rFonts w:ascii="Times New Roman" w:eastAsia="宋体" w:hAnsi="Times New Roman" w:cs="Times New Roman"/>
                <w:b/>
                <w:sz w:val="22"/>
              </w:rPr>
              <w:t>Trading Margin</w:t>
            </w:r>
          </w:p>
        </w:tc>
      </w:tr>
      <w:tr w:rsidR="00F217EC" w:rsidRPr="00E2506B" w:rsidTr="0092234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sz w:val="22"/>
              </w:rPr>
            </w:pPr>
            <w:r w:rsidRPr="00E2506B">
              <w:rPr>
                <w:rFonts w:ascii="Times New Roman" w:eastAsia="宋体" w:hAnsi="Times New Roman" w:cs="Times New Roman"/>
                <w:sz w:val="22"/>
              </w:rPr>
              <w:t>As of listing</w:t>
            </w:r>
          </w:p>
        </w:tc>
        <w:tc>
          <w:tcPr>
            <w:tcW w:w="2064"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sz w:val="22"/>
              </w:rPr>
            </w:pPr>
            <w:r w:rsidRPr="00E2506B">
              <w:rPr>
                <w:rFonts w:ascii="Times New Roman" w:eastAsia="宋体" w:hAnsi="Times New Roman" w:cs="Times New Roman"/>
                <w:sz w:val="22"/>
              </w:rPr>
              <w:t>5%</w:t>
            </w:r>
          </w:p>
        </w:tc>
      </w:tr>
      <w:tr w:rsidR="00F217EC" w:rsidRPr="00E2506B" w:rsidTr="0092234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sz w:val="22"/>
              </w:rPr>
            </w:pPr>
            <w:r w:rsidRPr="00E2506B">
              <w:rPr>
                <w:rFonts w:ascii="Times New Roman" w:eastAsia="宋体" w:hAnsi="Times New Roman" w:cs="Times New Roman"/>
                <w:sz w:val="22"/>
              </w:rPr>
              <w:t>As of the first trading day of the month prior to the delivery month</w:t>
            </w:r>
          </w:p>
        </w:tc>
        <w:tc>
          <w:tcPr>
            <w:tcW w:w="2064"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sz w:val="22"/>
              </w:rPr>
            </w:pPr>
            <w:r w:rsidRPr="00E2506B">
              <w:rPr>
                <w:rFonts w:ascii="Times New Roman" w:eastAsia="宋体" w:hAnsi="Times New Roman" w:cs="Times New Roman"/>
                <w:sz w:val="22"/>
              </w:rPr>
              <w:t>10%</w:t>
            </w:r>
          </w:p>
        </w:tc>
      </w:tr>
      <w:tr w:rsidR="00F217EC" w:rsidRPr="00E2506B" w:rsidTr="0092234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sz w:val="22"/>
              </w:rPr>
            </w:pPr>
            <w:r w:rsidRPr="00E2506B">
              <w:rPr>
                <w:rFonts w:ascii="Times New Roman" w:eastAsia="宋体" w:hAnsi="Times New Roman" w:cs="Times New Roman"/>
                <w:sz w:val="22"/>
              </w:rPr>
              <w:t>As of the first trading day of the delivery month</w:t>
            </w:r>
          </w:p>
        </w:tc>
        <w:tc>
          <w:tcPr>
            <w:tcW w:w="2064"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sz w:val="22"/>
              </w:rPr>
            </w:pPr>
            <w:r w:rsidRPr="00E2506B">
              <w:rPr>
                <w:rFonts w:ascii="Times New Roman" w:eastAsia="宋体" w:hAnsi="Times New Roman" w:cs="Times New Roman"/>
                <w:sz w:val="22"/>
              </w:rPr>
              <w:t>15%</w:t>
            </w:r>
          </w:p>
        </w:tc>
      </w:tr>
      <w:tr w:rsidR="00F217EC" w:rsidRPr="00E2506B" w:rsidTr="00922347">
        <w:trPr>
          <w:trHeight w:val="20"/>
        </w:trPr>
        <w:tc>
          <w:tcPr>
            <w:tcW w:w="6403"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sz w:val="22"/>
              </w:rPr>
            </w:pPr>
            <w:r w:rsidRPr="00E2506B">
              <w:rPr>
                <w:rFonts w:ascii="Times New Roman" w:eastAsia="宋体" w:hAnsi="Times New Roman" w:cs="Times New Roman"/>
                <w:sz w:val="22"/>
              </w:rPr>
              <w:t>As of the second trading day prior to the last trading day</w:t>
            </w:r>
          </w:p>
        </w:tc>
        <w:tc>
          <w:tcPr>
            <w:tcW w:w="2064" w:type="dxa"/>
            <w:tcBorders>
              <w:top w:val="single" w:sz="4" w:space="0" w:color="000000"/>
              <w:left w:val="single" w:sz="4" w:space="0" w:color="000000"/>
              <w:bottom w:val="single" w:sz="4" w:space="0" w:color="000000"/>
              <w:right w:val="single" w:sz="4" w:space="0" w:color="000000"/>
            </w:tcBorders>
            <w:vAlign w:val="center"/>
          </w:tcPr>
          <w:p w:rsidR="00F217EC" w:rsidRPr="00E2506B" w:rsidRDefault="00F217EC" w:rsidP="00922347">
            <w:pPr>
              <w:tabs>
                <w:tab w:val="left" w:pos="1204"/>
              </w:tabs>
              <w:adjustRightInd w:val="0"/>
              <w:snapToGrid w:val="0"/>
              <w:spacing w:beforeLines="25" w:before="78" w:afterLines="25" w:after="78" w:line="276" w:lineRule="auto"/>
              <w:jc w:val="center"/>
              <w:rPr>
                <w:rFonts w:ascii="Times New Roman" w:eastAsia="宋体" w:hAnsi="Times New Roman" w:cs="Times New Roman"/>
                <w:sz w:val="22"/>
              </w:rPr>
            </w:pPr>
            <w:r w:rsidRPr="00E2506B">
              <w:rPr>
                <w:rFonts w:ascii="Times New Roman" w:eastAsia="宋体" w:hAnsi="Times New Roman" w:cs="Times New Roman"/>
                <w:sz w:val="22"/>
              </w:rPr>
              <w:t>20%</w:t>
            </w:r>
          </w:p>
        </w:tc>
      </w:tr>
    </w:tbl>
    <w:p w:rsidR="00F217EC" w:rsidRPr="00E2506B" w:rsidRDefault="00F217EC" w:rsidP="00F217EC">
      <w:pPr>
        <w:tabs>
          <w:tab w:val="left" w:pos="1204"/>
        </w:tabs>
        <w:adjustRightInd w:val="0"/>
        <w:snapToGrid w:val="0"/>
        <w:spacing w:beforeLines="50" w:before="156"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b/>
          <w:bCs/>
          <w:sz w:val="22"/>
        </w:rPr>
        <w:t>Article 32</w:t>
      </w:r>
      <w:r w:rsidRPr="00E2506B">
        <w:rPr>
          <w:rFonts w:ascii="Times New Roman" w:eastAsia="宋体" w:hAnsi="Times New Roman" w:cs="Times New Roman"/>
          <w:b/>
          <w:bCs/>
          <w:sz w:val="22"/>
        </w:rPr>
        <w:tab/>
      </w:r>
      <w:r w:rsidRPr="00E2506B">
        <w:rPr>
          <w:rFonts w:ascii="Times New Roman" w:eastAsia="宋体" w:hAnsi="Times New Roman" w:cs="Times New Roman"/>
          <w:sz w:val="22"/>
        </w:rPr>
        <w:t>The range of price limit for a cast aluminum alloy futures contract is within ±3% of its settlement price of the preceding trading day.</w:t>
      </w:r>
    </w:p>
    <w:p w:rsidR="00F217EC" w:rsidRPr="00E2506B" w:rsidRDefault="00F217EC" w:rsidP="00F217EC">
      <w:pPr>
        <w:tabs>
          <w:tab w:val="left" w:pos="1204"/>
        </w:tabs>
        <w:adjustRightInd w:val="0"/>
        <w:snapToGrid w:val="0"/>
        <w:spacing w:afterLines="100" w:after="312" w:line="276" w:lineRule="auto"/>
        <w:jc w:val="left"/>
        <w:rPr>
          <w:rFonts w:ascii="Times New Roman" w:eastAsia="宋体" w:hAnsi="Times New Roman" w:cs="Times New Roman"/>
          <w:bCs/>
          <w:sz w:val="22"/>
        </w:rPr>
      </w:pPr>
      <w:r w:rsidRPr="00E2506B">
        <w:rPr>
          <w:rFonts w:ascii="Times New Roman" w:eastAsia="宋体" w:hAnsi="Times New Roman" w:cs="Times New Roman"/>
          <w:b/>
          <w:sz w:val="22"/>
        </w:rPr>
        <w:t>Article33</w:t>
      </w:r>
      <w:r w:rsidRPr="00E2506B">
        <w:rPr>
          <w:rFonts w:ascii="Times New Roman" w:eastAsia="宋体" w:hAnsi="Times New Roman" w:cs="Times New Roman"/>
          <w:bCs/>
          <w:sz w:val="22"/>
        </w:rPr>
        <w:tab/>
        <w:t xml:space="preserve">Percentage-based position and </w:t>
      </w:r>
      <w:r w:rsidRPr="00E2506B">
        <w:rPr>
          <w:rFonts w:ascii="Times New Roman" w:eastAsia="宋体" w:hAnsi="Times New Roman" w:cs="Times New Roman"/>
          <w:sz w:val="22"/>
        </w:rPr>
        <w:t>fixed-amount Position Limit</w:t>
      </w:r>
      <w:r w:rsidRPr="00E2506B">
        <w:rPr>
          <w:rFonts w:ascii="Times New Roman" w:eastAsia="宋体" w:hAnsi="Times New Roman" w:cs="Times New Roman"/>
          <w:bCs/>
          <w:sz w:val="22"/>
        </w:rPr>
        <w:t xml:space="preserve"> for each cast aluminum alloy futures contract at different stages of trading for an FF Member, a non-FF Member and a Client are as follows (in lots):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88"/>
        <w:gridCol w:w="737"/>
        <w:gridCol w:w="1000"/>
        <w:gridCol w:w="987"/>
        <w:gridCol w:w="863"/>
        <w:gridCol w:w="737"/>
        <w:gridCol w:w="863"/>
        <w:gridCol w:w="739"/>
        <w:gridCol w:w="738"/>
        <w:gridCol w:w="738"/>
      </w:tblGrid>
      <w:tr w:rsidR="00F217EC" w:rsidRPr="00E2506B" w:rsidTr="00452002">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p>
        </w:tc>
        <w:tc>
          <w:tcPr>
            <w:tcW w:w="981" w:type="pct"/>
            <w:gridSpan w:val="2"/>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
                <w:bCs/>
                <w:sz w:val="20"/>
                <w:szCs w:val="20"/>
              </w:rPr>
            </w:pPr>
            <w:r w:rsidRPr="00E2506B">
              <w:rPr>
                <w:rFonts w:ascii="Times New Roman" w:eastAsia="宋体" w:hAnsi="Times New Roman" w:cs="Times New Roman"/>
                <w:b/>
                <w:sz w:val="20"/>
                <w:szCs w:val="20"/>
              </w:rPr>
              <w:t>From the date of listing to the delivery month</w:t>
            </w:r>
          </w:p>
        </w:tc>
        <w:tc>
          <w:tcPr>
            <w:tcW w:w="1586" w:type="pct"/>
            <w:gridSpan w:val="3"/>
            <w:tcBorders>
              <w:top w:val="single" w:sz="6" w:space="0" w:color="auto"/>
              <w:left w:val="single" w:sz="4"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
                <w:bCs/>
                <w:sz w:val="20"/>
                <w:szCs w:val="20"/>
              </w:rPr>
            </w:pPr>
            <w:r w:rsidRPr="00E2506B">
              <w:rPr>
                <w:rFonts w:ascii="Times New Roman" w:eastAsia="宋体" w:hAnsi="Times New Roman" w:cs="Times New Roman"/>
                <w:b/>
                <w:sz w:val="20"/>
                <w:szCs w:val="20"/>
              </w:rPr>
              <w:t>From the date of listing to the last trading day of the second month prior to the delivery month</w:t>
            </w:r>
          </w:p>
        </w:tc>
        <w:tc>
          <w:tcPr>
            <w:tcW w:w="982" w:type="pct"/>
            <w:gridSpan w:val="2"/>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
                <w:bCs/>
                <w:sz w:val="20"/>
                <w:szCs w:val="20"/>
              </w:rPr>
            </w:pPr>
            <w:r w:rsidRPr="00E2506B">
              <w:rPr>
                <w:rFonts w:ascii="Times New Roman" w:eastAsia="宋体" w:hAnsi="Times New Roman" w:cs="Times New Roman"/>
                <w:b/>
                <w:sz w:val="20"/>
                <w:szCs w:val="20"/>
              </w:rPr>
              <w:t>First month prior to the delivery month</w:t>
            </w:r>
          </w:p>
        </w:tc>
        <w:tc>
          <w:tcPr>
            <w:tcW w:w="907" w:type="pct"/>
            <w:gridSpan w:val="2"/>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
                <w:bCs/>
                <w:sz w:val="20"/>
                <w:szCs w:val="20"/>
              </w:rPr>
            </w:pPr>
            <w:r w:rsidRPr="00E2506B">
              <w:rPr>
                <w:rFonts w:ascii="Times New Roman" w:eastAsia="宋体" w:hAnsi="Times New Roman" w:cs="Times New Roman"/>
                <w:b/>
                <w:bCs/>
                <w:sz w:val="20"/>
                <w:szCs w:val="20"/>
              </w:rPr>
              <w:t>Delivery month</w:t>
            </w:r>
          </w:p>
        </w:tc>
      </w:tr>
      <w:tr w:rsidR="00F217EC" w:rsidRPr="00E2506B" w:rsidTr="0045200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p>
        </w:tc>
        <w:tc>
          <w:tcPr>
            <w:tcW w:w="453" w:type="pct"/>
            <w:vMerge w:val="restart"/>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sz w:val="20"/>
                <w:szCs w:val="20"/>
              </w:rPr>
              <w:t>Total open interest</w:t>
            </w:r>
          </w:p>
        </w:tc>
        <w:tc>
          <w:tcPr>
            <w:tcW w:w="528" w:type="pct"/>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Percentage-based Position Limit (in %)</w:t>
            </w:r>
          </w:p>
        </w:tc>
        <w:tc>
          <w:tcPr>
            <w:tcW w:w="604" w:type="pct"/>
            <w:vMerge w:val="restart"/>
            <w:tcBorders>
              <w:top w:val="single" w:sz="6" w:space="0" w:color="auto"/>
              <w:left w:val="single" w:sz="4"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sz w:val="20"/>
                <w:szCs w:val="20"/>
              </w:rPr>
            </w:pPr>
            <w:r w:rsidRPr="00E2506B">
              <w:rPr>
                <w:rFonts w:ascii="Times New Roman" w:eastAsia="宋体" w:hAnsi="Times New Roman" w:cs="Times New Roman"/>
                <w:sz w:val="20"/>
                <w:szCs w:val="20"/>
              </w:rPr>
              <w:t>Total open</w:t>
            </w:r>
          </w:p>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sz w:val="20"/>
                <w:szCs w:val="20"/>
              </w:rPr>
              <w:t>interest</w:t>
            </w:r>
          </w:p>
        </w:tc>
        <w:tc>
          <w:tcPr>
            <w:tcW w:w="982" w:type="pct"/>
            <w:gridSpan w:val="2"/>
            <w:tcBorders>
              <w:top w:val="single" w:sz="6" w:space="0" w:color="auto"/>
              <w:left w:val="single" w:sz="4"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sz w:val="20"/>
                <w:szCs w:val="20"/>
              </w:rPr>
            </w:pPr>
            <w:r w:rsidRPr="00E2506B">
              <w:rPr>
                <w:rFonts w:ascii="Times New Roman" w:eastAsia="宋体" w:hAnsi="Times New Roman" w:cs="Times New Roman"/>
                <w:bCs/>
                <w:sz w:val="20"/>
                <w:szCs w:val="20"/>
              </w:rPr>
              <w:t xml:space="preserve">Percentage-based Position Limit (in %) and </w:t>
            </w:r>
            <w:r w:rsidRPr="00E2506B">
              <w:rPr>
                <w:rFonts w:ascii="Times New Roman" w:eastAsia="宋体" w:hAnsi="Times New Roman" w:cs="Times New Roman"/>
                <w:sz w:val="20"/>
                <w:szCs w:val="20"/>
              </w:rPr>
              <w:t>Fixed-amount Position Limit (in lots)</w:t>
            </w:r>
          </w:p>
        </w:tc>
        <w:tc>
          <w:tcPr>
            <w:tcW w:w="982" w:type="pct"/>
            <w:gridSpan w:val="2"/>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sz w:val="20"/>
                <w:szCs w:val="20"/>
              </w:rPr>
              <w:t>Fixed-amount Position Limit (in lots)</w:t>
            </w:r>
          </w:p>
        </w:tc>
        <w:tc>
          <w:tcPr>
            <w:tcW w:w="907" w:type="pct"/>
            <w:gridSpan w:val="2"/>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sz w:val="20"/>
                <w:szCs w:val="20"/>
              </w:rPr>
              <w:t>Fixed-amount Position Limit (in lots)</w:t>
            </w:r>
          </w:p>
        </w:tc>
      </w:tr>
      <w:tr w:rsidR="00F217EC" w:rsidRPr="00E2506B" w:rsidTr="0045200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p>
        </w:tc>
        <w:tc>
          <w:tcPr>
            <w:tcW w:w="453" w:type="pct"/>
            <w:vMerge/>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p>
        </w:tc>
        <w:tc>
          <w:tcPr>
            <w:tcW w:w="528" w:type="pct"/>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sz w:val="20"/>
                <w:szCs w:val="20"/>
              </w:rPr>
              <w:t>FF Member</w:t>
            </w:r>
          </w:p>
        </w:tc>
        <w:tc>
          <w:tcPr>
            <w:tcW w:w="604" w:type="pct"/>
            <w:vMerge/>
            <w:tcBorders>
              <w:top w:val="single" w:sz="6" w:space="0" w:color="auto"/>
              <w:left w:val="single" w:sz="4"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p>
        </w:tc>
        <w:tc>
          <w:tcPr>
            <w:tcW w:w="529" w:type="pct"/>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sz w:val="20"/>
                <w:szCs w:val="20"/>
              </w:rPr>
              <w:t>Non-FF Member</w:t>
            </w:r>
          </w:p>
        </w:tc>
        <w:tc>
          <w:tcPr>
            <w:tcW w:w="453" w:type="pc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Client</w:t>
            </w:r>
          </w:p>
        </w:tc>
        <w:tc>
          <w:tcPr>
            <w:tcW w:w="529" w:type="pct"/>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sz w:val="20"/>
                <w:szCs w:val="20"/>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Client</w:t>
            </w:r>
          </w:p>
        </w:tc>
        <w:tc>
          <w:tcPr>
            <w:tcW w:w="453" w:type="pct"/>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sz w:val="20"/>
                <w:szCs w:val="20"/>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Client</w:t>
            </w:r>
          </w:p>
        </w:tc>
      </w:tr>
      <w:tr w:rsidR="00F217EC" w:rsidRPr="00E2506B" w:rsidTr="00452002">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cast aluminum alloy</w:t>
            </w:r>
          </w:p>
        </w:tc>
        <w:tc>
          <w:tcPr>
            <w:tcW w:w="453" w:type="pct"/>
            <w:vMerge w:val="restart"/>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方正仿宋简体" w:hAnsi="Times New Roman" w:cs="Times New Roman"/>
                <w:bCs/>
                <w:sz w:val="20"/>
                <w:szCs w:val="20"/>
              </w:rPr>
              <w:t>≥</w:t>
            </w:r>
            <w:r w:rsidRPr="00E2506B">
              <w:rPr>
                <w:rFonts w:ascii="Times New Roman" w:eastAsia="宋体" w:hAnsi="Times New Roman" w:cs="Times New Roman"/>
                <w:bCs/>
                <w:sz w:val="20"/>
                <w:szCs w:val="20"/>
              </w:rPr>
              <w:t>9,000</w:t>
            </w:r>
          </w:p>
        </w:tc>
        <w:tc>
          <w:tcPr>
            <w:tcW w:w="528" w:type="pct"/>
            <w:vMerge w:val="restart"/>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25</w:t>
            </w:r>
          </w:p>
        </w:tc>
        <w:tc>
          <w:tcPr>
            <w:tcW w:w="604" w:type="pct"/>
            <w:tcBorders>
              <w:top w:val="single" w:sz="6" w:space="0" w:color="auto"/>
              <w:left w:val="single" w:sz="4"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方正仿宋简体" w:hAnsi="Times New Roman" w:cs="Times New Roman"/>
                <w:bCs/>
                <w:sz w:val="20"/>
                <w:szCs w:val="20"/>
              </w:rPr>
              <w:t>≥</w:t>
            </w:r>
            <w:r w:rsidRPr="00E2506B">
              <w:rPr>
                <w:rFonts w:ascii="Times New Roman" w:eastAsia="宋体" w:hAnsi="Times New Roman" w:cs="Times New Roman"/>
                <w:bCs/>
                <w:sz w:val="20"/>
                <w:szCs w:val="20"/>
              </w:rPr>
              <w:t>9,000</w:t>
            </w:r>
          </w:p>
        </w:tc>
        <w:tc>
          <w:tcPr>
            <w:tcW w:w="529" w:type="pct"/>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10</w:t>
            </w:r>
          </w:p>
        </w:tc>
        <w:tc>
          <w:tcPr>
            <w:tcW w:w="453" w:type="pc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10</w:t>
            </w:r>
          </w:p>
        </w:tc>
        <w:tc>
          <w:tcPr>
            <w:tcW w:w="529" w:type="pct"/>
            <w:vMerge w:val="restart"/>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300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300</w:t>
            </w:r>
          </w:p>
        </w:tc>
        <w:tc>
          <w:tcPr>
            <w:tcW w:w="453" w:type="pct"/>
            <w:vMerge w:val="restart"/>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90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90</w:t>
            </w:r>
          </w:p>
        </w:tc>
      </w:tr>
      <w:tr w:rsidR="00F217EC" w:rsidRPr="00E2506B" w:rsidTr="0045200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left"/>
              <w:rPr>
                <w:rFonts w:ascii="Times New Roman" w:eastAsia="宋体" w:hAnsi="Times New Roman" w:cs="Times New Roman"/>
                <w:bCs/>
                <w:sz w:val="20"/>
                <w:szCs w:val="20"/>
              </w:rPr>
            </w:pPr>
          </w:p>
        </w:tc>
        <w:tc>
          <w:tcPr>
            <w:tcW w:w="453" w:type="pct"/>
            <w:vMerge/>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left"/>
              <w:rPr>
                <w:rFonts w:ascii="Times New Roman" w:eastAsia="宋体" w:hAnsi="Times New Roman" w:cs="Times New Roman"/>
                <w:bCs/>
                <w:sz w:val="20"/>
                <w:szCs w:val="20"/>
              </w:rPr>
            </w:pPr>
          </w:p>
        </w:tc>
        <w:tc>
          <w:tcPr>
            <w:tcW w:w="528" w:type="pct"/>
            <w:vMerge/>
            <w:tcBorders>
              <w:top w:val="single" w:sz="6" w:space="0" w:color="auto"/>
              <w:left w:val="single" w:sz="6"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left"/>
              <w:rPr>
                <w:rFonts w:ascii="Times New Roman" w:eastAsia="宋体" w:hAnsi="Times New Roman" w:cs="Times New Roman"/>
                <w:bCs/>
                <w:sz w:val="20"/>
                <w:szCs w:val="20"/>
              </w:rPr>
            </w:pPr>
          </w:p>
        </w:tc>
        <w:tc>
          <w:tcPr>
            <w:tcW w:w="604" w:type="pct"/>
            <w:tcBorders>
              <w:top w:val="single" w:sz="6" w:space="0" w:color="auto"/>
              <w:left w:val="single" w:sz="4" w:space="0" w:color="auto"/>
              <w:bottom w:val="single" w:sz="6" w:space="0" w:color="auto"/>
              <w:right w:val="single" w:sz="4"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方正仿宋简体" w:hAnsi="Times New Roman" w:cs="Times New Roman"/>
                <w:bCs/>
                <w:sz w:val="20"/>
                <w:szCs w:val="20"/>
              </w:rPr>
              <w:t>＜</w:t>
            </w:r>
            <w:r w:rsidRPr="00E2506B">
              <w:rPr>
                <w:rFonts w:ascii="Times New Roman" w:eastAsia="宋体" w:hAnsi="Times New Roman" w:cs="Times New Roman"/>
                <w:bCs/>
                <w:sz w:val="20"/>
                <w:szCs w:val="20"/>
              </w:rPr>
              <w:t>9,000</w:t>
            </w:r>
          </w:p>
        </w:tc>
        <w:tc>
          <w:tcPr>
            <w:tcW w:w="529" w:type="pct"/>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900</w:t>
            </w:r>
          </w:p>
        </w:tc>
        <w:tc>
          <w:tcPr>
            <w:tcW w:w="453" w:type="pct"/>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center"/>
              <w:rPr>
                <w:rFonts w:ascii="Times New Roman" w:eastAsia="宋体" w:hAnsi="Times New Roman" w:cs="Times New Roman"/>
                <w:bCs/>
                <w:sz w:val="20"/>
                <w:szCs w:val="20"/>
              </w:rPr>
            </w:pPr>
            <w:r w:rsidRPr="00E2506B">
              <w:rPr>
                <w:rFonts w:ascii="Times New Roman" w:eastAsia="宋体" w:hAnsi="Times New Roman" w:cs="Times New Roman"/>
                <w:bCs/>
                <w:sz w:val="20"/>
                <w:szCs w:val="20"/>
              </w:rPr>
              <w:t>900</w:t>
            </w:r>
          </w:p>
        </w:tc>
        <w:tc>
          <w:tcPr>
            <w:tcW w:w="529" w:type="pct"/>
            <w:vMerge/>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left"/>
              <w:rPr>
                <w:rFonts w:ascii="Times New Roman" w:eastAsia="宋体" w:hAnsi="Times New Roman" w:cs="Times New Roman"/>
                <w:bCs/>
                <w:sz w:val="20"/>
                <w:szCs w:val="20"/>
              </w:rPr>
            </w:pPr>
          </w:p>
        </w:tc>
        <w:tc>
          <w:tcPr>
            <w:tcW w:w="454" w:type="pct"/>
            <w:vMerge/>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left"/>
              <w:rPr>
                <w:rFonts w:ascii="Times New Roman" w:eastAsia="宋体" w:hAnsi="Times New Roman" w:cs="Times New Roman"/>
                <w:bCs/>
                <w:sz w:val="20"/>
                <w:szCs w:val="20"/>
              </w:rPr>
            </w:pPr>
          </w:p>
        </w:tc>
        <w:tc>
          <w:tcPr>
            <w:tcW w:w="453" w:type="pct"/>
            <w:vMerge/>
            <w:tcBorders>
              <w:top w:val="single" w:sz="6" w:space="0" w:color="auto"/>
              <w:left w:val="single" w:sz="4"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left"/>
              <w:rPr>
                <w:rFonts w:ascii="Times New Roman" w:eastAsia="宋体" w:hAnsi="Times New Roman" w:cs="Times New Roman"/>
                <w:bCs/>
                <w:sz w:val="20"/>
                <w:szCs w:val="20"/>
              </w:rPr>
            </w:pPr>
          </w:p>
        </w:tc>
        <w:tc>
          <w:tcPr>
            <w:tcW w:w="454" w:type="pct"/>
            <w:vMerge/>
            <w:tcBorders>
              <w:top w:val="single" w:sz="6" w:space="0" w:color="auto"/>
              <w:left w:val="single" w:sz="6" w:space="0" w:color="auto"/>
              <w:bottom w:val="single" w:sz="6" w:space="0" w:color="auto"/>
              <w:right w:val="single" w:sz="6" w:space="0" w:color="auto"/>
            </w:tcBorders>
            <w:vAlign w:val="center"/>
          </w:tcPr>
          <w:p w:rsidR="00F217EC" w:rsidRPr="00E2506B" w:rsidRDefault="00F217EC" w:rsidP="00922347">
            <w:pPr>
              <w:tabs>
                <w:tab w:val="left" w:pos="1204"/>
              </w:tabs>
              <w:adjustRightInd w:val="0"/>
              <w:snapToGrid w:val="0"/>
              <w:spacing w:beforeLines="25" w:before="78" w:afterLines="25" w:after="78"/>
              <w:jc w:val="left"/>
              <w:rPr>
                <w:rFonts w:ascii="Times New Roman" w:eastAsia="宋体" w:hAnsi="Times New Roman" w:cs="Times New Roman"/>
                <w:bCs/>
                <w:sz w:val="20"/>
                <w:szCs w:val="20"/>
              </w:rPr>
            </w:pPr>
          </w:p>
        </w:tc>
      </w:tr>
    </w:tbl>
    <w:p w:rsidR="00F217EC" w:rsidRPr="00E2506B" w:rsidRDefault="00F217EC" w:rsidP="00F217EC">
      <w:pPr>
        <w:tabs>
          <w:tab w:val="left" w:pos="1204"/>
        </w:tabs>
        <w:adjustRightInd w:val="0"/>
        <w:snapToGrid w:val="0"/>
        <w:spacing w:beforeLines="50" w:before="156" w:afterLines="100" w:after="312" w:line="276" w:lineRule="auto"/>
        <w:jc w:val="left"/>
        <w:rPr>
          <w:rFonts w:ascii="Times New Roman" w:eastAsia="宋体" w:hAnsi="Times New Roman" w:cs="Times New Roman"/>
          <w:sz w:val="22"/>
        </w:rPr>
      </w:pPr>
      <w:r w:rsidRPr="00E2506B">
        <w:rPr>
          <w:rFonts w:ascii="Times New Roman" w:eastAsia="宋体" w:hAnsi="Times New Roman" w:cs="Times New Roman"/>
          <w:sz w:val="22"/>
        </w:rPr>
        <w:t>Note: total open interest and the fixed-amount Position Limit are based on long or short positions.</w:t>
      </w:r>
    </w:p>
    <w:p w:rsidR="00D72AAE" w:rsidRPr="00E2506B" w:rsidRDefault="00D72AAE" w:rsidP="00562748">
      <w:pPr>
        <w:tabs>
          <w:tab w:val="left" w:pos="1204"/>
        </w:tabs>
        <w:adjustRightInd w:val="0"/>
        <w:snapToGrid w:val="0"/>
        <w:spacing w:afterLines="100" w:after="312" w:line="276" w:lineRule="auto"/>
        <w:jc w:val="left"/>
        <w:rPr>
          <w:rFonts w:ascii="Times New Roman" w:hAnsi="Times New Roman" w:cs="Times New Roman"/>
          <w:bCs/>
          <w:sz w:val="22"/>
        </w:rPr>
      </w:pPr>
      <w:bookmarkStart w:id="4" w:name="_Toc573966"/>
      <w:r w:rsidRPr="00E2506B">
        <w:rPr>
          <w:rFonts w:ascii="Times New Roman" w:hAnsi="Times New Roman" w:cs="Times New Roman"/>
          <w:b/>
          <w:sz w:val="22"/>
        </w:rPr>
        <w:t>Article 34</w:t>
      </w:r>
      <w:r w:rsidRPr="00E2506B">
        <w:rPr>
          <w:rFonts w:ascii="Times New Roman" w:hAnsi="Times New Roman" w:cs="Times New Roman"/>
          <w:bCs/>
          <w:sz w:val="22"/>
        </w:rPr>
        <w:tab/>
      </w:r>
      <w:r w:rsidRPr="009A3FC0">
        <w:rPr>
          <w:rFonts w:ascii="Times New Roman" w:eastAsia="宋体" w:hAnsi="Times New Roman" w:cs="Times New Roman"/>
          <w:bCs/>
          <w:sz w:val="22"/>
        </w:rPr>
        <w:t xml:space="preserve">For contracts in </w:t>
      </w:r>
      <w:r w:rsidRPr="00E2506B">
        <w:rPr>
          <w:rFonts w:ascii="Times New Roman" w:eastAsia="宋体" w:hAnsi="Times New Roman" w:cs="Times New Roman"/>
          <w:bCs/>
          <w:sz w:val="22"/>
        </w:rPr>
        <w:t>cast</w:t>
      </w:r>
      <w:r w:rsidRPr="009A3FC0">
        <w:rPr>
          <w:rFonts w:ascii="Times New Roman" w:eastAsia="宋体" w:hAnsi="Times New Roman" w:cs="Times New Roman"/>
          <w:bCs/>
          <w:sz w:val="22"/>
        </w:rPr>
        <w:t xml:space="preserve"> aluminum</w:t>
      </w:r>
      <w:r w:rsidRPr="00E2506B">
        <w:rPr>
          <w:rFonts w:ascii="Times New Roman" w:eastAsia="宋体" w:hAnsi="Times New Roman" w:cs="Times New Roman"/>
          <w:bCs/>
          <w:sz w:val="22"/>
        </w:rPr>
        <w:t xml:space="preserve"> alloy</w:t>
      </w:r>
      <w:r w:rsidRPr="009A3FC0">
        <w:rPr>
          <w:rFonts w:ascii="Times New Roman" w:eastAsia="宋体" w:hAnsi="Times New Roman" w:cs="Times New Roman"/>
          <w:bCs/>
          <w:sz w:val="22"/>
        </w:rPr>
        <w:t xml:space="preserve"> futures, by the close of the last trading day of the month prior to the delivery month, each Trader (referring here and hereinafter to a Client, a Non-Futures Firm Member) shall adjust its general positions held </w:t>
      </w:r>
      <w:r w:rsidR="00E2506B" w:rsidRPr="009A3FC0">
        <w:rPr>
          <w:rFonts w:ascii="Times New Roman" w:eastAsia="宋体" w:hAnsi="Times New Roman" w:cs="Times New Roman"/>
          <w:bCs/>
          <w:sz w:val="22"/>
        </w:rPr>
        <w:t>under</w:t>
      </w:r>
      <w:r w:rsidR="001F290B" w:rsidRPr="009A3FC0">
        <w:rPr>
          <w:rFonts w:ascii="Times New Roman" w:eastAsia="宋体" w:hAnsi="Times New Roman" w:cs="Times New Roman"/>
          <w:bCs/>
          <w:sz w:val="22"/>
        </w:rPr>
        <w:t xml:space="preserve"> </w:t>
      </w:r>
      <w:r w:rsidR="00DF5B25">
        <w:rPr>
          <w:rFonts w:ascii="Times New Roman" w:eastAsia="宋体" w:hAnsi="Times New Roman" w:cs="Times New Roman"/>
          <w:bCs/>
          <w:sz w:val="22"/>
        </w:rPr>
        <w:t>its</w:t>
      </w:r>
      <w:r w:rsidR="00E2506B" w:rsidRPr="009A3FC0">
        <w:rPr>
          <w:rFonts w:ascii="Times New Roman" w:eastAsia="宋体" w:hAnsi="Times New Roman" w:cs="Times New Roman"/>
          <w:bCs/>
          <w:sz w:val="22"/>
        </w:rPr>
        <w:t xml:space="preserve"> trading code</w:t>
      </w:r>
      <w:r w:rsidRPr="009A3FC0">
        <w:rPr>
          <w:rFonts w:ascii="Times New Roman" w:eastAsia="宋体" w:hAnsi="Times New Roman" w:cs="Times New Roman"/>
          <w:bCs/>
          <w:sz w:val="22"/>
        </w:rPr>
        <w:t xml:space="preserve">, to multiples of </w:t>
      </w:r>
      <w:r w:rsidRPr="00E2506B">
        <w:rPr>
          <w:rFonts w:ascii="Times New Roman" w:eastAsia="宋体" w:hAnsi="Times New Roman" w:cs="Times New Roman"/>
          <w:bCs/>
          <w:sz w:val="22"/>
        </w:rPr>
        <w:t>three (3)</w:t>
      </w:r>
      <w:r w:rsidRPr="009A3FC0">
        <w:rPr>
          <w:rFonts w:ascii="Times New Roman" w:eastAsia="宋体" w:hAnsi="Times New Roman" w:cs="Times New Roman"/>
          <w:bCs/>
          <w:sz w:val="22"/>
        </w:rPr>
        <w:t xml:space="preserve"> lots and a one-day delay is allowed under special market conditions; in the delivery month, the general positions as well as newly opened and closed-out positions shall be held in multiples of </w:t>
      </w:r>
      <w:r w:rsidRPr="00E2506B">
        <w:rPr>
          <w:rFonts w:ascii="Times New Roman" w:eastAsia="宋体" w:hAnsi="Times New Roman" w:cs="Times New Roman"/>
          <w:bCs/>
          <w:sz w:val="22"/>
        </w:rPr>
        <w:t>three (3)</w:t>
      </w:r>
      <w:r w:rsidRPr="009A3FC0">
        <w:rPr>
          <w:rFonts w:ascii="Times New Roman" w:eastAsia="宋体" w:hAnsi="Times New Roman" w:cs="Times New Roman"/>
          <w:bCs/>
          <w:sz w:val="22"/>
        </w:rPr>
        <w:t xml:space="preserve"> lots. </w:t>
      </w:r>
    </w:p>
    <w:p w:rsidR="00562748" w:rsidRPr="009A3FC0" w:rsidRDefault="00562748" w:rsidP="009A3FC0">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E2506B">
        <w:rPr>
          <w:rFonts w:ascii="Times New Roman" w:hAnsi="Times New Roman" w:cs="Times New Roman"/>
          <w:b/>
          <w:sz w:val="22"/>
        </w:rPr>
        <w:t>Article 35</w:t>
      </w:r>
      <w:r w:rsidRPr="00E2506B">
        <w:rPr>
          <w:rFonts w:ascii="Times New Roman" w:hAnsi="Times New Roman" w:cs="Times New Roman"/>
          <w:bCs/>
          <w:sz w:val="22"/>
        </w:rPr>
        <w:tab/>
        <w:t xml:space="preserve">If the Exchange makes a forced position reduction to a cast aluminum alloy futures contract, the amount of the unfilled orders subject to the order fill, positions eligible to </w:t>
      </w:r>
      <w:r w:rsidRPr="00E2506B">
        <w:rPr>
          <w:rFonts w:ascii="Times New Roman" w:hAnsi="Times New Roman" w:cs="Times New Roman"/>
          <w:bCs/>
          <w:sz w:val="22"/>
        </w:rPr>
        <w:lastRenderedPageBreak/>
        <w:t>fill the unfilled or</w:t>
      </w:r>
      <w:r w:rsidRPr="009A3FC0">
        <w:rPr>
          <w:rFonts w:ascii="Times New Roman" w:eastAsia="宋体" w:hAnsi="Times New Roman" w:cs="Times New Roman"/>
          <w:bCs/>
          <w:sz w:val="22"/>
        </w:rPr>
        <w:t>ders</w:t>
      </w:r>
      <w:r w:rsidR="00990D35" w:rsidRPr="009A3FC0">
        <w:rPr>
          <w:rFonts w:ascii="Times New Roman" w:eastAsia="宋体" w:hAnsi="Times New Roman" w:cs="Times New Roman"/>
          <w:bCs/>
          <w:sz w:val="22"/>
        </w:rPr>
        <w:t xml:space="preserve"> of a Trader</w:t>
      </w:r>
      <w:r w:rsidRPr="009A3FC0">
        <w:rPr>
          <w:rFonts w:ascii="Times New Roman" w:eastAsia="宋体" w:hAnsi="Times New Roman" w:cs="Times New Roman"/>
          <w:bCs/>
          <w:sz w:val="22"/>
        </w:rPr>
        <w:t>, and the principles and methods for the order fill of unfilled orders shall be determined as follows:</w:t>
      </w:r>
    </w:p>
    <w:p w:rsidR="00562748" w:rsidRPr="009A3FC0" w:rsidRDefault="00562748" w:rsidP="009A3FC0">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9A3FC0">
        <w:rPr>
          <w:rFonts w:ascii="Times New Roman" w:eastAsia="宋体" w:hAnsi="Times New Roman" w:cs="Times New Roman"/>
          <w:bCs/>
          <w:sz w:val="22"/>
        </w:rPr>
        <w:t>(i)</w:t>
      </w:r>
      <w:r w:rsidRPr="009A3FC0">
        <w:rPr>
          <w:rFonts w:ascii="Times New Roman" w:eastAsia="宋体" w:hAnsi="Times New Roman" w:cs="Times New Roman"/>
          <w:bCs/>
          <w:sz w:val="22"/>
        </w:rPr>
        <w:tab/>
        <w:t xml:space="preserve">Amount of the unfilled orders subject to the order fill. The term “amount of unfilled orders subject to the order fill” means the total amount of all the unfilled orders submitted after the close of the base date at the limit price into the central order book by each Trader who has incurred losses on net positions in the contract of an average level of no less than six percent (6%) for </w:t>
      </w:r>
      <w:r w:rsidRPr="00E2506B">
        <w:rPr>
          <w:rFonts w:ascii="Times New Roman" w:eastAsia="宋体" w:hAnsi="Times New Roman" w:cs="Times New Roman"/>
          <w:bCs/>
          <w:sz w:val="22"/>
        </w:rPr>
        <w:t>cast aluminum alloy</w:t>
      </w:r>
      <w:r w:rsidRPr="009A3FC0">
        <w:rPr>
          <w:rFonts w:ascii="Times New Roman" w:eastAsia="宋体" w:hAnsi="Times New Roman" w:cs="Times New Roman"/>
          <w:bCs/>
          <w:sz w:val="22"/>
        </w:rPr>
        <w:t xml:space="preserve"> futures contracts, of the settlement price of the base date.</w:t>
      </w:r>
    </w:p>
    <w:p w:rsidR="00562748" w:rsidRPr="009A3FC0" w:rsidRDefault="00562748" w:rsidP="009A3FC0">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E2506B">
        <w:rPr>
          <w:rFonts w:ascii="Times New Roman" w:hAnsi="Times New Roman" w:cs="Times New Roman"/>
          <w:bCs/>
          <w:sz w:val="22"/>
        </w:rPr>
        <w:t>(ii)</w:t>
      </w:r>
      <w:r w:rsidRPr="00E2506B">
        <w:rPr>
          <w:rFonts w:ascii="Times New Roman" w:hAnsi="Times New Roman" w:cs="Times New Roman"/>
          <w:bCs/>
          <w:sz w:val="22"/>
        </w:rPr>
        <w:tab/>
      </w:r>
      <w:r w:rsidRPr="009A3FC0">
        <w:rPr>
          <w:rFonts w:ascii="Times New Roman" w:eastAsia="宋体" w:hAnsi="Times New Roman" w:cs="Times New Roman"/>
          <w:bCs/>
          <w:sz w:val="22"/>
        </w:rPr>
        <w:t>Positions eligible to fill the unfilled orders</w:t>
      </w:r>
      <w:r w:rsidR="00946AF7" w:rsidRPr="00946AF7">
        <w:t xml:space="preserve"> </w:t>
      </w:r>
      <w:r w:rsidR="00946AF7" w:rsidRPr="00946AF7">
        <w:rPr>
          <w:rFonts w:ascii="Times New Roman" w:eastAsia="宋体" w:hAnsi="Times New Roman" w:cs="Times New Roman"/>
          <w:bCs/>
          <w:sz w:val="22"/>
        </w:rPr>
        <w:t>of a Trader</w:t>
      </w:r>
      <w:r w:rsidRPr="009A3FC0">
        <w:rPr>
          <w:rFonts w:ascii="Times New Roman" w:eastAsia="宋体" w:hAnsi="Times New Roman" w:cs="Times New Roman"/>
          <w:bCs/>
          <w:sz w:val="22"/>
        </w:rPr>
        <w:t>. The positions eligible to fill the unfilled orders include the net positions, on which the Trader, as calculated using the above formula, stipulated in the Risk Management Rules of the Shanghai Futures Exchange, records average gains for general purposes or for hedging purposes at no less than six percent (6%)</w:t>
      </w:r>
      <w:r w:rsidR="00946AF7" w:rsidRPr="00946AF7">
        <w:t xml:space="preserve"> </w:t>
      </w:r>
      <w:r w:rsidR="00946AF7" w:rsidRPr="00946AF7">
        <w:rPr>
          <w:rFonts w:ascii="Times New Roman" w:eastAsia="宋体" w:hAnsi="Times New Roman" w:cs="Times New Roman"/>
          <w:bCs/>
          <w:sz w:val="22"/>
        </w:rPr>
        <w:t>of the settlement price of the base date</w:t>
      </w:r>
      <w:r w:rsidRPr="009A3FC0">
        <w:rPr>
          <w:rFonts w:ascii="Times New Roman" w:eastAsia="宋体" w:hAnsi="Times New Roman" w:cs="Times New Roman"/>
          <w:bCs/>
          <w:sz w:val="22"/>
        </w:rPr>
        <w:t>.</w:t>
      </w:r>
    </w:p>
    <w:p w:rsidR="00562748" w:rsidRPr="009A3FC0" w:rsidRDefault="00562748" w:rsidP="009A3FC0">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9A3FC0">
        <w:rPr>
          <w:rFonts w:ascii="Times New Roman" w:eastAsia="宋体" w:hAnsi="Times New Roman" w:cs="Times New Roman"/>
          <w:bCs/>
          <w:sz w:val="22"/>
        </w:rPr>
        <w:t>(iii)</w:t>
      </w:r>
      <w:r w:rsidRPr="009A3FC0">
        <w:rPr>
          <w:rFonts w:ascii="Times New Roman" w:eastAsia="宋体" w:hAnsi="Times New Roman" w:cs="Times New Roman"/>
          <w:bCs/>
          <w:sz w:val="22"/>
        </w:rPr>
        <w:tab/>
        <w:t xml:space="preserve">Principles for the order fill of unfilled orders. The order fill of unfilled orders shall take place in the order of the following four levels with regard to the amount of gains and whether such positions are general or hedging: </w:t>
      </w:r>
    </w:p>
    <w:p w:rsidR="00562748" w:rsidRPr="009A3FC0" w:rsidRDefault="00562748" w:rsidP="00562748">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9A3FC0">
        <w:rPr>
          <w:rFonts w:ascii="Times New Roman" w:eastAsia="宋体" w:hAnsi="Times New Roman" w:cs="Times New Roman"/>
          <w:bCs/>
          <w:sz w:val="22"/>
        </w:rPr>
        <w:t xml:space="preserve">Level 1: Unfilled orders shall be filled with the general positions eligible to fill the unfilled orders of any Trader with average gains on net positions of no less than six percent (6%) of the settlement price on the base date for the contracts in </w:t>
      </w:r>
      <w:r w:rsidRPr="00E2506B">
        <w:rPr>
          <w:rFonts w:ascii="Times New Roman" w:eastAsia="宋体" w:hAnsi="Times New Roman" w:cs="Times New Roman"/>
          <w:bCs/>
          <w:sz w:val="22"/>
        </w:rPr>
        <w:t>cast aluminum alloy</w:t>
      </w:r>
      <w:r w:rsidRPr="009A3FC0">
        <w:rPr>
          <w:rFonts w:ascii="Times New Roman" w:eastAsia="宋体" w:hAnsi="Times New Roman" w:cs="Times New Roman"/>
          <w:bCs/>
          <w:sz w:val="22"/>
        </w:rPr>
        <w:t xml:space="preserve"> futures, or the General Position Gains of Over 6%; </w:t>
      </w:r>
    </w:p>
    <w:p w:rsidR="00562748" w:rsidRPr="009A3FC0" w:rsidRDefault="00562748" w:rsidP="00562748">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9A3FC0">
        <w:rPr>
          <w:rFonts w:ascii="Times New Roman" w:eastAsia="宋体" w:hAnsi="Times New Roman" w:cs="Times New Roman"/>
          <w:bCs/>
          <w:sz w:val="22"/>
        </w:rPr>
        <w:t>Level 2: Unfilled orders shall be filled with the general positions eligible to fill the unfilled orders of any Trader with average gains on net positions of no less than three percent (3%) but no more than six percent (6%) of the settlement price on the base date for contracts with respect to</w:t>
      </w:r>
      <w:r w:rsidRPr="00E2506B">
        <w:rPr>
          <w:rFonts w:ascii="Times New Roman" w:eastAsia="宋体" w:hAnsi="Times New Roman" w:cs="Times New Roman"/>
          <w:bCs/>
          <w:sz w:val="22"/>
        </w:rPr>
        <w:t xml:space="preserve"> cast aluminum alloy</w:t>
      </w:r>
      <w:r w:rsidRPr="009A3FC0">
        <w:rPr>
          <w:rFonts w:ascii="Times New Roman" w:eastAsia="宋体" w:hAnsi="Times New Roman" w:cs="Times New Roman"/>
          <w:bCs/>
          <w:sz w:val="22"/>
        </w:rPr>
        <w:t xml:space="preserve"> futures, or the General Position Gains of Over 3%;</w:t>
      </w:r>
    </w:p>
    <w:p w:rsidR="00562748" w:rsidRPr="009A3FC0" w:rsidRDefault="00562748" w:rsidP="00562748">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9A3FC0">
        <w:rPr>
          <w:rFonts w:ascii="Times New Roman" w:eastAsia="宋体" w:hAnsi="Times New Roman" w:cs="Times New Roman"/>
          <w:bCs/>
          <w:sz w:val="22"/>
        </w:rPr>
        <w:t xml:space="preserve">Level 3: Unfilled orders shall be filled with the general positions eligible to fill the unfilled orders of a Trader with average gains on net positions of no more than three percent (3%) of the settlement price on the base date for contracts in </w:t>
      </w:r>
      <w:r w:rsidRPr="00E2506B">
        <w:rPr>
          <w:rFonts w:ascii="Times New Roman" w:eastAsia="宋体" w:hAnsi="Times New Roman" w:cs="Times New Roman"/>
          <w:bCs/>
          <w:sz w:val="22"/>
        </w:rPr>
        <w:t>cast aluminum alloy</w:t>
      </w:r>
      <w:r w:rsidRPr="009A3FC0">
        <w:rPr>
          <w:rFonts w:ascii="Times New Roman" w:eastAsia="宋体" w:hAnsi="Times New Roman" w:cs="Times New Roman"/>
          <w:bCs/>
          <w:sz w:val="22"/>
        </w:rPr>
        <w:t xml:space="preserve"> futures, or the General Position Gains Below 3%; and</w:t>
      </w:r>
    </w:p>
    <w:p w:rsidR="00562748" w:rsidRPr="00E2506B" w:rsidRDefault="00562748" w:rsidP="00562748">
      <w:pPr>
        <w:tabs>
          <w:tab w:val="left" w:pos="775"/>
        </w:tabs>
        <w:adjustRightInd w:val="0"/>
        <w:snapToGrid w:val="0"/>
        <w:spacing w:afterLines="100" w:after="312" w:line="276" w:lineRule="auto"/>
        <w:jc w:val="left"/>
        <w:rPr>
          <w:rFonts w:ascii="Times New Roman" w:hAnsi="Times New Roman" w:cs="Times New Roman"/>
          <w:bCs/>
          <w:sz w:val="22"/>
        </w:rPr>
      </w:pPr>
      <w:r w:rsidRPr="00E2506B">
        <w:rPr>
          <w:rFonts w:ascii="Times New Roman" w:hAnsi="Times New Roman" w:cs="Times New Roman"/>
          <w:bCs/>
          <w:sz w:val="22"/>
        </w:rPr>
        <w:t xml:space="preserve">Level 4: Unfilled orders shall be filled with the hedging positions eligible to fill the unfilled orders of a </w:t>
      </w:r>
      <w:r w:rsidRPr="009A3FC0">
        <w:rPr>
          <w:rFonts w:ascii="Times New Roman" w:eastAsia="宋体" w:hAnsi="Times New Roman" w:cs="Times New Roman"/>
          <w:bCs/>
          <w:sz w:val="22"/>
        </w:rPr>
        <w:t>Trader w</w:t>
      </w:r>
      <w:r w:rsidRPr="00E2506B">
        <w:rPr>
          <w:rFonts w:ascii="Times New Roman" w:hAnsi="Times New Roman" w:cs="Times New Roman"/>
          <w:bCs/>
          <w:sz w:val="22"/>
        </w:rPr>
        <w:t xml:space="preserve">ith average gains on net positions of no less than six percent (6%) of the settlement price on the base date for contracts in </w:t>
      </w:r>
      <w:r w:rsidRPr="00E2506B">
        <w:rPr>
          <w:rFonts w:ascii="Times New Roman" w:eastAsia="宋体" w:hAnsi="Times New Roman" w:cs="Times New Roman"/>
          <w:bCs/>
          <w:sz w:val="22"/>
        </w:rPr>
        <w:t>cast aluminum alloy</w:t>
      </w:r>
      <w:r w:rsidRPr="00E2506B">
        <w:rPr>
          <w:rFonts w:ascii="Times New Roman" w:hAnsi="Times New Roman" w:cs="Times New Roman"/>
          <w:bCs/>
          <w:sz w:val="22"/>
        </w:rPr>
        <w:t xml:space="preserve"> futures, or the Hedging Position Gains of Over 6%.</w:t>
      </w:r>
    </w:p>
    <w:p w:rsidR="00AD7240" w:rsidRPr="00E2506B" w:rsidRDefault="00562748" w:rsidP="00AD7240">
      <w:pPr>
        <w:tabs>
          <w:tab w:val="left" w:pos="709"/>
        </w:tabs>
        <w:adjustRightInd w:val="0"/>
        <w:snapToGrid w:val="0"/>
        <w:spacing w:afterLines="100" w:after="312" w:line="276" w:lineRule="auto"/>
        <w:jc w:val="left"/>
        <w:rPr>
          <w:rFonts w:ascii="Times New Roman" w:hAnsi="Times New Roman" w:cs="Times New Roman"/>
          <w:bCs/>
          <w:sz w:val="22"/>
        </w:rPr>
      </w:pPr>
      <w:r w:rsidRPr="00E2506B">
        <w:rPr>
          <w:rFonts w:ascii="Times New Roman" w:hAnsi="Times New Roman" w:cs="Times New Roman"/>
          <w:bCs/>
          <w:sz w:val="22"/>
        </w:rPr>
        <w:t>(iv)</w:t>
      </w:r>
      <w:r w:rsidRPr="00E2506B">
        <w:rPr>
          <w:rFonts w:ascii="Times New Roman" w:hAnsi="Times New Roman" w:cs="Times New Roman"/>
          <w:bCs/>
          <w:sz w:val="22"/>
        </w:rPr>
        <w:tab/>
        <w:t>Methods for the order fill of unfilled orders. If the amount of th</w:t>
      </w:r>
      <w:r w:rsidRPr="009A3FC0">
        <w:rPr>
          <w:rFonts w:ascii="Times New Roman" w:eastAsia="宋体" w:hAnsi="Times New Roman" w:cs="Times New Roman"/>
          <w:bCs/>
          <w:sz w:val="22"/>
        </w:rPr>
        <w:t xml:space="preserve">e General Position Gains of Over 6% is greater than or equal to that of the unfilled orders, the unfilled orders shall be filled pro rata to the amount of the General Position Gains of Over 6%. If the amount of the General Position Gains of Over 6% is smaller than that of the unfilled orders, the General Position Gains of Over 6% shall be filled pro rata to the amount of the unfilled orders. The residual unfilled orders, if any, shall be filled with the General Positions Gains of Over 3% in the same manner as the foregoing, and if there are still orders remaining, the </w:t>
      </w:r>
      <w:r w:rsidRPr="009A3FC0">
        <w:rPr>
          <w:rFonts w:ascii="Times New Roman" w:eastAsia="宋体" w:hAnsi="Times New Roman" w:cs="Times New Roman"/>
          <w:bCs/>
          <w:sz w:val="22"/>
        </w:rPr>
        <w:lastRenderedPageBreak/>
        <w:t>outstanding unfilled orders shall be filled to the General Position Gains of Bel</w:t>
      </w:r>
      <w:r w:rsidRPr="00E2506B">
        <w:rPr>
          <w:rFonts w:ascii="Times New Roman" w:hAnsi="Times New Roman" w:cs="Times New Roman"/>
          <w:bCs/>
          <w:sz w:val="22"/>
        </w:rPr>
        <w:t>ow 3%, and so to the Hedging Position Gains of Over 6%. Unfilled orders which eventually remain after all the order fills described above, if any, shall not be filled at all.</w:t>
      </w:r>
    </w:p>
    <w:p w:rsidR="00F217EC" w:rsidRPr="00E2506B" w:rsidRDefault="00F217EC" w:rsidP="00AD7240">
      <w:pPr>
        <w:tabs>
          <w:tab w:val="left" w:pos="709"/>
        </w:tabs>
        <w:adjustRightInd w:val="0"/>
        <w:snapToGrid w:val="0"/>
        <w:spacing w:afterLines="100" w:after="312" w:line="276" w:lineRule="auto"/>
        <w:jc w:val="center"/>
        <w:rPr>
          <w:rFonts w:ascii="Times New Roman" w:eastAsia="宋体" w:hAnsi="Times New Roman" w:cs="Times New Roman"/>
          <w:b/>
          <w:bCs/>
          <w:sz w:val="22"/>
        </w:rPr>
      </w:pPr>
      <w:r w:rsidRPr="00E2506B">
        <w:rPr>
          <w:rFonts w:ascii="Times New Roman" w:eastAsia="宋体" w:hAnsi="Times New Roman" w:cs="Times New Roman"/>
          <w:b/>
          <w:sz w:val="22"/>
        </w:rPr>
        <w:t>CHAPTER 5</w:t>
      </w:r>
      <w:r w:rsidRPr="00E2506B">
        <w:rPr>
          <w:rFonts w:ascii="Times New Roman" w:eastAsia="宋体" w:hAnsi="Times New Roman" w:cs="Times New Roman"/>
          <w:b/>
          <w:bCs/>
          <w:sz w:val="22"/>
        </w:rPr>
        <w:tab/>
        <w:t>MISCELLANEOUS</w:t>
      </w:r>
    </w:p>
    <w:bookmarkEnd w:id="4"/>
    <w:p w:rsidR="00F217EC" w:rsidRPr="00E2506B" w:rsidRDefault="00F217EC" w:rsidP="00F217EC">
      <w:pPr>
        <w:tabs>
          <w:tab w:val="left" w:pos="775"/>
        </w:tabs>
        <w:adjustRightInd w:val="0"/>
        <w:snapToGrid w:val="0"/>
        <w:spacing w:afterLines="100" w:after="312" w:line="276" w:lineRule="auto"/>
        <w:jc w:val="left"/>
        <w:rPr>
          <w:rFonts w:ascii="Times New Roman" w:eastAsia="宋体" w:hAnsi="Times New Roman" w:cs="Times New Roman"/>
          <w:bCs/>
          <w:iCs/>
          <w:sz w:val="22"/>
        </w:rPr>
      </w:pPr>
      <w:r w:rsidRPr="00E2506B">
        <w:rPr>
          <w:rFonts w:ascii="Times New Roman" w:eastAsia="宋体" w:hAnsi="Times New Roman" w:cs="Times New Roman"/>
          <w:b/>
          <w:bCs/>
          <w:sz w:val="22"/>
        </w:rPr>
        <w:t>Article 36</w:t>
      </w:r>
      <w:r w:rsidRPr="00E2506B">
        <w:rPr>
          <w:rFonts w:ascii="Times New Roman" w:eastAsia="宋体" w:hAnsi="Times New Roman" w:cs="Times New Roman"/>
          <w:bCs/>
          <w:sz w:val="22"/>
        </w:rPr>
        <w:tab/>
        <w:t xml:space="preserve">Matters not covered herein </w:t>
      </w:r>
      <w:r w:rsidRPr="00E2506B">
        <w:rPr>
          <w:rFonts w:ascii="Times New Roman" w:eastAsia="宋体" w:hAnsi="Times New Roman" w:cs="Times New Roman"/>
          <w:iCs/>
          <w:sz w:val="22"/>
        </w:rPr>
        <w:t>shall be governed by the applicable business rules of the Exchange.</w:t>
      </w:r>
    </w:p>
    <w:p w:rsidR="00F217EC" w:rsidRPr="00E2506B" w:rsidRDefault="00F217EC" w:rsidP="00F217EC">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E2506B">
        <w:rPr>
          <w:rFonts w:ascii="Times New Roman" w:eastAsia="宋体" w:hAnsi="Times New Roman" w:cs="Times New Roman"/>
          <w:b/>
          <w:bCs/>
          <w:sz w:val="22"/>
        </w:rPr>
        <w:t>Article 37</w:t>
      </w:r>
      <w:r w:rsidRPr="00E2506B">
        <w:rPr>
          <w:rFonts w:ascii="Times New Roman" w:eastAsia="宋体" w:hAnsi="Times New Roman" w:cs="Times New Roman"/>
          <w:bCs/>
          <w:sz w:val="22"/>
        </w:rPr>
        <w:tab/>
      </w:r>
      <w:r w:rsidRPr="00E2506B">
        <w:rPr>
          <w:rFonts w:ascii="Times New Roman" w:hAnsi="Times New Roman" w:cs="Times New Roman"/>
          <w:snapToGrid w:val="0"/>
          <w:kern w:val="22"/>
          <w:sz w:val="22"/>
          <w:szCs w:val="21"/>
        </w:rPr>
        <w:t xml:space="preserve">Any violations of these </w:t>
      </w:r>
      <w:r w:rsidRPr="00E2506B">
        <w:rPr>
          <w:rFonts w:ascii="Times New Roman" w:eastAsia="宋体" w:hAnsi="Times New Roman" w:cs="Times New Roman"/>
          <w:i/>
          <w:sz w:val="22"/>
        </w:rPr>
        <w:t>Cast Aluminum Alloy Futures Rules</w:t>
      </w:r>
      <w:r w:rsidRPr="00E2506B">
        <w:rPr>
          <w:rFonts w:ascii="Times New Roman" w:hAnsi="Times New Roman" w:cs="Times New Roman"/>
          <w:i/>
          <w:iCs/>
          <w:snapToGrid w:val="0"/>
          <w:kern w:val="22"/>
          <w:sz w:val="22"/>
          <w:szCs w:val="21"/>
        </w:rPr>
        <w:t xml:space="preserve"> </w:t>
      </w:r>
      <w:bookmarkStart w:id="5" w:name="_Hlk172624163"/>
      <w:r w:rsidRPr="00E2506B">
        <w:rPr>
          <w:rFonts w:ascii="Times New Roman" w:eastAsia="宋体" w:hAnsi="Times New Roman" w:cs="Times New Roman"/>
          <w:sz w:val="22"/>
          <w:szCs w:val="21"/>
        </w:rPr>
        <w:t>will be handled by the Exchange in accordance with</w:t>
      </w:r>
      <w:bookmarkEnd w:id="5"/>
      <w:r w:rsidRPr="00E2506B">
        <w:rPr>
          <w:rFonts w:ascii="Times New Roman" w:eastAsia="宋体" w:hAnsi="Times New Roman" w:cs="Times New Roman"/>
          <w:sz w:val="22"/>
          <w:szCs w:val="21"/>
        </w:rPr>
        <w:t xml:space="preserve"> the </w:t>
      </w:r>
      <w:r w:rsidRPr="00E2506B">
        <w:rPr>
          <w:rFonts w:ascii="Times New Roman" w:eastAsia="宋体" w:hAnsi="Times New Roman" w:cs="Times New Roman"/>
          <w:i/>
          <w:iCs/>
          <w:sz w:val="22"/>
          <w:szCs w:val="21"/>
        </w:rPr>
        <w:t>Enforcement Rules of the Shanghai Futures Exchange</w:t>
      </w:r>
      <w:r w:rsidRPr="00E2506B">
        <w:rPr>
          <w:rFonts w:ascii="Times New Roman" w:eastAsia="宋体" w:hAnsi="Times New Roman" w:cs="Times New Roman"/>
          <w:sz w:val="22"/>
          <w:szCs w:val="21"/>
        </w:rPr>
        <w:t>.</w:t>
      </w:r>
    </w:p>
    <w:p w:rsidR="00F217EC" w:rsidRPr="00E2506B" w:rsidRDefault="00F217EC" w:rsidP="00F217EC">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E2506B">
        <w:rPr>
          <w:rFonts w:ascii="Times New Roman" w:eastAsia="宋体" w:hAnsi="Times New Roman" w:cs="Times New Roman"/>
          <w:b/>
          <w:bCs/>
          <w:sz w:val="22"/>
        </w:rPr>
        <w:t>Article 38</w:t>
      </w:r>
      <w:r w:rsidRPr="00E2506B">
        <w:rPr>
          <w:rFonts w:ascii="Times New Roman" w:eastAsia="宋体" w:hAnsi="Times New Roman" w:cs="Times New Roman"/>
          <w:bCs/>
          <w:sz w:val="22"/>
        </w:rPr>
        <w:tab/>
        <w:t xml:space="preserve">The Exchange reserves the right to interpret these </w:t>
      </w:r>
      <w:r w:rsidRPr="00E2506B">
        <w:rPr>
          <w:rFonts w:ascii="Times New Roman" w:eastAsia="宋体" w:hAnsi="Times New Roman" w:cs="Times New Roman"/>
          <w:i/>
          <w:sz w:val="22"/>
        </w:rPr>
        <w:t>Cast Aluminum Alloy Futures Rules</w:t>
      </w:r>
      <w:r w:rsidRPr="00E2506B">
        <w:rPr>
          <w:rFonts w:ascii="Times New Roman" w:eastAsia="宋体" w:hAnsi="Times New Roman" w:cs="Times New Roman"/>
          <w:bCs/>
          <w:sz w:val="22"/>
        </w:rPr>
        <w:t>.</w:t>
      </w:r>
    </w:p>
    <w:p w:rsidR="001E3DF7" w:rsidRPr="00E2506B" w:rsidRDefault="001E3DF7" w:rsidP="001E3DF7">
      <w:pPr>
        <w:tabs>
          <w:tab w:val="left" w:pos="775"/>
        </w:tabs>
        <w:adjustRightInd w:val="0"/>
        <w:snapToGrid w:val="0"/>
        <w:spacing w:afterLines="100" w:after="312" w:line="276" w:lineRule="auto"/>
        <w:jc w:val="left"/>
        <w:rPr>
          <w:rFonts w:ascii="Times New Roman" w:eastAsia="宋体" w:hAnsi="Times New Roman" w:cs="Times New Roman"/>
          <w:bCs/>
          <w:sz w:val="22"/>
        </w:rPr>
      </w:pPr>
      <w:r w:rsidRPr="00E2506B">
        <w:rPr>
          <w:rFonts w:ascii="Times New Roman" w:eastAsia="宋体" w:hAnsi="Times New Roman" w:cs="Times New Roman"/>
          <w:b/>
          <w:bCs/>
          <w:sz w:val="22"/>
        </w:rPr>
        <w:t>Article 39</w:t>
      </w:r>
      <w:r w:rsidRPr="00E2506B">
        <w:rPr>
          <w:rFonts w:ascii="Times New Roman" w:eastAsia="宋体" w:hAnsi="Times New Roman" w:cs="Times New Roman"/>
          <w:bCs/>
          <w:sz w:val="22"/>
        </w:rPr>
        <w:tab/>
        <w:t xml:space="preserve">These </w:t>
      </w:r>
      <w:r w:rsidRPr="00E2506B">
        <w:rPr>
          <w:rFonts w:ascii="Times New Roman" w:eastAsia="宋体" w:hAnsi="Times New Roman" w:cs="Times New Roman"/>
          <w:i/>
          <w:sz w:val="22"/>
        </w:rPr>
        <w:t>Cast Aluminum Alloy Futures Rules</w:t>
      </w:r>
      <w:r w:rsidRPr="00E2506B">
        <w:rPr>
          <w:rFonts w:ascii="Times New Roman" w:eastAsia="宋体" w:hAnsi="Times New Roman" w:cs="Times New Roman"/>
          <w:bCs/>
          <w:sz w:val="22"/>
        </w:rPr>
        <w:t xml:space="preserve"> take effect on </w:t>
      </w:r>
      <w:r w:rsidR="00636FE1">
        <w:rPr>
          <w:rFonts w:ascii="Times New Roman" w:eastAsia="仿宋_GB2312" w:hAnsi="Times New Roman"/>
          <w:kern w:val="0"/>
          <w:sz w:val="22"/>
        </w:rPr>
        <w:t>August 8, 2025</w:t>
      </w:r>
      <w:bookmarkStart w:id="6" w:name="_GoBack"/>
      <w:bookmarkEnd w:id="6"/>
      <w:r w:rsidRPr="00E2506B">
        <w:rPr>
          <w:rFonts w:ascii="Times New Roman" w:eastAsia="宋体" w:hAnsi="Times New Roman" w:cs="Times New Roman"/>
          <w:bCs/>
          <w:sz w:val="22"/>
        </w:rPr>
        <w:t>.</w:t>
      </w:r>
    </w:p>
    <w:p w:rsidR="00F217EC" w:rsidRPr="00E2506B" w:rsidRDefault="00F217EC" w:rsidP="00F217EC">
      <w:pPr>
        <w:rPr>
          <w:rFonts w:ascii="Times New Roman" w:hAnsi="Times New Roman" w:cs="Times New Roman"/>
        </w:rPr>
      </w:pPr>
    </w:p>
    <w:p w:rsidR="00CB2D14" w:rsidRPr="00E2506B" w:rsidRDefault="00B02F68" w:rsidP="009A3FC0">
      <w:pPr>
        <w:tabs>
          <w:tab w:val="left" w:pos="775"/>
        </w:tabs>
        <w:adjustRightInd w:val="0"/>
        <w:snapToGrid w:val="0"/>
        <w:spacing w:afterLines="100" w:after="312" w:line="276" w:lineRule="auto"/>
        <w:jc w:val="left"/>
        <w:rPr>
          <w:rFonts w:ascii="Times New Roman" w:hAnsi="Times New Roman" w:cs="Times New Roman"/>
        </w:rPr>
      </w:pPr>
    </w:p>
    <w:sectPr w:rsidR="00CB2D14" w:rsidRPr="00E2506B" w:rsidSect="003955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68" w:rsidRDefault="00B02F68" w:rsidP="00F217EC">
      <w:r>
        <w:separator/>
      </w:r>
    </w:p>
  </w:endnote>
  <w:endnote w:type="continuationSeparator" w:id="0">
    <w:p w:rsidR="00B02F68" w:rsidRDefault="00B02F68" w:rsidP="00F2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68" w:rsidRDefault="00B02F68" w:rsidP="00F217EC">
      <w:r>
        <w:separator/>
      </w:r>
    </w:p>
  </w:footnote>
  <w:footnote w:type="continuationSeparator" w:id="0">
    <w:p w:rsidR="00B02F68" w:rsidRDefault="00B02F68" w:rsidP="00F2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B2"/>
    <w:rsid w:val="000833C0"/>
    <w:rsid w:val="00087B52"/>
    <w:rsid w:val="000A2B9D"/>
    <w:rsid w:val="000A369C"/>
    <w:rsid w:val="000B45FE"/>
    <w:rsid w:val="001463F6"/>
    <w:rsid w:val="00147AB2"/>
    <w:rsid w:val="00151A55"/>
    <w:rsid w:val="001C3760"/>
    <w:rsid w:val="001D44E2"/>
    <w:rsid w:val="001E3DF7"/>
    <w:rsid w:val="001F290B"/>
    <w:rsid w:val="002378FC"/>
    <w:rsid w:val="00316154"/>
    <w:rsid w:val="003725B5"/>
    <w:rsid w:val="0037533D"/>
    <w:rsid w:val="00423CE4"/>
    <w:rsid w:val="004455DA"/>
    <w:rsid w:val="004459E5"/>
    <w:rsid w:val="00452002"/>
    <w:rsid w:val="00485320"/>
    <w:rsid w:val="004C0D5D"/>
    <w:rsid w:val="004E3D98"/>
    <w:rsid w:val="00562748"/>
    <w:rsid w:val="00566B1E"/>
    <w:rsid w:val="0059592B"/>
    <w:rsid w:val="005A44B1"/>
    <w:rsid w:val="005C0ED3"/>
    <w:rsid w:val="00636FE1"/>
    <w:rsid w:val="006E5008"/>
    <w:rsid w:val="007C09E5"/>
    <w:rsid w:val="007F07CD"/>
    <w:rsid w:val="009170CE"/>
    <w:rsid w:val="00932A2A"/>
    <w:rsid w:val="009417EC"/>
    <w:rsid w:val="00946AF7"/>
    <w:rsid w:val="00953BA6"/>
    <w:rsid w:val="009815E2"/>
    <w:rsid w:val="00990D35"/>
    <w:rsid w:val="009A3FC0"/>
    <w:rsid w:val="009D7DEF"/>
    <w:rsid w:val="00A073CD"/>
    <w:rsid w:val="00A33C6C"/>
    <w:rsid w:val="00A537F9"/>
    <w:rsid w:val="00A71C50"/>
    <w:rsid w:val="00AD7240"/>
    <w:rsid w:val="00B02F68"/>
    <w:rsid w:val="00B25A47"/>
    <w:rsid w:val="00B430B6"/>
    <w:rsid w:val="00B67FAE"/>
    <w:rsid w:val="00BB465E"/>
    <w:rsid w:val="00BE2BD4"/>
    <w:rsid w:val="00BE547C"/>
    <w:rsid w:val="00BF284F"/>
    <w:rsid w:val="00C22EDB"/>
    <w:rsid w:val="00D72AAE"/>
    <w:rsid w:val="00DB2190"/>
    <w:rsid w:val="00DB29AD"/>
    <w:rsid w:val="00DB4C96"/>
    <w:rsid w:val="00DF578F"/>
    <w:rsid w:val="00DF5B25"/>
    <w:rsid w:val="00E2506B"/>
    <w:rsid w:val="00ED2E0A"/>
    <w:rsid w:val="00F217EC"/>
    <w:rsid w:val="00F570FE"/>
    <w:rsid w:val="00F83AE1"/>
    <w:rsid w:val="00FC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D96BAB-0171-4227-A85F-B56DA1E7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17EC"/>
    <w:rPr>
      <w:sz w:val="18"/>
      <w:szCs w:val="18"/>
    </w:rPr>
  </w:style>
  <w:style w:type="paragraph" w:styleId="a4">
    <w:name w:val="footer"/>
    <w:basedOn w:val="a"/>
    <w:link w:val="Char0"/>
    <w:uiPriority w:val="99"/>
    <w:unhideWhenUsed/>
    <w:rsid w:val="00F217EC"/>
    <w:pPr>
      <w:tabs>
        <w:tab w:val="center" w:pos="4153"/>
        <w:tab w:val="right" w:pos="8306"/>
      </w:tabs>
      <w:snapToGrid w:val="0"/>
      <w:jc w:val="left"/>
    </w:pPr>
    <w:rPr>
      <w:sz w:val="18"/>
      <w:szCs w:val="18"/>
    </w:rPr>
  </w:style>
  <w:style w:type="character" w:customStyle="1" w:styleId="Char0">
    <w:name w:val="页脚 Char"/>
    <w:basedOn w:val="a0"/>
    <w:link w:val="a4"/>
    <w:uiPriority w:val="99"/>
    <w:rsid w:val="00F217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2954</Words>
  <Characters>16843</Characters>
  <Application>Microsoft Office Word</Application>
  <DocSecurity>0</DocSecurity>
  <Lines>140</Lines>
  <Paragraphs>39</Paragraphs>
  <ScaleCrop>false</ScaleCrop>
  <Company>SHFE</Company>
  <LinksUpToDate>false</LinksUpToDate>
  <CharactersWithSpaces>19758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53</cp:revision>
  <dcterms:created xsi:type="dcterms:W3CDTF">2025-06-17T05:55:00Z</dcterms:created>
  <dcterms:modified xsi:type="dcterms:W3CDTF">2025-07-07T07:15:00Z</dcterms:modified>
</cp:coreProperties>
</file>