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Times New Roman" w:hAnsi="Times New Roman" w:eastAsia="方正仿宋简体" w:cs="Times New Roman"/>
          <w:b/>
          <w:bCs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 w:eastAsia="方正仿宋简体" w:cs="Times New Roman"/>
          <w:b/>
          <w:bCs/>
          <w:color w:val="000000" w:themeColor="text1"/>
          <w:sz w:val="24"/>
          <w:szCs w:val="24"/>
        </w:rPr>
        <w:t>Attachment:</w:t>
      </w:r>
    </w:p>
    <w:bookmarkEnd w:id="0"/>
    <w:p>
      <w:pPr>
        <w:spacing w:line="640" w:lineRule="exact"/>
        <w:rPr>
          <w:rFonts w:ascii="Times New Roman" w:hAnsi="Times New Roman" w:eastAsia="方正仿宋简体" w:cs="Times New Roman"/>
          <w:color w:val="000000" w:themeColor="text1"/>
          <w:sz w:val="24"/>
          <w:szCs w:val="24"/>
        </w:rPr>
      </w:pPr>
    </w:p>
    <w:p>
      <w:pPr>
        <w:jc w:val="center"/>
        <w:rPr>
          <w:rFonts w:ascii="Times New Roman" w:hAnsi="Times New Roman" w:eastAsia="方正仿宋简体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方正仿宋简体" w:cs="Times New Roman"/>
          <w:b/>
          <w:bCs/>
          <w:color w:val="000000" w:themeColor="text1"/>
          <w:sz w:val="28"/>
          <w:szCs w:val="28"/>
        </w:rPr>
        <w:t>Designated Depository Banks of Shanghai Futures Exchange</w:t>
      </w:r>
    </w:p>
    <w:p/>
    <w:tbl>
      <w:tblPr>
        <w:tblStyle w:val="17"/>
        <w:tblW w:w="5000" w:type="pct"/>
        <w:jc w:val="center"/>
        <w:tblCellSpacing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2D2D2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2109"/>
        <w:gridCol w:w="2074"/>
        <w:gridCol w:w="1317"/>
        <w:gridCol w:w="1317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2D2D2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Header/>
          <w:tblCellSpacing w:w="7" w:type="dxa"/>
          <w:jc w:val="center"/>
        </w:trPr>
        <w:tc>
          <w:tcPr>
            <w:tcW w:w="531" w:type="pct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Bank Name</w:t>
            </w:r>
          </w:p>
        </w:tc>
        <w:tc>
          <w:tcPr>
            <w:tcW w:w="1146" w:type="pct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Designated Branch</w:t>
            </w:r>
          </w:p>
        </w:tc>
        <w:tc>
          <w:tcPr>
            <w:tcW w:w="1126" w:type="pct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Address</w:t>
            </w:r>
          </w:p>
        </w:tc>
        <w:tc>
          <w:tcPr>
            <w:tcW w:w="712" w:type="pct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Tel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(+86 21)</w:t>
            </w:r>
          </w:p>
        </w:tc>
        <w:tc>
          <w:tcPr>
            <w:tcW w:w="712" w:type="pct"/>
            <w:shd w:val="clear" w:color="auto" w:fill="E7E6E6" w:themeFill="background2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For Domestic Clients (incl. QFI)</w:t>
            </w:r>
          </w:p>
        </w:tc>
        <w:tc>
          <w:tcPr>
            <w:tcW w:w="712" w:type="pct"/>
            <w:shd w:val="clear" w:color="auto" w:fill="E7E6E6" w:themeFill="background2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For QFI only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2D2D2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 w:themeColor="text1"/>
                <w:kern w:val="0"/>
                <w:szCs w:val="21"/>
              </w:rPr>
              <w:t>ICBC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ICBC Shanghai Futures Tower Branch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1/F, 500 Pudian Road, Shanghai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68401031</w:t>
            </w:r>
          </w:p>
        </w:tc>
        <w:tc>
          <w:tcPr>
            <w:tcW w:w="712" w:type="pct"/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华文细黑" w:cs="Times New Roman"/>
                <w:color w:val="000000" w:themeColor="text1"/>
                <w:kern w:val="0"/>
                <w:sz w:val="32"/>
                <w:szCs w:val="32"/>
              </w:rPr>
              <w:t>√</w:t>
            </w:r>
          </w:p>
        </w:tc>
        <w:tc>
          <w:tcPr>
            <w:tcW w:w="712" w:type="pct"/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2D2D2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 w:themeColor="text1"/>
                <w:kern w:val="0"/>
                <w:szCs w:val="21"/>
              </w:rPr>
              <w:t>ABC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ABC Shanghai Qihuodasha Sub-branch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1F, No.300 Song Lin Road Pudong New Area Shanghai P.R.China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68400986</w:t>
            </w:r>
          </w:p>
        </w:tc>
        <w:tc>
          <w:tcPr>
            <w:tcW w:w="712" w:type="pct"/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华文细黑" w:cs="Times New Roman"/>
                <w:color w:val="000000" w:themeColor="text1"/>
                <w:kern w:val="0"/>
                <w:sz w:val="32"/>
                <w:szCs w:val="32"/>
              </w:rPr>
              <w:t>√</w:t>
            </w:r>
          </w:p>
        </w:tc>
        <w:tc>
          <w:tcPr>
            <w:tcW w:w="712" w:type="pct"/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2D2D2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 w:themeColor="text1"/>
                <w:kern w:val="0"/>
                <w:szCs w:val="21"/>
              </w:rPr>
              <w:t>BOC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BOC Shanghai Futures Tower Branch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2/F, 500 Pudian Road, Shanghai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68402759</w:t>
            </w:r>
          </w:p>
        </w:tc>
        <w:tc>
          <w:tcPr>
            <w:tcW w:w="712" w:type="pct"/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华文细黑" w:cs="Times New Roman"/>
                <w:color w:val="000000" w:themeColor="text1"/>
                <w:kern w:val="0"/>
                <w:sz w:val="32"/>
                <w:szCs w:val="32"/>
              </w:rPr>
              <w:t>√</w:t>
            </w:r>
          </w:p>
        </w:tc>
        <w:tc>
          <w:tcPr>
            <w:tcW w:w="712" w:type="pct"/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2D2D2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 w:themeColor="text1"/>
                <w:kern w:val="0"/>
                <w:szCs w:val="21"/>
              </w:rPr>
              <w:t>CCB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CCB Shanghai Futures Subbranch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1/F, 500 Pudian Road, Shanghai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68401042</w:t>
            </w:r>
          </w:p>
        </w:tc>
        <w:tc>
          <w:tcPr>
            <w:tcW w:w="712" w:type="pct"/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华文细黑" w:cs="Times New Roman"/>
                <w:color w:val="000000" w:themeColor="text1"/>
                <w:kern w:val="0"/>
                <w:sz w:val="32"/>
                <w:szCs w:val="32"/>
              </w:rPr>
              <w:t>√</w:t>
            </w:r>
          </w:p>
        </w:tc>
        <w:tc>
          <w:tcPr>
            <w:tcW w:w="712" w:type="pct"/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2D2D2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 w:themeColor="text1"/>
                <w:kern w:val="0"/>
                <w:szCs w:val="21"/>
              </w:rPr>
              <w:t>BOCOM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BoCom Shanghai Futures Tower Branch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1/F, 500 Pudian Road, Shanghai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68401029</w:t>
            </w:r>
          </w:p>
        </w:tc>
        <w:tc>
          <w:tcPr>
            <w:tcW w:w="712" w:type="pct"/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华文细黑" w:cs="Times New Roman"/>
                <w:color w:val="000000" w:themeColor="text1"/>
                <w:kern w:val="0"/>
                <w:sz w:val="32"/>
                <w:szCs w:val="32"/>
              </w:rPr>
              <w:t>√</w:t>
            </w:r>
          </w:p>
        </w:tc>
        <w:tc>
          <w:tcPr>
            <w:tcW w:w="712" w:type="pct"/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2D2D2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 w:themeColor="text1"/>
                <w:kern w:val="0"/>
                <w:szCs w:val="21"/>
              </w:rPr>
              <w:t>CMB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China Merchant Bank Co., Ltd. Century Avenue Branch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1st floor,</w:t>
            </w:r>
            <w:r>
              <w:rPr>
                <w:rFonts w:hint="eastAsia"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 xml:space="preserve">Changtai </w:t>
            </w:r>
            <w:r>
              <w:rPr>
                <w:rFonts w:hint="eastAsia"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I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 xml:space="preserve">nternational </w:t>
            </w:r>
            <w:r>
              <w:rPr>
                <w:rFonts w:hint="eastAsia"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F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 xml:space="preserve">inance </w:t>
            </w:r>
            <w:r>
              <w:rPr>
                <w:rFonts w:hint="eastAsia"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B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uilding,</w:t>
            </w:r>
            <w:r>
              <w:rPr>
                <w:rFonts w:hint="eastAsia"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1589</w:t>
            </w:r>
            <w:r>
              <w:rPr>
                <w:rFonts w:hint="eastAsia"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Century Avenue,</w:t>
            </w:r>
            <w:r>
              <w:rPr>
                <w:rFonts w:hint="eastAsia"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Shang</w:t>
            </w:r>
            <w:r>
              <w:rPr>
                <w:rFonts w:hint="eastAsia"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h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58449005</w:t>
            </w:r>
          </w:p>
        </w:tc>
        <w:tc>
          <w:tcPr>
            <w:tcW w:w="712" w:type="pct"/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华文细黑" w:cs="Times New Roman"/>
                <w:color w:val="000000" w:themeColor="text1"/>
                <w:kern w:val="0"/>
                <w:sz w:val="32"/>
                <w:szCs w:val="32"/>
              </w:rPr>
              <w:t>√</w:t>
            </w:r>
          </w:p>
        </w:tc>
        <w:tc>
          <w:tcPr>
            <w:tcW w:w="712" w:type="pct"/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2D2D2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eastAsia="Arial Unicode MS" w:cs="Times New Roman"/>
                <w:b/>
                <w:bCs/>
                <w:color w:val="000000" w:themeColor="text1"/>
                <w:kern w:val="0"/>
                <w:szCs w:val="21"/>
              </w:rPr>
              <w:t>CITIC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China Citic Bank Shanghai Pudian Road Branch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1/F, Double Dove Tower, 438 Pudian Road, Shanghai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50192136</w:t>
            </w:r>
          </w:p>
        </w:tc>
        <w:tc>
          <w:tcPr>
            <w:tcW w:w="712" w:type="pct"/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华文细黑" w:cs="Times New Roman"/>
                <w:color w:val="000000" w:themeColor="text1"/>
                <w:kern w:val="0"/>
                <w:sz w:val="32"/>
                <w:szCs w:val="32"/>
              </w:rPr>
              <w:t>√</w:t>
            </w:r>
          </w:p>
        </w:tc>
        <w:tc>
          <w:tcPr>
            <w:tcW w:w="712" w:type="pct"/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2D2D2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 w:themeColor="text1"/>
                <w:kern w:val="0"/>
                <w:szCs w:val="21"/>
              </w:rPr>
              <w:t>SPDB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SPDB Shanghai Futures Exchange Branch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Unit 02A, 1/F, 577 Pudian Road, Shanghai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50495573</w:t>
            </w:r>
          </w:p>
        </w:tc>
        <w:tc>
          <w:tcPr>
            <w:tcW w:w="712" w:type="pct"/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华文细黑" w:cs="Times New Roman"/>
                <w:color w:val="000000" w:themeColor="text1"/>
                <w:kern w:val="0"/>
                <w:sz w:val="32"/>
                <w:szCs w:val="32"/>
              </w:rPr>
              <w:t>√</w:t>
            </w:r>
          </w:p>
        </w:tc>
        <w:tc>
          <w:tcPr>
            <w:tcW w:w="712" w:type="pct"/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2D2D2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 w:themeColor="text1"/>
                <w:kern w:val="0"/>
                <w:szCs w:val="21"/>
              </w:rPr>
              <w:t>CIB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CIB Shanghai Exchange Sub Branch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China Diamond Exchange Center Bldg,</w:t>
            </w:r>
            <w:r>
              <w:rPr>
                <w:rFonts w:hint="eastAsia"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555 Pudian Roan, Shanghai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50151450</w:t>
            </w:r>
          </w:p>
        </w:tc>
        <w:tc>
          <w:tcPr>
            <w:tcW w:w="712" w:type="pct"/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华文细黑" w:cs="Times New Roman"/>
                <w:color w:val="000000" w:themeColor="text1"/>
                <w:kern w:val="0"/>
                <w:sz w:val="32"/>
                <w:szCs w:val="32"/>
              </w:rPr>
              <w:t>√</w:t>
            </w:r>
          </w:p>
        </w:tc>
        <w:tc>
          <w:tcPr>
            <w:tcW w:w="712" w:type="pct"/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2D2D2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 w:themeColor="text1"/>
                <w:kern w:val="0"/>
                <w:szCs w:val="21"/>
              </w:rPr>
              <w:t>CEB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CEB Shanghai Futures Exchange Branch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1/F, Chamtime International Financial Center, 1589 Century Avenue, Shanghai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63797982</w:t>
            </w:r>
          </w:p>
        </w:tc>
        <w:tc>
          <w:tcPr>
            <w:tcW w:w="712" w:type="pct"/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华文细黑" w:cs="Times New Roman"/>
                <w:color w:val="000000" w:themeColor="text1"/>
                <w:kern w:val="0"/>
                <w:sz w:val="32"/>
                <w:szCs w:val="32"/>
              </w:rPr>
              <w:t>√</w:t>
            </w:r>
          </w:p>
        </w:tc>
        <w:tc>
          <w:tcPr>
            <w:tcW w:w="712" w:type="pct"/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2D2D2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 w:themeColor="text1"/>
                <w:kern w:val="0"/>
                <w:szCs w:val="21"/>
              </w:rPr>
              <w:t>CMBC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CMBC Shanghai Futures Exchange Sub Branch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1/F, PingAn FortuneTower, 577 Pudian Road, Shanghai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50125289</w:t>
            </w:r>
          </w:p>
        </w:tc>
        <w:tc>
          <w:tcPr>
            <w:tcW w:w="712" w:type="pct"/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华文细黑" w:cs="Times New Roman"/>
                <w:color w:val="000000" w:themeColor="text1"/>
                <w:kern w:val="0"/>
                <w:sz w:val="32"/>
                <w:szCs w:val="32"/>
              </w:rPr>
              <w:t>√</w:t>
            </w:r>
          </w:p>
        </w:tc>
        <w:tc>
          <w:tcPr>
            <w:tcW w:w="712" w:type="pct"/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2D2D2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 w:themeColor="text1"/>
                <w:kern w:val="0"/>
                <w:szCs w:val="21"/>
              </w:rPr>
              <w:t>PingAn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PingAn Bank Shanghai Futures Exchange Branch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1/F, SOHO Century Plaza, 288 Xiangcheng Road, Shanghai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  <w:t>58666527</w:t>
            </w:r>
          </w:p>
        </w:tc>
        <w:tc>
          <w:tcPr>
            <w:tcW w:w="712" w:type="pct"/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华文细黑" w:cs="Times New Roman"/>
                <w:color w:val="000000" w:themeColor="text1"/>
                <w:kern w:val="0"/>
                <w:sz w:val="32"/>
                <w:szCs w:val="32"/>
              </w:rPr>
              <w:t>√</w:t>
            </w:r>
          </w:p>
        </w:tc>
        <w:tc>
          <w:tcPr>
            <w:tcW w:w="712" w:type="pct"/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2D2D2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 w:themeColor="text1"/>
                <w:kern w:val="0"/>
                <w:szCs w:val="21"/>
              </w:rPr>
              <w:t>CGB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Arial Unicode MS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bCs/>
                <w:color w:val="000000" w:themeColor="text1"/>
                <w:kern w:val="0"/>
                <w:szCs w:val="21"/>
              </w:rPr>
              <w:t>CGB Shanghai Futures Center Sub-branch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Arial Unicode MS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bCs/>
                <w:color w:val="000000" w:themeColor="text1"/>
                <w:kern w:val="0"/>
                <w:szCs w:val="21"/>
              </w:rPr>
              <w:t>No.1 Lingshan Road,Pudong New District,</w:t>
            </w:r>
            <w:r>
              <w:rPr>
                <w:rFonts w:hint="eastAsia" w:ascii="Times New Roman" w:hAnsi="Times New Roman" w:eastAsia="Arial Unicode MS" w:cs="Times New Roman"/>
                <w:bCs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bCs/>
                <w:color w:val="000000" w:themeColor="text1"/>
                <w:kern w:val="0"/>
                <w:szCs w:val="21"/>
              </w:rPr>
              <w:t>Shanghai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bCs/>
                <w:color w:val="000000" w:themeColor="text1"/>
                <w:kern w:val="0"/>
                <w:szCs w:val="21"/>
              </w:rPr>
              <w:t>50929589-8002</w:t>
            </w:r>
          </w:p>
        </w:tc>
        <w:tc>
          <w:tcPr>
            <w:tcW w:w="712" w:type="pct"/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华文细黑" w:cs="Times New Roman"/>
                <w:color w:val="000000" w:themeColor="text1"/>
                <w:kern w:val="0"/>
                <w:sz w:val="32"/>
                <w:szCs w:val="32"/>
              </w:rPr>
              <w:t>√</w:t>
            </w:r>
          </w:p>
        </w:tc>
        <w:tc>
          <w:tcPr>
            <w:tcW w:w="712" w:type="pct"/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2D2D2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eastAsia="Microsoft YaHei UI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PSBC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Arial Unicode MS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eastAsia="Arial Unicode MS" w:cs="Times New Roman"/>
                <w:bCs/>
                <w:color w:val="000000" w:themeColor="text1"/>
                <w:kern w:val="0"/>
                <w:szCs w:val="21"/>
              </w:rPr>
              <w:t>PSBC Shanghai P</w:t>
            </w:r>
            <w:r>
              <w:rPr>
                <w:rFonts w:ascii="Times New Roman" w:hAnsi="Times New Roman" w:eastAsia="Arial Unicode MS" w:cs="Times New Roman"/>
                <w:bCs/>
                <w:color w:val="000000" w:themeColor="text1"/>
                <w:kern w:val="0"/>
                <w:szCs w:val="21"/>
              </w:rPr>
              <w:t>u</w:t>
            </w:r>
            <w:r>
              <w:rPr>
                <w:rFonts w:hint="eastAsia" w:ascii="Times New Roman" w:hAnsi="Times New Roman" w:eastAsia="Arial Unicode MS" w:cs="Times New Roman"/>
                <w:bCs/>
                <w:color w:val="000000" w:themeColor="text1"/>
                <w:kern w:val="0"/>
                <w:szCs w:val="21"/>
              </w:rPr>
              <w:t>dong Century Avenue Branch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Arial Unicode MS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eastAsia="Arial Unicode MS" w:cs="Times New Roman"/>
                <w:bCs/>
                <w:color w:val="000000" w:themeColor="text1"/>
                <w:kern w:val="0"/>
                <w:szCs w:val="21"/>
              </w:rPr>
              <w:t>Room EF, 1F, No. 1777 Century Avenue, Pudong New Area, Shanghai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bCs/>
                <w:color w:val="000000" w:themeColor="text1"/>
                <w:kern w:val="0"/>
                <w:szCs w:val="21"/>
              </w:rPr>
              <w:t>58302083</w:t>
            </w:r>
          </w:p>
        </w:tc>
        <w:tc>
          <w:tcPr>
            <w:tcW w:w="712" w:type="pct"/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华文细黑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华文细黑" w:cs="Times New Roman"/>
                <w:color w:val="000000" w:themeColor="text1"/>
                <w:kern w:val="0"/>
                <w:sz w:val="32"/>
                <w:szCs w:val="32"/>
              </w:rPr>
              <w:t>√</w:t>
            </w:r>
          </w:p>
        </w:tc>
        <w:tc>
          <w:tcPr>
            <w:tcW w:w="712" w:type="pct"/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2D2D2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eastAsia="Microsoft YaHei UI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DBS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Arial Unicode MS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bCs/>
                <w:color w:val="000000" w:themeColor="text1"/>
                <w:kern w:val="0"/>
                <w:szCs w:val="21"/>
              </w:rPr>
              <w:t>DBS Bank (China) Limited</w:t>
            </w:r>
            <w:r>
              <w:rPr>
                <w:rFonts w:hint="eastAsia" w:ascii="Times New Roman" w:hAnsi="Times New Roman" w:eastAsia="Arial Unicode MS" w:cs="Times New Roman"/>
                <w:bCs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bCs/>
                <w:color w:val="000000" w:themeColor="text1"/>
                <w:kern w:val="0"/>
                <w:szCs w:val="21"/>
              </w:rPr>
              <w:t>Shanghai Branch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Arial Unicode MS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eastAsia="Arial Unicode MS" w:cs="Times New Roman"/>
                <w:bCs/>
                <w:color w:val="000000" w:themeColor="text1"/>
                <w:kern w:val="0"/>
                <w:szCs w:val="21"/>
              </w:rPr>
              <w:t xml:space="preserve">16F, </w:t>
            </w:r>
            <w:r>
              <w:rPr>
                <w:rFonts w:ascii="Times New Roman" w:hAnsi="Times New Roman" w:eastAsia="Arial Unicode MS" w:cs="Times New Roman"/>
                <w:bCs/>
                <w:color w:val="000000" w:themeColor="text1"/>
                <w:kern w:val="0"/>
                <w:szCs w:val="21"/>
              </w:rPr>
              <w:t>No. 1318 Lu Jia Zui Ring Road,</w:t>
            </w:r>
            <w:r>
              <w:rPr>
                <w:rFonts w:hint="eastAsia" w:ascii="Times New Roman" w:hAnsi="Times New Roman" w:eastAsia="Arial Unicode MS" w:cs="Times New Roman"/>
                <w:bCs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bCs/>
                <w:color w:val="000000" w:themeColor="text1"/>
                <w:kern w:val="0"/>
                <w:szCs w:val="21"/>
              </w:rPr>
              <w:t>Pudong New Area, Shanghai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bCs/>
                <w:color w:val="000000" w:themeColor="text1"/>
                <w:kern w:val="0"/>
                <w:szCs w:val="21"/>
              </w:rPr>
              <w:t>38968153</w:t>
            </w:r>
          </w:p>
        </w:tc>
        <w:tc>
          <w:tcPr>
            <w:tcW w:w="712" w:type="pct"/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华文细黑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6"/>
                <w:szCs w:val="26"/>
              </w:rPr>
              <w:t>—</w:t>
            </w:r>
          </w:p>
        </w:tc>
        <w:tc>
          <w:tcPr>
            <w:tcW w:w="712" w:type="pct"/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华文细黑" w:cs="Times New Roman"/>
                <w:color w:val="000000" w:themeColor="text1"/>
                <w:kern w:val="0"/>
                <w:sz w:val="32"/>
                <w:szCs w:val="3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2D2D2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Microsoft YaHei UI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crosoft YaHei UI" w:cs="Times New Roman"/>
                <w:b/>
                <w:bCs/>
                <w:color w:val="000000" w:themeColor="text1"/>
                <w:kern w:val="0"/>
                <w:szCs w:val="21"/>
              </w:rPr>
              <w:t>Citibank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Arial Unicode MS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bCs/>
                <w:color w:val="000000" w:themeColor="text1"/>
                <w:kern w:val="0"/>
                <w:szCs w:val="21"/>
              </w:rPr>
              <w:t xml:space="preserve">Citibank </w:t>
            </w:r>
            <w:r>
              <w:rPr>
                <w:rFonts w:hint="eastAsia" w:ascii="Times New Roman" w:hAnsi="Times New Roman" w:eastAsia="Arial Unicode MS" w:cs="Times New Roman"/>
                <w:bCs/>
                <w:color w:val="000000" w:themeColor="text1"/>
                <w:kern w:val="0"/>
                <w:szCs w:val="21"/>
              </w:rPr>
              <w:t>(</w:t>
            </w:r>
            <w:r>
              <w:rPr>
                <w:rFonts w:ascii="Times New Roman" w:hAnsi="Times New Roman" w:eastAsia="Arial Unicode MS" w:cs="Times New Roman"/>
                <w:bCs/>
                <w:color w:val="000000" w:themeColor="text1"/>
                <w:kern w:val="0"/>
                <w:szCs w:val="21"/>
              </w:rPr>
              <w:t>China</w:t>
            </w:r>
            <w:r>
              <w:rPr>
                <w:rFonts w:hint="eastAsia" w:ascii="Times New Roman" w:hAnsi="Times New Roman" w:eastAsia="Arial Unicode MS" w:cs="Times New Roman"/>
                <w:bCs/>
                <w:color w:val="000000" w:themeColor="text1"/>
                <w:kern w:val="0"/>
                <w:szCs w:val="21"/>
              </w:rPr>
              <w:t xml:space="preserve">) </w:t>
            </w:r>
            <w:r>
              <w:rPr>
                <w:rFonts w:ascii="Times New Roman" w:hAnsi="Times New Roman" w:eastAsia="Arial Unicode MS" w:cs="Times New Roman"/>
                <w:bCs/>
                <w:color w:val="000000" w:themeColor="text1"/>
                <w:kern w:val="0"/>
                <w:szCs w:val="21"/>
              </w:rPr>
              <w:t>Co., Ltd.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Arial Unicode MS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bCs/>
                <w:color w:val="000000" w:themeColor="text1"/>
                <w:kern w:val="0"/>
                <w:szCs w:val="21"/>
              </w:rPr>
              <w:t>31F Citigroup Tower, No 33 Hua Yuan Shi Qiao Road, Lu Jia Zui Finance and Trade Zone, Shanghai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Arial Unicode MS" w:cs="Times New Roman"/>
                <w:bCs/>
                <w:color w:val="000000" w:themeColor="text1"/>
                <w:kern w:val="0"/>
                <w:szCs w:val="21"/>
              </w:rPr>
              <w:t>28963525</w:t>
            </w:r>
          </w:p>
        </w:tc>
        <w:tc>
          <w:tcPr>
            <w:tcW w:w="712" w:type="pct"/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华文细黑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6"/>
                <w:szCs w:val="26"/>
              </w:rPr>
              <w:t>—</w:t>
            </w:r>
          </w:p>
        </w:tc>
        <w:tc>
          <w:tcPr>
            <w:tcW w:w="712" w:type="pct"/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Arial Unicode MS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华文细黑" w:cs="Times New Roman"/>
                <w:color w:val="000000" w:themeColor="text1"/>
                <w:kern w:val="0"/>
                <w:sz w:val="32"/>
                <w:szCs w:val="32"/>
              </w:rPr>
              <w:t>√</w:t>
            </w:r>
          </w:p>
        </w:tc>
      </w:tr>
    </w:tbl>
    <w:p/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大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 UI">
    <w:altName w:val="Droid Sans Fallbac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83"/>
    <w:rsid w:val="00040DF2"/>
    <w:rsid w:val="00071B3F"/>
    <w:rsid w:val="000C23FE"/>
    <w:rsid w:val="0011323F"/>
    <w:rsid w:val="00295653"/>
    <w:rsid w:val="002B3895"/>
    <w:rsid w:val="00352E2C"/>
    <w:rsid w:val="00436993"/>
    <w:rsid w:val="004C19CD"/>
    <w:rsid w:val="004F1796"/>
    <w:rsid w:val="00514C53"/>
    <w:rsid w:val="0059166C"/>
    <w:rsid w:val="005A7C60"/>
    <w:rsid w:val="005F2827"/>
    <w:rsid w:val="005F5458"/>
    <w:rsid w:val="006B67E3"/>
    <w:rsid w:val="006E08DE"/>
    <w:rsid w:val="00723662"/>
    <w:rsid w:val="00834D97"/>
    <w:rsid w:val="0089610A"/>
    <w:rsid w:val="00B62C4F"/>
    <w:rsid w:val="00BD043E"/>
    <w:rsid w:val="00C12868"/>
    <w:rsid w:val="00CA268A"/>
    <w:rsid w:val="00DF7F99"/>
    <w:rsid w:val="00E00183"/>
    <w:rsid w:val="00E40A5B"/>
    <w:rsid w:val="00E575F2"/>
    <w:rsid w:val="00ED19F6"/>
    <w:rsid w:val="00EE665F"/>
    <w:rsid w:val="00EF036C"/>
    <w:rsid w:val="00F437D9"/>
    <w:rsid w:val="00F63A19"/>
    <w:rsid w:val="00F83DEC"/>
    <w:rsid w:val="00FB01B7"/>
    <w:rsid w:val="00FC070D"/>
    <w:rsid w:val="57F9B3F4"/>
    <w:rsid w:val="7DF28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75B5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5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75B5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E75B5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E75B5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E75B5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0"/>
    <w:unhideWhenUsed/>
    <w:qFormat/>
    <w:uiPriority w:val="99"/>
    <w:pPr>
      <w:jc w:val="left"/>
    </w:pPr>
  </w:style>
  <w:style w:type="paragraph" w:styleId="12">
    <w:name w:val="Balloon Text"/>
    <w:basedOn w:val="1"/>
    <w:link w:val="41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9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0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2E75B5" w:themeColor="accent1" w:themeShade="BF"/>
      <w:sz w:val="48"/>
      <w:szCs w:val="48"/>
    </w:rPr>
  </w:style>
  <w:style w:type="character" w:customStyle="1" w:styleId="21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2E75B5" w:themeColor="accent1" w:themeShade="BF"/>
      <w:sz w:val="40"/>
      <w:szCs w:val="40"/>
    </w:rPr>
  </w:style>
  <w:style w:type="character" w:customStyle="1" w:styleId="22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2E75B5" w:themeColor="accent1" w:themeShade="BF"/>
      <w:sz w:val="32"/>
      <w:szCs w:val="32"/>
    </w:rPr>
  </w:style>
  <w:style w:type="character" w:customStyle="1" w:styleId="23">
    <w:name w:val="标题 4 字符"/>
    <w:basedOn w:val="18"/>
    <w:link w:val="5"/>
    <w:semiHidden/>
    <w:qFormat/>
    <w:uiPriority w:val="9"/>
    <w:rPr>
      <w:rFonts w:cstheme="majorBidi"/>
      <w:color w:val="2E75B5" w:themeColor="accent1" w:themeShade="BF"/>
      <w:sz w:val="28"/>
      <w:szCs w:val="28"/>
    </w:rPr>
  </w:style>
  <w:style w:type="character" w:customStyle="1" w:styleId="24">
    <w:name w:val="标题 5 字符"/>
    <w:basedOn w:val="18"/>
    <w:link w:val="6"/>
    <w:semiHidden/>
    <w:qFormat/>
    <w:uiPriority w:val="9"/>
    <w:rPr>
      <w:rFonts w:cstheme="majorBidi"/>
      <w:color w:val="2E75B5" w:themeColor="accent1" w:themeShade="BF"/>
      <w:sz w:val="24"/>
      <w:szCs w:val="24"/>
    </w:rPr>
  </w:style>
  <w:style w:type="character" w:customStyle="1" w:styleId="25">
    <w:name w:val="标题 6 字符"/>
    <w:basedOn w:val="18"/>
    <w:link w:val="7"/>
    <w:semiHidden/>
    <w:qFormat/>
    <w:uiPriority w:val="9"/>
    <w:rPr>
      <w:rFonts w:cstheme="majorBidi"/>
      <w:b/>
      <w:bCs/>
      <w:color w:val="2E75B5" w:themeColor="accent1" w:themeShade="BF"/>
    </w:rPr>
  </w:style>
  <w:style w:type="character" w:customStyle="1" w:styleId="26">
    <w:name w:val="标题 7 字符"/>
    <w:basedOn w:val="18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7">
    <w:name w:val="标题 8 字符"/>
    <w:basedOn w:val="18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8">
    <w:name w:val="标题 9 字符"/>
    <w:basedOn w:val="18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9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5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3F3F3F" w:themeColor="text1" w:themeTint="BF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8"/>
    <w:qFormat/>
    <w:uiPriority w:val="21"/>
    <w:rPr>
      <w:i/>
      <w:iCs/>
      <w:color w:val="2E75B5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5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2E75B5" w:themeColor="accent1" w:themeShade="BF"/>
    </w:rPr>
  </w:style>
  <w:style w:type="character" w:customStyle="1" w:styleId="37">
    <w:name w:val="Intense Reference"/>
    <w:basedOn w:val="18"/>
    <w:qFormat/>
    <w:uiPriority w:val="32"/>
    <w:rPr>
      <w:b/>
      <w:bCs/>
      <w:smallCaps/>
      <w:color w:val="2E75B5" w:themeColor="accent1" w:themeShade="BF"/>
      <w:spacing w:val="5"/>
    </w:rPr>
  </w:style>
  <w:style w:type="character" w:customStyle="1" w:styleId="38">
    <w:name w:val="页眉 字符"/>
    <w:basedOn w:val="18"/>
    <w:link w:val="14"/>
    <w:qFormat/>
    <w:uiPriority w:val="99"/>
    <w:rPr>
      <w:sz w:val="18"/>
      <w:szCs w:val="18"/>
    </w:rPr>
  </w:style>
  <w:style w:type="character" w:customStyle="1" w:styleId="39">
    <w:name w:val="页脚 字符"/>
    <w:basedOn w:val="18"/>
    <w:link w:val="13"/>
    <w:qFormat/>
    <w:uiPriority w:val="99"/>
    <w:rPr>
      <w:sz w:val="18"/>
      <w:szCs w:val="18"/>
    </w:rPr>
  </w:style>
  <w:style w:type="character" w:customStyle="1" w:styleId="40">
    <w:name w:val="批注文字 字符"/>
    <w:basedOn w:val="18"/>
    <w:link w:val="11"/>
    <w:qFormat/>
    <w:uiPriority w:val="99"/>
  </w:style>
  <w:style w:type="character" w:customStyle="1" w:styleId="41">
    <w:name w:val="批注框文本 字符"/>
    <w:basedOn w:val="18"/>
    <w:link w:val="1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907</Words>
  <Characters>5173</Characters>
  <Lines>43</Lines>
  <Paragraphs>12</Paragraphs>
  <TotalTime>15</TotalTime>
  <ScaleCrop>false</ScaleCrop>
  <LinksUpToDate>false</LinksUpToDate>
  <CharactersWithSpaces>6068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2024-11-16T20:55:00Z</dcterms:created>
  <dc:creator>Jing Xia</dc:creator>
  <cp:lastModifiedBy>zhu.fengxia</cp:lastModifiedBy>
  <dcterms:modified xsi:type="dcterms:W3CDTF">2025-09-01T14:55:30Z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0E615EA9B89883DD6243B568AC146481</vt:lpwstr>
  </property>
</Properties>
</file>