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大标宋简体" w:cs="Times New Roman"/>
          <w:b/>
          <w:bCs/>
          <w:sz w:val="36"/>
          <w:szCs w:val="36"/>
          <w:lang w:val="en-US" w:eastAsia="zh-CN"/>
        </w:rPr>
      </w:pPr>
      <w:r>
        <w:rPr>
          <w:rFonts w:hint="default" w:ascii="Times New Roman" w:hAnsi="Times New Roman" w:eastAsia="方正大标宋简体" w:cs="Times New Roman"/>
          <w:b/>
          <w:bCs/>
          <w:sz w:val="36"/>
          <w:szCs w:val="36"/>
          <w:lang w:val="en-US" w:eastAsia="zh-CN"/>
        </w:rPr>
        <w:t>Appendix 1</w:t>
      </w:r>
    </w:p>
    <w:p>
      <w:pPr>
        <w:jc w:val="left"/>
        <w:rPr>
          <w:rFonts w:hint="default" w:ascii="Times New Roman" w:hAnsi="Times New Roman" w:eastAsia="方正大标宋简体" w:cs="Times New Roman"/>
          <w:b/>
          <w:bCs/>
          <w:sz w:val="36"/>
          <w:szCs w:val="36"/>
          <w:lang w:val="en-US" w:eastAsia="zh-CN"/>
        </w:rPr>
      </w:pPr>
      <w:bookmarkStart w:id="0" w:name="_GoBack"/>
      <w:bookmarkEnd w:id="0"/>
    </w:p>
    <w:p>
      <w:pPr>
        <w:jc w:val="center"/>
        <w:rPr>
          <w:rFonts w:hint="default" w:ascii="Times New Roman" w:hAnsi="Times New Roman" w:eastAsia="方正大标宋简体" w:cs="Times New Roman"/>
          <w:b/>
          <w:bCs/>
          <w:sz w:val="36"/>
          <w:szCs w:val="36"/>
        </w:rPr>
      </w:pPr>
      <w:r>
        <w:rPr>
          <w:rFonts w:hint="default" w:ascii="Times New Roman" w:hAnsi="Times New Roman" w:eastAsia="方正大标宋简体" w:cs="Times New Roman"/>
          <w:b/>
          <w:bCs/>
          <w:sz w:val="36"/>
          <w:szCs w:val="36"/>
          <w:lang w:val="en-US" w:eastAsia="zh-CN"/>
        </w:rPr>
        <w:t xml:space="preserve">Comparative table of </w:t>
      </w:r>
      <w:r>
        <w:rPr>
          <w:rFonts w:hint="default" w:ascii="Times New Roman" w:hAnsi="Times New Roman" w:eastAsia="方正大标宋简体" w:cs="Times New Roman"/>
          <w:b/>
          <w:bCs/>
          <w:sz w:val="36"/>
          <w:szCs w:val="36"/>
        </w:rPr>
        <w:t>Lead Futures Contract Specifications</w:t>
      </w:r>
      <w:r>
        <w:rPr>
          <w:rFonts w:hint="eastAsia" w:ascii="Times New Roman" w:hAnsi="Times New Roman" w:eastAsia="方正大标宋简体" w:cs="Times New Roman"/>
          <w:b/>
          <w:bCs/>
          <w:sz w:val="36"/>
          <w:szCs w:val="36"/>
          <w:lang w:val="en-US" w:eastAsia="zh-CN"/>
        </w:rPr>
        <w:t xml:space="preserve"> </w:t>
      </w:r>
      <w:r>
        <w:rPr>
          <w:rFonts w:hint="default" w:ascii="Times New Roman" w:hAnsi="Times New Roman" w:eastAsia="方正大标宋简体" w:cs="Times New Roman"/>
          <w:b/>
          <w:bCs/>
          <w:sz w:val="36"/>
          <w:szCs w:val="36"/>
        </w:rPr>
        <w:t>of Shanghai Futures Exchange</w:t>
      </w:r>
    </w:p>
    <w:p>
      <w:pPr>
        <w:jc w:val="center"/>
        <w:rPr>
          <w:rFonts w:hint="default" w:ascii="Times New Roman" w:hAnsi="Times New Roman" w:eastAsia="方正大标宋简体" w:cs="Times New Roman"/>
          <w:b/>
          <w:bCs/>
          <w:sz w:val="36"/>
          <w:szCs w:val="36"/>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方正大标宋简体" w:cs="Times New Roman"/>
          <w:b/>
          <w:bCs/>
          <w:sz w:val="36"/>
          <w:szCs w:val="36"/>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5B9BD5" w:themeFill="accent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pPr>
            <w:r>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t>Revised Version</w:t>
            </w:r>
          </w:p>
        </w:tc>
        <w:tc>
          <w:tcPr>
            <w:tcW w:w="2500" w:type="pct"/>
            <w:shd w:val="clear" w:color="auto" w:fill="5B9BD5" w:themeFill="accent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pPr>
            <w:r>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t>Current Version</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pPr>
            <w:r>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t>(effective on April 12,</w:t>
            </w:r>
            <w:r>
              <w:rPr>
                <w:rFonts w:hint="eastAsia" w:ascii="Times New Roman" w:hAnsi="Times New Roman" w:cs="Times New Roman" w:eastAsiaTheme="majorEastAsia"/>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cs="Times New Roman" w:eastAsiaTheme="majorEastAsia"/>
                <w:b/>
                <w:bCs/>
                <w:color w:val="FFFFFF" w:themeColor="background1"/>
                <w:sz w:val="32"/>
                <w:szCs w:val="32"/>
                <w:lang w:val="en-US" w:eastAsia="zh-CN"/>
                <w14:textFill>
                  <w14:solidFill>
                    <w14:schemeClr w14:val="bg1"/>
                  </w14:solidFill>
                </w14:textFill>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shd w:val="pct10" w:color="auto" w:fill="FFFFFF"/>
              </w:rPr>
            </w:pPr>
            <w:r>
              <w:rPr>
                <w:rFonts w:hint="default" w:ascii="Times New Roman" w:hAnsi="Times New Roman" w:cs="Times New Roman" w:eastAsiaTheme="majorEastAsia"/>
                <w:b/>
                <w:bCs/>
                <w:shd w:val="clear" w:color="auto" w:fill="auto"/>
              </w:rPr>
              <w:t>Grade and Quality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rPr>
              <w:t>Standard</w:t>
            </w:r>
            <w:r>
              <w:rPr>
                <w:rFonts w:hint="default" w:ascii="Times New Roman" w:hAnsi="Times New Roman" w:cs="Times New Roman" w:eastAsiaTheme="majorEastAsia"/>
                <w:strike w:val="0"/>
                <w:dstrike/>
                <w:sz w:val="30"/>
                <w:shd w:val="clear" w:color="auto" w:fill="auto"/>
              </w:rPr>
              <w:t xml:space="preserve"> products</w:t>
            </w:r>
            <w:r>
              <w:rPr>
                <w:rFonts w:hint="default" w:ascii="Times New Roman" w:hAnsi="Times New Roman" w:cs="Times New Roman" w:eastAsiaTheme="majorEastAsia"/>
              </w:rPr>
              <w:t>: Pb99.994 lead ingots as prescribed in National Standard GB/T 469-2023, or Pb99.996 lead ingots as prescribed in National Standard GB/T 469-2023.</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b/>
                <w:bCs/>
                <w:color w:val="FF0000"/>
                <w:shd w:val="pct10" w:color="auto" w:fill="FFFFFF"/>
              </w:rPr>
              <w:t>Substitute:</w:t>
            </w:r>
            <w:r>
              <w:rPr>
                <w:rFonts w:hint="eastAsia" w:ascii="Times New Roman" w:hAnsi="Times New Roman" w:cs="Times New Roman" w:eastAsiaTheme="majorEastAsia"/>
                <w:b/>
                <w:bCs/>
                <w:color w:val="FF0000"/>
                <w:shd w:val="pct10" w:color="auto" w:fill="FFFFFF"/>
                <w:lang w:val="en-US" w:eastAsia="zh-CN"/>
              </w:rPr>
              <w:t xml:space="preserve"> </w:t>
            </w:r>
            <w:r>
              <w:rPr>
                <w:rFonts w:hint="default" w:ascii="Times New Roman" w:hAnsi="Times New Roman" w:cs="Times New Roman" w:eastAsiaTheme="majorEastAsia"/>
                <w:b/>
                <w:bCs/>
                <w:color w:val="FF0000"/>
                <w:shd w:val="pct10" w:color="auto" w:fill="FFFFFF"/>
              </w:rPr>
              <w:t xml:space="preserve">ZSPb99.986 secondary lead ingots as prescribed in National Standard GB/T 21181-2025, or ZSPb99.990 secondary lead ingots as prescribed in National Standard </w:t>
            </w:r>
            <w:r>
              <w:rPr>
                <w:rFonts w:hint="default" w:ascii="Times New Roman" w:hAnsi="Times New Roman" w:cs="Times New Roman" w:eastAsiaTheme="majorEastAsia"/>
                <w:b/>
                <w:bCs/>
                <w:color w:val="FF0000"/>
                <w:kern w:val="0"/>
                <w:shd w:val="pct10" w:color="auto" w:fill="FFFFFF"/>
              </w:rPr>
              <w:t>GB/T 21181-2025.</w:t>
            </w:r>
          </w:p>
        </w:tc>
        <w:tc>
          <w:tcPr>
            <w:tcW w:w="2500" w:type="pct"/>
          </w:tcPr>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rPr>
              <w:t>Standard products: Pb99.994 lead ingots as prescribed in National Standard GB/T 469-2023, or Pb99.996 lead ingots as prescribed in National Standard GB/T 469-2023.</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cs="Times New Roman" w:eastAsiaTheme="majorEastAsia"/>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shd w:val="pct10" w:color="auto" w:fill="FFFFFF"/>
              </w:rPr>
            </w:pPr>
            <w:r>
              <w:rPr>
                <w:rFonts w:hint="default" w:ascii="Times New Roman" w:hAnsi="Times New Roman" w:cs="Times New Roman" w:eastAsiaTheme="majorEastAsia"/>
                <w:b/>
                <w:bCs/>
              </w:rPr>
              <w:t>Appendix to Lead Futures Contract Specifications</w:t>
            </w:r>
            <w:r>
              <w:rPr>
                <w:rFonts w:hint="eastAsia" w:ascii="Times New Roman" w:hAnsi="Times New Roman" w:cs="Times New Roman" w:eastAsiaTheme="majorEastAsia"/>
                <w:b/>
                <w:bCs/>
                <w:lang w:val="en-US" w:eastAsia="zh-CN"/>
              </w:rPr>
              <w:t xml:space="preserve"> </w:t>
            </w:r>
            <w:r>
              <w:rPr>
                <w:rFonts w:hint="default" w:ascii="Times New Roman" w:hAnsi="Times New Roman" w:cs="Times New Roman" w:eastAsiaTheme="majorEastAsia"/>
                <w:b/>
                <w:bCs/>
              </w:rPr>
              <w:t>of Shanghai Futures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rPr>
              <w:t>II. Quality specifications</w:t>
            </w:r>
          </w:p>
          <w:p>
            <w:pPr>
              <w:keepNext w:val="0"/>
              <w:keepLines w:val="0"/>
              <w:pageBreakBefore w:val="0"/>
              <w:widowControl/>
              <w:kinsoku/>
              <w:wordWrap/>
              <w:overflowPunct/>
              <w:topLinePunct w:val="0"/>
              <w:autoSpaceDE/>
              <w:autoSpaceDN/>
              <w:bidi w:val="0"/>
              <w:adjustRightInd/>
              <w:snapToGrid/>
              <w:spacing w:line="560" w:lineRule="exact"/>
              <w:ind w:left="0" w:firstLine="600" w:firstLineChars="200"/>
              <w:jc w:val="left"/>
              <w:textAlignment w:val="auto"/>
              <w:rPr>
                <w:rFonts w:hint="eastAsia" w:ascii="Times New Roman" w:hAnsi="Times New Roman" w:cs="Times New Roman" w:eastAsiaTheme="majorEastAsia"/>
                <w:b/>
                <w:bCs/>
                <w:color w:val="FF0000"/>
                <w:shd w:val="pct10" w:color="auto" w:fill="FFFFFF"/>
                <w:lang w:val="en-US" w:eastAsia="zh-CN"/>
              </w:rPr>
            </w:pPr>
            <w:r>
              <w:rPr>
                <w:rFonts w:hint="default" w:ascii="Times New Roman" w:hAnsi="Times New Roman" w:cs="Times New Roman" w:eastAsiaTheme="majorEastAsia"/>
              </w:rPr>
              <w:t xml:space="preserve"> (1)</w:t>
            </w:r>
            <w:r>
              <w:rPr>
                <w:rFonts w:hint="eastAsia" w:ascii="Times New Roman" w:hAnsi="Times New Roman" w:cs="Times New Roman" w:eastAsiaTheme="majorEastAsia"/>
                <w:b/>
                <w:bCs/>
                <w:color w:val="FF0000"/>
                <w:lang w:val="en-US" w:eastAsia="zh-CN"/>
              </w:rPr>
              <w:t>Standard:</w:t>
            </w:r>
            <w:r>
              <w:rPr>
                <w:rFonts w:hint="eastAsia" w:ascii="Times New Roman" w:hAnsi="Times New Roman" w:cs="Times New Roman" w:eastAsiaTheme="majorEastAsia"/>
                <w:lang w:val="en-US" w:eastAsia="zh-CN"/>
              </w:rPr>
              <w:t>l</w:t>
            </w:r>
            <w:r>
              <w:rPr>
                <w:rFonts w:hint="default" w:ascii="Times New Roman" w:hAnsi="Times New Roman" w:cs="Times New Roman" w:eastAsiaTheme="majorEastAsia"/>
              </w:rPr>
              <w:t>ead ingots used for physical delivery</w:t>
            </w:r>
            <w:r>
              <w:rPr>
                <w:rFonts w:hint="eastAsia" w:ascii="Times New Roman" w:hAnsi="Times New Roman" w:cs="Times New Roman" w:eastAsiaTheme="majorEastAsia"/>
                <w:lang w:val="en-US" w:eastAsia="zh-CN"/>
              </w:rPr>
              <w:t xml:space="preserve"> </w:t>
            </w:r>
            <w:r>
              <w:rPr>
                <w:rFonts w:hint="default" w:ascii="Times New Roman" w:hAnsi="Times New Roman" w:cs="Times New Roman" w:eastAsiaTheme="majorEastAsia"/>
              </w:rPr>
              <w:t>shall conform to the specifications of National Standard GB/T 469-2023 for Pb99.994, or Pb99.996 lead ingots as prescribed in National Standard GB/T 469-2023</w:t>
            </w:r>
            <w:r>
              <w:rPr>
                <w:rFonts w:hint="eastAsia" w:ascii="Times New Roman" w:hAnsi="Times New Roman" w:cs="Times New Roman" w:eastAsiaTheme="majorEastAsia"/>
                <w:b/>
                <w:bCs/>
                <w:color w:val="FF0000"/>
                <w:shd w:val="pct10" w:color="auto"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firstLine="602" w:firstLineChars="200"/>
              <w:jc w:val="left"/>
              <w:textAlignment w:val="auto"/>
              <w:rPr>
                <w:rFonts w:hint="eastAsia" w:ascii="Times New Roman" w:hAnsi="Times New Roman" w:cs="Times New Roman" w:eastAsiaTheme="majorEastAsia"/>
                <w:b/>
                <w:bCs/>
                <w:color w:val="FF0000"/>
                <w:shd w:val="pct10" w:color="auto" w:fill="FFFFFF"/>
                <w:lang w:val="en-US" w:eastAsia="zh-CN"/>
              </w:rPr>
            </w:pPr>
            <w:r>
              <w:rPr>
                <w:rFonts w:hint="eastAsia" w:ascii="Times New Roman" w:hAnsi="Times New Roman" w:cs="Times New Roman" w:eastAsiaTheme="majorEastAsia"/>
                <w:b/>
                <w:bCs/>
                <w:color w:val="FF0000"/>
                <w:shd w:val="pct10" w:color="auto" w:fill="FFFFFF"/>
                <w:lang w:val="en-US" w:eastAsia="zh-CN"/>
              </w:rPr>
              <w:t>S</w:t>
            </w:r>
            <w:r>
              <w:rPr>
                <w:rFonts w:hint="default" w:ascii="Times New Roman" w:hAnsi="Times New Roman" w:cs="Times New Roman" w:eastAsiaTheme="majorEastAsia"/>
                <w:b/>
                <w:bCs/>
                <w:color w:val="FF0000"/>
                <w:shd w:val="pct10" w:color="auto" w:fill="FFFFFF"/>
              </w:rPr>
              <w:t>ubstitute</w:t>
            </w:r>
            <w:r>
              <w:rPr>
                <w:rFonts w:hint="eastAsia" w:ascii="Times New Roman" w:hAnsi="Times New Roman" w:cs="Times New Roman" w:eastAsiaTheme="majorEastAsia"/>
                <w:b/>
                <w:bCs/>
                <w:color w:val="FF0000"/>
                <w:shd w:val="pct10" w:color="auto" w:fill="FFFFFF"/>
                <w:lang w:val="en-US" w:eastAsia="zh-CN"/>
              </w:rPr>
              <w:t>: secondary lead ingots used for physical delivery shall conform to the specifications of National Standard GB/T 21181-2025 for ZSPb99.986, or ZSPb99.990 secondary ingots as prescribed in National Standard GB/T 21181-2025.</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Times New Roman" w:hAnsi="Times New Roman" w:cs="Times New Roman" w:eastAsiaTheme="majorEastAsia"/>
                <w:lang w:val="en-US" w:eastAsia="zh-CN"/>
              </w:rPr>
            </w:pPr>
            <w:r>
              <w:rPr>
                <w:rFonts w:hint="default" w:ascii="Times New Roman" w:hAnsi="Times New Roman" w:cs="Times New Roman" w:eastAsiaTheme="majorEastAsia"/>
              </w:rPr>
              <w:t>Shape and piece weight: Deliverable lead shall be in the form of ingots</w:t>
            </w:r>
            <w:r>
              <w:rPr>
                <w:rFonts w:hint="eastAsia" w:ascii="Times New Roman" w:hAnsi="Times New Roman" w:cs="Times New Roman" w:eastAsiaTheme="majorEastAsia"/>
                <w:lang w:val="en-US" w:eastAsia="zh-CN"/>
              </w:rPr>
              <w:t>.</w:t>
            </w:r>
            <w:r>
              <w:rPr>
                <w:rFonts w:hint="eastAsia" w:ascii="Times New Roman" w:hAnsi="Times New Roman" w:cs="Times New Roman" w:eastAsiaTheme="majorEastAsia"/>
                <w:b/>
                <w:bCs/>
                <w:color w:val="FF0000"/>
                <w:shd w:val="clear" w:color="FFFFFF" w:fill="D9D9D9"/>
                <w:lang w:val="en-US" w:eastAsia="zh-CN"/>
              </w:rPr>
              <w:t xml:space="preserve">Standard: </w:t>
            </w:r>
            <w:r>
              <w:rPr>
                <w:rFonts w:hint="default" w:ascii="Times New Roman" w:hAnsi="Times New Roman" w:cs="Times New Roman" w:eastAsiaTheme="majorEastAsia"/>
              </w:rPr>
              <w:t xml:space="preserve">each lead </w:t>
            </w:r>
            <w:r>
              <w:rPr>
                <w:rFonts w:hint="default" w:ascii="Times New Roman" w:hAnsi="Times New Roman" w:cs="Times New Roman" w:eastAsiaTheme="majorEastAsia"/>
                <w:strike w:val="0"/>
                <w:dstrike w:val="0"/>
                <w:sz w:val="30"/>
              </w:rPr>
              <w:t xml:space="preserve">ingot </w:t>
            </w:r>
            <w:r>
              <w:rPr>
                <w:rFonts w:hint="default" w:ascii="Times New Roman" w:hAnsi="Times New Roman" w:cs="Times New Roman" w:eastAsiaTheme="majorEastAsia"/>
                <w:strike w:val="0"/>
                <w:dstrike/>
                <w:sz w:val="30"/>
              </w:rPr>
              <w:t>of domestic lead</w:t>
            </w:r>
            <w:r>
              <w:rPr>
                <w:rFonts w:hint="default" w:ascii="Times New Roman" w:hAnsi="Times New Roman" w:cs="Times New Roman" w:eastAsiaTheme="majorEastAsia"/>
              </w:rPr>
              <w:t xml:space="preserve"> shall weigh 48 kg ± 3 kg, 42 kg ± 2 kg, or 24 kg ± 1 kg</w:t>
            </w:r>
            <w:r>
              <w:rPr>
                <w:rFonts w:hint="eastAsia" w:ascii="Times New Roman" w:hAnsi="Times New Roman" w:cs="Times New Roman" w:eastAsiaTheme="majorEastAsia"/>
                <w:color w:val="FF0000"/>
                <w:shd w:val="clear" w:color="FFFFFF" w:fill="D9D9D9"/>
                <w:lang w:val="en-US" w:eastAsia="zh-CN"/>
              </w:rPr>
              <w:t xml:space="preserve">; </w:t>
            </w:r>
            <w:r>
              <w:rPr>
                <w:rFonts w:hint="default" w:ascii="Times New Roman" w:hAnsi="Times New Roman" w:cs="Times New Roman" w:eastAsiaTheme="majorEastAsia"/>
                <w:b/>
                <w:bCs/>
                <w:color w:val="FF0000"/>
                <w:shd w:val="pct10" w:color="auto" w:fill="FFFFFF"/>
              </w:rPr>
              <w:t>Substitute: each secondary lead ingot shall weigh 48kg±2kg, 45kg±2kg, 40kg±2kg, 30kg±2kg, or 24kg±1kg</w:t>
            </w:r>
            <w:r>
              <w:rPr>
                <w:rFonts w:hint="default" w:ascii="Times New Roman" w:hAnsi="Times New Roman" w:cs="Times New Roman" w:eastAsiaTheme="majorEastAsia"/>
                <w:b/>
                <w:bCs/>
                <w:color w:val="FF0000"/>
                <w:shd w:val="pct10" w:color="auto" w:fill="FFFFFF"/>
                <w:lang w:val="en-US" w:eastAsia="zh-CN"/>
              </w:rPr>
              <w:t>.</w:t>
            </w:r>
          </w:p>
        </w:tc>
        <w:tc>
          <w:tcPr>
            <w:tcW w:w="2500" w:type="pct"/>
          </w:tcPr>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rPr>
              <w:t>II. Quality specifications</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rPr>
              <w:t xml:space="preserve"> (1) Lead ingots used for physical delivery shall conform to the specifications of National Standard GB/T 469-2023 for Pb99.994, or Pb99.996 lead ingots as prescribed in National Standard GB/T 469-2023.</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cs="Times New Roman" w:eastAsiaTheme="majorEastAsia"/>
              </w:rPr>
            </w:pPr>
            <w:r>
              <w:rPr>
                <w:rFonts w:hint="default" w:ascii="Times New Roman" w:hAnsi="Times New Roman" w:cs="Times New Roman" w:eastAsiaTheme="majorEastAsia"/>
              </w:rPr>
              <w:t xml:space="preserve"> (2) Shape and piece weight: Deliverable lead shall be in the form of ingots. Each ingot of domestic lead shall weigh 48 kg ± 3 kg, 42 kg ± 2 kg, or 24 kg ± 1 kg.</w:t>
            </w:r>
          </w:p>
        </w:tc>
      </w:tr>
    </w:tbl>
    <w:p>
      <w:pPr>
        <w:rPr>
          <w:rFonts w:asciiTheme="majorEastAsia" w:hAnsiTheme="majorEastAsia" w:eastAsiaTheme="majorEastAsia"/>
        </w:rPr>
        <w:sectPr>
          <w:footerReference r:id="rId5" w:type="default"/>
          <w:pgSz w:w="16838" w:h="11906" w:orient="landscape"/>
          <w:pgMar w:top="1800" w:right="1440" w:bottom="1800" w:left="1440" w:header="851" w:footer="992" w:gutter="0"/>
          <w:cols w:space="425" w:num="1"/>
          <w:docGrid w:type="lines" w:linePitch="408" w:charSpace="0"/>
        </w:sectPr>
      </w:pPr>
    </w:p>
    <w:p>
      <w:pPr>
        <w:rPr>
          <w:rFonts w:asciiTheme="majorEastAsia" w:hAnsiTheme="majorEastAsia" w:eastAsiaTheme="majorEastAsia"/>
        </w:rPr>
      </w:pPr>
    </w:p>
    <w:p>
      <w:pPr>
        <w:jc w:val="center"/>
        <w:rPr>
          <w:rFonts w:hint="default" w:ascii="Times New Roman" w:hAnsi="Times New Roman" w:eastAsia="方正大标宋简体" w:cs="Times New Roman"/>
          <w:b/>
          <w:bCs/>
          <w:sz w:val="36"/>
          <w:szCs w:val="36"/>
        </w:rPr>
      </w:pPr>
      <w:r>
        <w:rPr>
          <w:rFonts w:hint="default" w:ascii="Times New Roman" w:hAnsi="Times New Roman" w:eastAsia="方正大标宋简体" w:cs="Times New Roman"/>
          <w:b/>
          <w:bCs/>
          <w:sz w:val="36"/>
          <w:szCs w:val="36"/>
          <w:lang w:val="en-US" w:eastAsia="zh-CN"/>
        </w:rPr>
        <w:t xml:space="preserve">Comparative table of </w:t>
      </w:r>
      <w:r>
        <w:rPr>
          <w:rFonts w:hint="default" w:ascii="Times New Roman" w:hAnsi="Times New Roman" w:eastAsia="方正大标宋简体" w:cs="Times New Roman"/>
          <w:b/>
          <w:bCs/>
          <w:sz w:val="36"/>
          <w:szCs w:val="36"/>
        </w:rPr>
        <w:t>Lead Futures</w:t>
      </w:r>
      <w:r>
        <w:rPr>
          <w:rFonts w:hint="default" w:ascii="Times New Roman" w:hAnsi="Times New Roman" w:eastAsia="方正大标宋简体" w:cs="Times New Roman"/>
          <w:b/>
          <w:bCs/>
          <w:sz w:val="36"/>
          <w:szCs w:val="36"/>
          <w:lang w:val="en-US" w:eastAsia="zh-CN"/>
        </w:rPr>
        <w:t xml:space="preserve"> Rules</w:t>
      </w:r>
      <w:r>
        <w:rPr>
          <w:rFonts w:hint="default" w:ascii="Times New Roman" w:hAnsi="Times New Roman" w:eastAsia="方正大标宋简体" w:cs="Times New Roman"/>
          <w:b/>
          <w:bCs/>
          <w:sz w:val="36"/>
          <w:szCs w:val="36"/>
        </w:rPr>
        <w:t xml:space="preserve"> of </w:t>
      </w:r>
      <w:r>
        <w:rPr>
          <w:rFonts w:hint="default" w:ascii="Times New Roman" w:hAnsi="Times New Roman" w:eastAsia="方正大标宋简体" w:cs="Times New Roman"/>
          <w:b/>
          <w:bCs/>
          <w:sz w:val="36"/>
          <w:szCs w:val="36"/>
          <w:lang w:val="en-US" w:eastAsia="zh-CN"/>
        </w:rPr>
        <w:t xml:space="preserve">the </w:t>
      </w:r>
      <w:r>
        <w:rPr>
          <w:rFonts w:hint="default" w:ascii="Times New Roman" w:hAnsi="Times New Roman" w:eastAsia="方正大标宋简体" w:cs="Times New Roman"/>
          <w:b/>
          <w:bCs/>
          <w:sz w:val="36"/>
          <w:szCs w:val="36"/>
        </w:rPr>
        <w:t>Shanghai Futures Exchange</w:t>
      </w:r>
    </w:p>
    <w:p>
      <w:pPr>
        <w:jc w:val="center"/>
        <w:rPr>
          <w:rFonts w:ascii="方正大标宋简体" w:eastAsia="方正大标宋简体" w:hAnsiTheme="majorEastAsia"/>
          <w:sz w:val="42"/>
          <w:szCs w:val="4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5B9BD5" w:themeFill="accent1"/>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FFFFFF" w:themeColor="background1"/>
                <w:lang w:val="en-US" w:eastAsia="zh-CN"/>
                <w14:textFill>
                  <w14:solidFill>
                    <w14:schemeClr w14:val="bg1"/>
                  </w14:solidFill>
                </w14:textFill>
              </w:rPr>
            </w:pPr>
            <w:r>
              <w:rPr>
                <w:rFonts w:hint="default" w:ascii="Times New Roman" w:hAnsi="Times New Roman" w:cs="Times New Roman" w:eastAsiaTheme="majorEastAsia"/>
                <w:b/>
                <w:bCs/>
                <w:color w:val="FFFFFF" w:themeColor="background1"/>
                <w:lang w:val="en-US" w:eastAsia="zh-CN"/>
                <w14:textFill>
                  <w14:solidFill>
                    <w14:schemeClr w14:val="bg1"/>
                  </w14:solidFill>
                </w14:textFill>
              </w:rPr>
              <w:t>Revised Version</w:t>
            </w:r>
          </w:p>
        </w:tc>
        <w:tc>
          <w:tcPr>
            <w:tcW w:w="2500" w:type="pct"/>
            <w:shd w:val="clear" w:color="auto" w:fill="5B9BD5" w:themeFill="accent1"/>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FFFFFF" w:themeColor="background1"/>
                <w:lang w:val="en-US" w:eastAsia="zh-CN"/>
                <w14:textFill>
                  <w14:solidFill>
                    <w14:schemeClr w14:val="bg1"/>
                  </w14:solidFill>
                </w14:textFill>
              </w:rPr>
            </w:pPr>
            <w:r>
              <w:rPr>
                <w:rFonts w:hint="default" w:ascii="Times New Roman" w:hAnsi="Times New Roman" w:cs="Times New Roman" w:eastAsiaTheme="majorEastAsia"/>
                <w:b/>
                <w:bCs/>
                <w:color w:val="FFFFFF" w:themeColor="background1"/>
                <w:lang w:val="en-US" w:eastAsia="zh-CN"/>
                <w14:textFill>
                  <w14:solidFill>
                    <w14:schemeClr w14:val="bg1"/>
                  </w14:solidFill>
                </w14:textFill>
              </w:rPr>
              <w:t>Current Version</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FFFFFF" w:themeColor="background1"/>
                <w14:textFill>
                  <w14:solidFill>
                    <w14:schemeClr w14:val="bg1"/>
                  </w14:solidFill>
                </w14:textFill>
              </w:rPr>
            </w:pPr>
            <w:r>
              <w:rPr>
                <w:rFonts w:hint="default" w:ascii="Times New Roman" w:hAnsi="Times New Roman" w:cs="Times New Roman" w:eastAsiaTheme="majorEastAsia"/>
                <w:b/>
                <w:bCs/>
                <w:color w:val="FFFFFF" w:themeColor="background1"/>
                <w:lang w:val="en-US" w:eastAsia="zh-CN"/>
                <w14:textFill>
                  <w14:solidFill>
                    <w14:schemeClr w14:val="bg1"/>
                  </w14:solidFill>
                </w14:textFill>
              </w:rPr>
              <w:t>(effective on January 1,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bCs w:val="0"/>
                <w:sz w:val="30"/>
                <w:szCs w:val="30"/>
              </w:rPr>
              <w:t>Article 16</w:t>
            </w:r>
            <w:r>
              <w:rPr>
                <w:rFonts w:hint="default" w:ascii="Times New Roman" w:hAnsi="Times New Roman" w:eastAsia="方正仿宋简体" w:cs="Times New Roman"/>
                <w:b w:val="0"/>
                <w:bCs/>
                <w:sz w:val="30"/>
                <w:szCs w:val="30"/>
              </w:rPr>
              <w:t xml:space="preserve"> </w:t>
            </w:r>
            <w:r>
              <w:rPr>
                <w:rFonts w:hint="eastAsia" w:ascii="Times New Roman" w:hAnsi="Times New Roman" w:eastAsia="方正仿宋简体" w:cs="Times New Roman"/>
                <w:b w:val="0"/>
                <w:bCs/>
                <w:sz w:val="30"/>
                <w:szCs w:val="30"/>
                <w:lang w:val="en-US" w:eastAsia="zh-CN"/>
              </w:rPr>
              <w:t xml:space="preserve"> </w:t>
            </w:r>
            <w:r>
              <w:rPr>
                <w:rFonts w:hint="default" w:ascii="Times New Roman" w:hAnsi="Times New Roman" w:eastAsia="方正仿宋简体" w:cs="Times New Roman"/>
                <w:b w:val="0"/>
                <w:bCs/>
                <w:sz w:val="30"/>
                <w:szCs w:val="30"/>
              </w:rPr>
              <w:t>Packaging for deliverable commodity</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val="0"/>
                <w:bCs/>
                <w:sz w:val="30"/>
                <w:szCs w:val="30"/>
              </w:rPr>
              <w:t>(i) Lead ingots underlying each delivery unit shall consist of commodity of the same manufacturer, registered trademark, quality grade, shape, and packaged quantity (secured into bundles of similar weight). The registered manufacturer may decide the weight of each bundle at its sole discretion, provided that the bundles can readily yield the delivery unit. Lead ingots shall be tightened into bundles with rust-resistant straps of proper strength as separately announced by the Exchange. The strapping shall be reliable and each bundle shall be marked by a prominent and secure product label, specifying manufacturer name, product name, grade (designation), batch number, net weight, and date of production.</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val="0"/>
                <w:bCs/>
                <w:sz w:val="30"/>
                <w:szCs w:val="30"/>
              </w:rPr>
              <w:t>(ii) If the commodities arrive at the warehouse with broken straps or loose ingots, the commodities shall be repackaged and securely tightened with specified straps before they are delivered. Any costs incurred in the reassembly shall be borne by the owner.</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Theme="majorEastAsia" w:hAnsiTheme="majorEastAsia" w:eastAsiaTheme="majorEastAsia"/>
              </w:rPr>
            </w:pPr>
            <w:r>
              <w:rPr>
                <w:rFonts w:hint="default" w:ascii="Times New Roman" w:hAnsi="Times New Roman" w:eastAsia="方正仿宋简体" w:cs="Times New Roman"/>
                <w:b w:val="0"/>
                <w:bCs/>
                <w:sz w:val="30"/>
                <w:szCs w:val="30"/>
              </w:rPr>
              <w:t xml:space="preserve">(iii) </w:t>
            </w:r>
            <w:r>
              <w:rPr>
                <w:rFonts w:hint="eastAsia" w:ascii="Times New Roman" w:hAnsi="Times New Roman" w:eastAsia="方正仿宋简体" w:cs="Times New Roman"/>
                <w:b/>
                <w:bCs w:val="0"/>
                <w:color w:val="FF0000"/>
                <w:sz w:val="30"/>
                <w:szCs w:val="30"/>
                <w:shd w:val="clear" w:color="FFFFFF" w:fill="D9D9D9"/>
                <w:lang w:val="en-US" w:eastAsia="zh-CN"/>
              </w:rPr>
              <w:t xml:space="preserve">Standard: </w:t>
            </w:r>
            <w:r>
              <w:rPr>
                <w:rFonts w:hint="default" w:ascii="Times New Roman" w:hAnsi="Times New Roman" w:eastAsia="方正仿宋简体" w:cs="Times New Roman"/>
                <w:b w:val="0"/>
                <w:bCs/>
                <w:sz w:val="30"/>
                <w:szCs w:val="30"/>
              </w:rPr>
              <w:t xml:space="preserve">Each </w:t>
            </w:r>
            <w:r>
              <w:rPr>
                <w:rFonts w:hint="default" w:ascii="Times New Roman" w:hAnsi="Times New Roman" w:eastAsia="方正仿宋简体" w:cs="Times New Roman"/>
                <w:b w:val="0"/>
                <w:bCs/>
                <w:strike w:val="0"/>
                <w:dstrike/>
                <w:sz w:val="30"/>
                <w:szCs w:val="30"/>
              </w:rPr>
              <w:t xml:space="preserve">domestically </w:t>
            </w:r>
            <w:r>
              <w:rPr>
                <w:rFonts w:hint="default" w:ascii="Times New Roman" w:hAnsi="Times New Roman" w:eastAsia="方正仿宋简体" w:cs="Times New Roman"/>
                <w:b w:val="0"/>
                <w:bCs/>
                <w:sz w:val="30"/>
                <w:szCs w:val="30"/>
              </w:rPr>
              <w:t>produced lead ingot shall weigh forty-eight (48) kilograms plus or minus three (±3) kilograms, forty-two (42) kilograms plus or minus two (±2) kilograms, or twenty-four (24) kilograms plus or minus one (±1) kilogram</w:t>
            </w:r>
            <w:r>
              <w:rPr>
                <w:rFonts w:hint="eastAsia" w:ascii="Times New Roman" w:hAnsi="Times New Roman" w:eastAsia="方正仿宋简体" w:cs="Times New Roman"/>
                <w:b/>
                <w:bCs w:val="0"/>
                <w:color w:val="FF0000"/>
                <w:sz w:val="30"/>
                <w:szCs w:val="30"/>
                <w:shd w:val="clear" w:color="FFFFFF" w:fill="D9D9D9"/>
                <w:lang w:val="en-US" w:eastAsia="zh-CN"/>
              </w:rPr>
              <w:t>;</w:t>
            </w:r>
            <w:r>
              <w:rPr>
                <w:rFonts w:hint="default" w:ascii="Times New Roman" w:hAnsi="Times New Roman" w:cs="Times New Roman" w:eastAsiaTheme="majorEastAsia"/>
                <w:b/>
                <w:bCs/>
                <w:color w:val="FF0000"/>
                <w:shd w:val="pct10" w:color="auto" w:fill="FFFFFF"/>
              </w:rPr>
              <w:t>Substitute: each secondary lead ingot shall weigh 48kg±2kg, 45kg±2kg, 40kg±2kg, 30kg±2kg, or 24kg±1kg</w:t>
            </w:r>
            <w:r>
              <w:rPr>
                <w:rFonts w:hint="default" w:ascii="Times New Roman" w:hAnsi="Times New Roman" w:cs="Times New Roman" w:eastAsiaTheme="majorEastAsia"/>
                <w:b/>
                <w:bCs/>
                <w:color w:val="FF0000"/>
                <w:shd w:val="pct10" w:color="auto" w:fill="FFFFFF"/>
                <w:lang w:val="en-US" w:eastAsia="zh-CN"/>
              </w:rPr>
              <w:t>.</w:t>
            </w:r>
          </w:p>
        </w:tc>
        <w:tc>
          <w:tcPr>
            <w:tcW w:w="2500" w:type="pct"/>
          </w:tcPr>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bCs w:val="0"/>
                <w:sz w:val="30"/>
                <w:szCs w:val="30"/>
              </w:rPr>
              <w:t>Article 16</w:t>
            </w:r>
            <w:r>
              <w:rPr>
                <w:rFonts w:hint="default" w:ascii="Times New Roman" w:hAnsi="Times New Roman" w:eastAsia="方正仿宋简体" w:cs="Times New Roman"/>
                <w:b w:val="0"/>
                <w:bCs/>
                <w:sz w:val="30"/>
                <w:szCs w:val="30"/>
              </w:rPr>
              <w:t xml:space="preserve"> </w:t>
            </w:r>
            <w:r>
              <w:rPr>
                <w:rFonts w:hint="eastAsia" w:ascii="Times New Roman" w:hAnsi="Times New Roman" w:eastAsia="方正仿宋简体" w:cs="Times New Roman"/>
                <w:b w:val="0"/>
                <w:bCs/>
                <w:sz w:val="30"/>
                <w:szCs w:val="30"/>
                <w:lang w:val="en-US" w:eastAsia="zh-CN"/>
              </w:rPr>
              <w:t xml:space="preserve"> </w:t>
            </w:r>
            <w:r>
              <w:rPr>
                <w:rFonts w:hint="default" w:ascii="Times New Roman" w:hAnsi="Times New Roman" w:eastAsia="方正仿宋简体" w:cs="Times New Roman"/>
                <w:b w:val="0"/>
                <w:bCs/>
                <w:sz w:val="30"/>
                <w:szCs w:val="30"/>
              </w:rPr>
              <w:t>Packaging for deliverable commodity</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val="0"/>
                <w:bCs/>
                <w:sz w:val="30"/>
                <w:szCs w:val="30"/>
              </w:rPr>
              <w:t>(i) Lead ingots underlying each delivery unit shall consist of commodity of the same manufacturer, registered trademark, quality grade, shape, and packaged quantity (secured into bundles of similar weight). The registered manufacturer may decide the weight of each bundle at its sole discretion, provided that the bundles can readily yield the delivery unit. Lead ingots shall be tightened into bundles with rust-resistant straps of proper strength as separately announced by the Exchange. The strapping shall be reliable and each bundle shall be marked by a prominent and secure product label, specifying manufacturer name, product name, grade (designation), batch number, net weight, and date of production.</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val="0"/>
                <w:bCs/>
                <w:sz w:val="30"/>
                <w:szCs w:val="30"/>
              </w:rPr>
              <w:t>(ii) If the commodities arrive at the warehouse with broken straps or loose ingots, the commodities shall be repackaged and securely tightened with specified straps before they are delivered. Any costs incurred in the reassembly shall be borne by the owner.</w:t>
            </w:r>
          </w:p>
          <w:p>
            <w:pPr>
              <w:pStyle w:val="9"/>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Theme="majorEastAsia" w:hAnsiTheme="majorEastAsia" w:eastAsiaTheme="majorEastAsia"/>
                <w:shd w:val="pct10" w:color="auto" w:fill="FFFFFF"/>
              </w:rPr>
            </w:pPr>
            <w:r>
              <w:rPr>
                <w:rFonts w:hint="default" w:ascii="Times New Roman" w:hAnsi="Times New Roman" w:eastAsia="方正仿宋简体" w:cs="Times New Roman"/>
                <w:b w:val="0"/>
                <w:bCs/>
                <w:sz w:val="30"/>
                <w:szCs w:val="30"/>
              </w:rPr>
              <w:t>(iii) Each domestically produced lead ingot shall weigh forty-eight (48) kilograms plus or minus three (±3) kilograms, forty-two (42) kilograms plus or minus two (±2) kilograms, or twenty-four (24) kilograms plus or minus one (±1) kilogram.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02" w:firstLineChars="200"/>
              <w:jc w:val="left"/>
              <w:textAlignment w:val="auto"/>
              <w:rPr>
                <w:rFonts w:asciiTheme="majorEastAsia" w:hAnsiTheme="majorEastAsia" w:eastAsiaTheme="majorEastAsia"/>
              </w:rPr>
            </w:pPr>
            <w:r>
              <w:rPr>
                <w:rFonts w:hint="default" w:ascii="Times New Roman" w:hAnsi="Times New Roman" w:eastAsia="方正仿宋简体" w:cs="Times New Roman"/>
                <w:b/>
                <w:bCs w:val="0"/>
                <w:sz w:val="30"/>
                <w:szCs w:val="30"/>
              </w:rPr>
              <w:t>Article 34</w:t>
            </w:r>
            <w:r>
              <w:rPr>
                <w:rFonts w:hint="eastAsia" w:ascii="Times New Roman" w:hAnsi="Times New Roman" w:eastAsia="方正仿宋简体" w:cs="Times New Roman"/>
                <w:b/>
                <w:bCs w:val="0"/>
                <w:sz w:val="30"/>
                <w:szCs w:val="30"/>
                <w:lang w:val="en-US" w:eastAsia="zh-CN"/>
              </w:rPr>
              <w:t xml:space="preserve"> </w:t>
            </w:r>
            <w:r>
              <w:rPr>
                <w:rFonts w:hint="default" w:ascii="Times New Roman" w:hAnsi="Times New Roman" w:eastAsia="方正仿宋简体" w:cs="Times New Roman"/>
                <w:b w:val="0"/>
                <w:bCs/>
                <w:sz w:val="30"/>
                <w:szCs w:val="30"/>
              </w:rPr>
              <w:t xml:space="preserve"> These Lead Futures Rules take effect on </w:t>
            </w:r>
            <w:r>
              <w:rPr>
                <w:rFonts w:hint="eastAsia" w:ascii="Times New Roman" w:hAnsi="Times New Roman" w:eastAsia="方正仿宋简体" w:cs="Times New Roman"/>
                <w:b/>
                <w:bCs w:val="0"/>
                <w:color w:val="FF0000"/>
                <w:sz w:val="30"/>
                <w:szCs w:val="30"/>
                <w:shd w:val="clear" w:color="FFFFFF" w:fill="D9D9D9"/>
                <w:lang w:val="en-US" w:eastAsia="zh-CN"/>
              </w:rPr>
              <w:t>March 17</w:t>
            </w:r>
            <w:r>
              <w:rPr>
                <w:rFonts w:hint="default" w:ascii="Times New Roman" w:hAnsi="Times New Roman" w:eastAsia="方正仿宋简体" w:cs="Times New Roman"/>
                <w:b w:val="0"/>
                <w:bCs/>
                <w:strike w:val="0"/>
                <w:dstrike w:val="0"/>
                <w:sz w:val="30"/>
                <w:szCs w:val="30"/>
              </w:rPr>
              <w:t>, 2026</w:t>
            </w:r>
            <w:r>
              <w:rPr>
                <w:rFonts w:hint="default" w:ascii="Times New Roman" w:hAnsi="Times New Roman" w:eastAsia="方正仿宋简体" w:cs="Times New Roman"/>
                <w:b w:val="0"/>
                <w:bCs/>
                <w:sz w:val="30"/>
                <w:szCs w:val="30"/>
              </w:rPr>
              <w:t>.</w:t>
            </w:r>
          </w:p>
        </w:tc>
        <w:tc>
          <w:tcPr>
            <w:tcW w:w="2500" w:type="pct"/>
          </w:tcPr>
          <w:p>
            <w:pPr>
              <w:pStyle w:val="9"/>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bCs w:val="0"/>
                <w:sz w:val="30"/>
                <w:szCs w:val="30"/>
              </w:rPr>
              <w:t xml:space="preserve">Article 34 </w:t>
            </w:r>
            <w:r>
              <w:rPr>
                <w:rFonts w:hint="eastAsia" w:ascii="Times New Roman" w:hAnsi="Times New Roman" w:eastAsia="方正仿宋简体" w:cs="Times New Roman"/>
                <w:b/>
                <w:bCs w:val="0"/>
                <w:sz w:val="30"/>
                <w:szCs w:val="30"/>
                <w:lang w:val="en-US" w:eastAsia="zh-CN"/>
              </w:rPr>
              <w:t xml:space="preserve"> </w:t>
            </w:r>
            <w:r>
              <w:rPr>
                <w:rFonts w:hint="default" w:ascii="Times New Roman" w:hAnsi="Times New Roman" w:eastAsia="方正仿宋简体" w:cs="Times New Roman"/>
                <w:b w:val="0"/>
                <w:bCs/>
                <w:sz w:val="30"/>
                <w:szCs w:val="30"/>
              </w:rPr>
              <w:t>These Lead Futures Rules take effect on January 1, 2026.</w:t>
            </w:r>
          </w:p>
        </w:tc>
      </w:tr>
    </w:tbl>
    <w:p>
      <w:pPr>
        <w:rPr>
          <w:rFonts w:asciiTheme="majorEastAsia" w:hAnsiTheme="majorEastAsia" w:eastAsiaTheme="majorEastAsia"/>
        </w:rPr>
      </w:pPr>
    </w:p>
    <w:sectPr>
      <w:pgSz w:w="16838" w:h="11906" w:orient="landscape"/>
      <w:pgMar w:top="1800" w:right="1440" w:bottom="1800" w:left="144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E45D2"/>
    <w:multiLevelType w:val="singleLevel"/>
    <w:tmpl w:val="267E45D2"/>
    <w:lvl w:ilvl="0" w:tentative="0">
      <w:start w:val="2"/>
      <w:numFmt w:val="decimal"/>
      <w:suff w:val="space"/>
      <w:lvlText w:val="(%1)"/>
      <w:lvlJc w:val="left"/>
      <w:pPr>
        <w:ind w:left="15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E8"/>
    <w:rsid w:val="000364F0"/>
    <w:rsid w:val="00062C36"/>
    <w:rsid w:val="000813D9"/>
    <w:rsid w:val="00085505"/>
    <w:rsid w:val="000C7F32"/>
    <w:rsid w:val="000D71DF"/>
    <w:rsid w:val="0010767D"/>
    <w:rsid w:val="001C7BA2"/>
    <w:rsid w:val="001F6F0C"/>
    <w:rsid w:val="00215EF3"/>
    <w:rsid w:val="00234ED0"/>
    <w:rsid w:val="00254AC0"/>
    <w:rsid w:val="00272137"/>
    <w:rsid w:val="002D1A4C"/>
    <w:rsid w:val="00314B68"/>
    <w:rsid w:val="0033773E"/>
    <w:rsid w:val="003467CE"/>
    <w:rsid w:val="00362E8D"/>
    <w:rsid w:val="003C30CD"/>
    <w:rsid w:val="003F6047"/>
    <w:rsid w:val="004243AD"/>
    <w:rsid w:val="00450935"/>
    <w:rsid w:val="00480416"/>
    <w:rsid w:val="004A6665"/>
    <w:rsid w:val="0052472B"/>
    <w:rsid w:val="005817B8"/>
    <w:rsid w:val="005D58BE"/>
    <w:rsid w:val="005D5D0E"/>
    <w:rsid w:val="005E38E8"/>
    <w:rsid w:val="00624966"/>
    <w:rsid w:val="006716F4"/>
    <w:rsid w:val="00671AE5"/>
    <w:rsid w:val="006755B7"/>
    <w:rsid w:val="006E7CD0"/>
    <w:rsid w:val="007964B5"/>
    <w:rsid w:val="007A6411"/>
    <w:rsid w:val="007D327E"/>
    <w:rsid w:val="008341CB"/>
    <w:rsid w:val="008720B4"/>
    <w:rsid w:val="008A47FA"/>
    <w:rsid w:val="00932BDD"/>
    <w:rsid w:val="009343D5"/>
    <w:rsid w:val="00942200"/>
    <w:rsid w:val="00942CE4"/>
    <w:rsid w:val="009534F8"/>
    <w:rsid w:val="00974585"/>
    <w:rsid w:val="00985665"/>
    <w:rsid w:val="009C0D75"/>
    <w:rsid w:val="009C2F0B"/>
    <w:rsid w:val="00A30951"/>
    <w:rsid w:val="00A40CE4"/>
    <w:rsid w:val="00A52BD4"/>
    <w:rsid w:val="00A67FF1"/>
    <w:rsid w:val="00AA349A"/>
    <w:rsid w:val="00AD55E4"/>
    <w:rsid w:val="00AE7EB9"/>
    <w:rsid w:val="00AF5E35"/>
    <w:rsid w:val="00B733AC"/>
    <w:rsid w:val="00B857BD"/>
    <w:rsid w:val="00B95695"/>
    <w:rsid w:val="00BB7D46"/>
    <w:rsid w:val="00C3312D"/>
    <w:rsid w:val="00C614B2"/>
    <w:rsid w:val="00CF24E4"/>
    <w:rsid w:val="00D077A1"/>
    <w:rsid w:val="00D535C2"/>
    <w:rsid w:val="00D624DB"/>
    <w:rsid w:val="00D74B85"/>
    <w:rsid w:val="00DA0E21"/>
    <w:rsid w:val="00DF5253"/>
    <w:rsid w:val="00E42986"/>
    <w:rsid w:val="00E45610"/>
    <w:rsid w:val="00E5380D"/>
    <w:rsid w:val="00EA48A7"/>
    <w:rsid w:val="00F024E2"/>
    <w:rsid w:val="00FB4429"/>
    <w:rsid w:val="00FB5F78"/>
    <w:rsid w:val="00FC5C7A"/>
    <w:rsid w:val="00FE5BFE"/>
    <w:rsid w:val="7E997A71"/>
    <w:rsid w:val="7EEEB8DA"/>
    <w:rsid w:val="BE7769C0"/>
    <w:rsid w:val="CDCFC7FB"/>
    <w:rsid w:val="DED5842F"/>
    <w:rsid w:val="F7BE4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30"/>
      <w:szCs w:val="3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279</Words>
  <Characters>1595</Characters>
  <Lines>13</Lines>
  <Paragraphs>3</Paragraphs>
  <TotalTime>1</TotalTime>
  <ScaleCrop>false</ScaleCrop>
  <LinksUpToDate>false</LinksUpToDate>
  <CharactersWithSpaces>1871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2026-01-24T18:44:00Z</dcterms:created>
  <dc:creator>canjie jin</dc:creator>
  <cp:lastModifiedBy>ji.shuoren</cp:lastModifiedBy>
  <cp:lastPrinted>2026-03-04T01:56:00Z</cp:lastPrinted>
  <dcterms:modified xsi:type="dcterms:W3CDTF">2026-03-03T15:55:31Z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5B06D593BC17365CBCBD9F69EB1EF674</vt:lpwstr>
  </property>
</Properties>
</file>