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b/>
          <w:bCs/>
          <w:sz w:val="28"/>
          <w:szCs w:val="36"/>
          <w:lang w:val="en-US" w:eastAsia="zh-CN"/>
        </w:rPr>
      </w:pPr>
      <w:r>
        <w:rPr>
          <w:rFonts w:hint="default" w:ascii="Times New Roman" w:hAnsi="Times New Roman" w:cs="Times New Roman"/>
          <w:b/>
          <w:bCs/>
          <w:sz w:val="28"/>
          <w:szCs w:val="36"/>
          <w:lang w:val="en-US" w:eastAsia="zh-CN"/>
        </w:rPr>
        <w:t xml:space="preserve">Appendix </w:t>
      </w:r>
      <w:r>
        <w:rPr>
          <w:rFonts w:hint="eastAsia" w:ascii="Times New Roman" w:hAnsi="Times New Roman" w:cs="Times New Roman"/>
          <w:b/>
          <w:bCs/>
          <w:sz w:val="28"/>
          <w:szCs w:val="36"/>
          <w:lang w:val="en-US" w:eastAsia="zh-CN"/>
        </w:rPr>
        <w:t>3</w:t>
      </w:r>
    </w:p>
    <w:p>
      <w:pPr>
        <w:rPr>
          <w:rFonts w:hint="default" w:ascii="Times New Roman" w:hAnsi="Times New Roman" w:cs="Times New Roman"/>
          <w:b/>
          <w:bCs/>
          <w:sz w:val="28"/>
          <w:szCs w:val="36"/>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cs="Times New Roman"/>
          <w:b/>
          <w:bCs/>
          <w:sz w:val="32"/>
          <w:szCs w:val="40"/>
          <w:lang w:val="en-US" w:eastAsia="zh-CN"/>
        </w:rPr>
      </w:pPr>
      <w:r>
        <w:rPr>
          <w:rFonts w:hint="default" w:ascii="Times New Roman" w:hAnsi="Times New Roman" w:cs="Times New Roman"/>
          <w:b/>
          <w:bCs/>
          <w:sz w:val="36"/>
          <w:szCs w:val="44"/>
          <w:lang w:val="en-US" w:eastAsia="zh-CN"/>
        </w:rPr>
        <w:t xml:space="preserve">Lead Futures </w:t>
      </w:r>
      <w:r>
        <w:rPr>
          <w:rFonts w:hint="eastAsia" w:ascii="Times New Roman" w:hAnsi="Times New Roman" w:cs="Times New Roman"/>
          <w:b/>
          <w:bCs/>
          <w:sz w:val="36"/>
          <w:szCs w:val="44"/>
          <w:lang w:val="en-US" w:eastAsia="zh-CN"/>
        </w:rPr>
        <w:t>Rules</w:t>
      </w:r>
      <w:r>
        <w:rPr>
          <w:rFonts w:hint="default" w:ascii="Times New Roman" w:hAnsi="Times New Roman" w:cs="Times New Roman"/>
          <w:b/>
          <w:bCs/>
          <w:sz w:val="36"/>
          <w:szCs w:val="44"/>
          <w:lang w:val="en-US" w:eastAsia="zh-CN"/>
        </w:rPr>
        <w:t xml:space="preserve"> of Shanghai Futures Exchange</w:t>
      </w:r>
      <w:r>
        <w:rPr>
          <w:rFonts w:hint="eastAsia" w:ascii="Times New Roman" w:hAnsi="Times New Roman" w:cs="Times New Roman"/>
          <w:b/>
          <w:bCs/>
          <w:sz w:val="36"/>
          <w:szCs w:val="44"/>
          <w:lang w:val="en-US" w:eastAsia="zh-CN"/>
        </w:rPr>
        <w:t xml:space="preserve"> </w:t>
      </w:r>
      <w:r>
        <w:rPr>
          <w:rFonts w:hint="eastAsia" w:ascii="Times New Roman" w:hAnsi="Times New Roman" w:cs="Times New Roman"/>
          <w:b/>
          <w:bCs/>
          <w:sz w:val="32"/>
          <w:szCs w:val="40"/>
          <w:lang w:val="en-US" w:eastAsia="zh-CN"/>
        </w:rPr>
        <w:t>(revised)</w:t>
      </w: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cs="Times New Roman"/>
          <w:b/>
          <w:bCs/>
          <w:sz w:val="32"/>
          <w:szCs w:val="40"/>
          <w:lang w:val="en-US" w:eastAsia="zh-CN"/>
        </w:rPr>
      </w:pP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1</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GENERAL PROVISIONS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 xml:space="preserve">These </w:t>
      </w:r>
      <w:r>
        <w:rPr>
          <w:rFonts w:hint="default" w:ascii="Times New Roman" w:hAnsi="Times New Roman" w:eastAsia="宋体" w:cs="Times New Roman"/>
          <w:i/>
          <w:iCs w:val="0"/>
          <w:color w:val="auto"/>
          <w:kern w:val="2"/>
          <w:sz w:val="28"/>
          <w:szCs w:val="28"/>
          <w:lang w:val="en-US" w:eastAsia="zh-CN" w:bidi="ar"/>
        </w:rPr>
        <w:t>Lead Futur</w:t>
      </w:r>
      <w:bookmarkStart w:id="0" w:name="_GoBack"/>
      <w:bookmarkEnd w:id="0"/>
      <w:r>
        <w:rPr>
          <w:rFonts w:hint="default" w:ascii="Times New Roman" w:hAnsi="Times New Roman" w:eastAsia="宋体" w:cs="Times New Roman"/>
          <w:i/>
          <w:iCs w:val="0"/>
          <w:color w:val="auto"/>
          <w:kern w:val="2"/>
          <w:sz w:val="28"/>
          <w:szCs w:val="28"/>
          <w:lang w:val="en-US" w:eastAsia="zh-CN" w:bidi="ar"/>
        </w:rPr>
        <w:t>es Rules</w:t>
      </w:r>
      <w:r>
        <w:rPr>
          <w:rFonts w:hint="default" w:ascii="Times New Roman" w:hAnsi="Times New Roman" w:eastAsia="宋体" w:cs="Times New Roman"/>
          <w:color w:val="auto"/>
          <w:kern w:val="2"/>
          <w:sz w:val="28"/>
          <w:szCs w:val="28"/>
          <w:lang w:val="en-US" w:eastAsia="zh-CN" w:bidi="ar"/>
        </w:rPr>
        <w:t xml:space="preserve"> are made in accordance with the </w:t>
      </w:r>
      <w:r>
        <w:rPr>
          <w:rFonts w:hint="default" w:ascii="Times New Roman" w:hAnsi="Times New Roman" w:eastAsia="宋体" w:cs="Times New Roman"/>
          <w:i/>
          <w:iCs/>
          <w:color w:val="auto"/>
          <w:kern w:val="2"/>
          <w:sz w:val="28"/>
          <w:szCs w:val="28"/>
          <w:lang w:val="en-US" w:eastAsia="zh-CN" w:bidi="ar"/>
        </w:rPr>
        <w:t>General Exchange Rules of the Shanghai Futures Exchange</w:t>
      </w:r>
      <w:r>
        <w:rPr>
          <w:rFonts w:hint="default" w:ascii="Times New Roman" w:hAnsi="Times New Roman" w:eastAsia="宋体" w:cs="Times New Roman"/>
          <w:color w:val="auto"/>
          <w:kern w:val="2"/>
          <w:sz w:val="28"/>
          <w:szCs w:val="28"/>
          <w:lang w:val="en-US" w:eastAsia="zh-CN" w:bidi="ar"/>
        </w:rPr>
        <w:t>, the</w:t>
      </w:r>
      <w:r>
        <w:rPr>
          <w:rFonts w:hint="eastAsia" w:ascii="Times New Roman" w:hAnsi="Times New Roman" w:eastAsia="宋体" w:cs="Times New Roman"/>
          <w:i/>
          <w:iCs/>
          <w:color w:val="auto"/>
          <w:kern w:val="2"/>
          <w:sz w:val="28"/>
          <w:szCs w:val="28"/>
          <w:lang w:val="en-US" w:eastAsia="zh-CN" w:bidi="ar"/>
        </w:rPr>
        <w:t xml:space="preserve"> </w:t>
      </w:r>
      <w:r>
        <w:rPr>
          <w:rFonts w:hint="default" w:ascii="Times New Roman" w:hAnsi="Times New Roman" w:eastAsia="宋体" w:cs="Times New Roman"/>
          <w:i/>
          <w:iCs/>
          <w:color w:val="auto"/>
          <w:kern w:val="2"/>
          <w:sz w:val="28"/>
          <w:szCs w:val="28"/>
          <w:lang w:val="en-US" w:eastAsia="zh-CN" w:bidi="ar"/>
        </w:rPr>
        <w:t>SHFE Lead Futures Contract Specifications</w:t>
      </w:r>
      <w:r>
        <w:rPr>
          <w:rFonts w:hint="default" w:ascii="Times New Roman" w:hAnsi="Times New Roman" w:eastAsia="宋体" w:cs="Times New Roman"/>
          <w:color w:val="auto"/>
          <w:kern w:val="2"/>
          <w:sz w:val="28"/>
          <w:szCs w:val="28"/>
          <w:lang w:val="en-US" w:eastAsia="zh-CN" w:bidi="ar"/>
        </w:rPr>
        <w:t>, and the relevant business rules</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to regulate business related to lead futures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at the Shanghai Futures Exchange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color w:val="000000"/>
          <w:kern w:val="0"/>
          <w:sz w:val="28"/>
          <w:szCs w:val="28"/>
        </w:rPr>
      </w:pPr>
      <w:r>
        <w:rPr>
          <w:rFonts w:hint="default" w:ascii="Times New Roman" w:hAnsi="Times New Roman" w:eastAsia="宋体" w:cs="Times New Roman"/>
          <w:b/>
          <w:bCs/>
          <w:color w:val="000000"/>
          <w:kern w:val="2"/>
          <w:sz w:val="28"/>
          <w:szCs w:val="28"/>
          <w:lang w:val="en-US" w:eastAsia="zh-CN" w:bidi="ar"/>
        </w:rPr>
        <w:t>Article 2</w:t>
      </w:r>
      <w:r>
        <w:rPr>
          <w:rFonts w:hint="eastAsia" w:ascii="Times New Roman" w:hAnsi="Times New Roman" w:eastAsia="宋体" w:cs="Times New Roman"/>
          <w:b/>
          <w:bCs/>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lang w:val="en-US" w:eastAsia="zh-CN" w:bidi="ar"/>
        </w:rPr>
        <w:tab/>
      </w:r>
      <w:r>
        <w:rPr>
          <w:rFonts w:hint="default" w:ascii="Times New Roman" w:hAnsi="Times New Roman" w:eastAsia="宋体" w:cs="Times New Roman"/>
          <w:color w:val="000000"/>
          <w:kern w:val="2"/>
          <w:sz w:val="28"/>
          <w:szCs w:val="28"/>
          <w:lang w:val="en-US" w:eastAsia="zh-CN" w:bidi="ar"/>
        </w:rPr>
        <w:t xml:space="preserve">These </w:t>
      </w:r>
      <w:r>
        <w:rPr>
          <w:rFonts w:hint="default" w:ascii="Times New Roman" w:hAnsi="Times New Roman" w:eastAsia="宋体" w:cs="Times New Roman"/>
          <w:i/>
          <w:iCs w:val="0"/>
          <w:color w:val="auto"/>
          <w:kern w:val="2"/>
          <w:sz w:val="28"/>
          <w:szCs w:val="28"/>
          <w:lang w:val="en-US" w:eastAsia="zh-CN" w:bidi="ar"/>
        </w:rPr>
        <w:t>Lead Futures Rules</w:t>
      </w:r>
      <w:r>
        <w:rPr>
          <w:rFonts w:hint="default" w:ascii="Times New Roman" w:hAnsi="Times New Roman" w:eastAsia="宋体" w:cs="Times New Roman"/>
          <w:color w:val="000000"/>
          <w:kern w:val="2"/>
          <w:sz w:val="28"/>
          <w:szCs w:val="28"/>
          <w:lang w:val="en-US" w:eastAsia="zh-CN" w:bidi="ar"/>
        </w:rPr>
        <w:t xml:space="preserve"> shall be observed by the Exchange, Members, Clients, Delivery Storage Facilities, Designated Inspection Agencies, Futures Margin Depository</w:t>
      </w:r>
      <w:r>
        <w:rPr>
          <w:rFonts w:hint="eastAsia" w:ascii="Times New Roman" w:hAnsi="Times New Roman" w:eastAsia="宋体" w:cs="Times New Roman"/>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lang w:val="en-US" w:eastAsia="zh-CN" w:bidi="ar"/>
        </w:rPr>
        <w:t>Institutions, and other participants of the futures market.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2</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TRADING</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3</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Contract size for lead futures is five (5) metric tons per lot.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000000"/>
          <w:kern w:val="2"/>
          <w:sz w:val="28"/>
          <w:szCs w:val="28"/>
          <w:lang w:val="en-US" w:eastAsia="zh-CN" w:bidi="ar"/>
        </w:rPr>
        <w:t>Article 4</w:t>
      </w:r>
      <w:r>
        <w:rPr>
          <w:rFonts w:hint="eastAsia" w:ascii="Times New Roman" w:hAnsi="Times New Roman" w:eastAsia="宋体" w:cs="Times New Roman"/>
          <w:b/>
          <w:bCs/>
          <w:color w:val="000000"/>
          <w:kern w:val="2"/>
          <w:sz w:val="28"/>
          <w:szCs w:val="28"/>
          <w:lang w:val="en-US" w:eastAsia="zh-CN" w:bidi="ar"/>
        </w:rPr>
        <w:t xml:space="preserve">  </w:t>
      </w:r>
      <w:r>
        <w:rPr>
          <w:rFonts w:hint="default" w:ascii="Times New Roman" w:hAnsi="Times New Roman" w:eastAsia="宋体" w:cs="Times New Roman"/>
          <w:color w:val="000000"/>
          <w:kern w:val="2"/>
          <w:sz w:val="28"/>
          <w:szCs w:val="28"/>
          <w:lang w:val="en-US" w:eastAsia="zh-CN" w:bidi="ar"/>
        </w:rPr>
        <w:t xml:space="preserve">Price quotation of a </w:t>
      </w:r>
      <w:r>
        <w:rPr>
          <w:rFonts w:hint="default" w:ascii="Times New Roman" w:hAnsi="Times New Roman" w:eastAsia="宋体" w:cs="Times New Roman"/>
          <w:color w:val="auto"/>
          <w:kern w:val="2"/>
          <w:sz w:val="28"/>
          <w:szCs w:val="28"/>
          <w:lang w:val="en-US" w:eastAsia="zh-CN" w:bidi="ar"/>
        </w:rPr>
        <w:t>lead futures contract is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Yuan (RMB)/metric ton.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5</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Minimum price fluctuation</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a lead futures contract is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five (5) Yuan/metric ton.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6</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Listed contracts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lead futures cover the most recent twelve (12) months.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7</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Trading hours of a lead futures contract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are 9:00 a.m. to 11:30 a.m., 1:30 p.m. to 3:00 p.m., and other hours specified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8</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last trading day of a lead futures contract is the 15th day of the contract month. The last trading day will be postponed accordingly if it is a legal holiday in China, and will be subject to separate adjustment and announcement by the Exchange if it falls in the Spring Festival month or any other month specially designated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9</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Contract symbol</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lead futures is PB.</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10</w:t>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the hedging and arbitrage position quotas of a lead</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futures contract, regular months extend from the day of listing to the last trading day of the second month before the delivery month, while nearby delivery months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cover the month before the delivery month and the delivery month.</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b w:val="0"/>
          <w:bCs w:val="0"/>
          <w:color w:val="auto"/>
          <w:kern w:val="2"/>
          <w:sz w:val="28"/>
          <w:szCs w:val="28"/>
        </w:rPr>
      </w:pPr>
      <w:r>
        <w:rPr>
          <w:rFonts w:hint="default" w:ascii="Times New Roman" w:hAnsi="Times New Roman" w:eastAsia="宋体" w:cs="Times New Roman"/>
          <w:b/>
          <w:bCs/>
          <w:color w:val="auto"/>
          <w:kern w:val="2"/>
          <w:sz w:val="28"/>
          <w:szCs w:val="28"/>
          <w:lang w:val="en-US" w:eastAsia="zh-CN" w:bidi="ar"/>
        </w:rPr>
        <w:t>Article 11</w:t>
      </w:r>
      <w:r>
        <w:rPr>
          <w:rFonts w:hint="default" w:ascii="Times New Roman" w:hAnsi="Times New Roman" w:eastAsia="宋体" w:cs="Times New Roman"/>
          <w:color w:val="auto"/>
          <w:kern w:val="2"/>
          <w:sz w:val="28"/>
          <w:szCs w:val="28"/>
          <w:lang w:val="en-US" w:eastAsia="zh-CN" w:bidi="ar"/>
        </w:rPr>
        <w:tab/>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An application for a</w:t>
      </w:r>
      <w:r>
        <w:rPr>
          <w:rFonts w:hint="default" w:ascii="Times New Roman" w:hAnsi="Times New Roman" w:eastAsia="宋体" w:cs="Times New Roman"/>
          <w:b w:val="0"/>
          <w:bCs w:val="0"/>
          <w:color w:val="auto"/>
          <w:kern w:val="2"/>
          <w:sz w:val="28"/>
          <w:szCs w:val="28"/>
          <w:lang w:val="en-US" w:eastAsia="zh-CN" w:bidi="ar"/>
        </w:rPr>
        <w:t xml:space="preserve"> contract-specific regular month hedging position quota of a lead futures contract shall be submitted by the last trading day of the second month before the delivery month of the contract. Late applications will not be accepted by the Exchange. Applications for product-specific regular month hedging position quota are subject to the relevant provisions of the </w:t>
      </w:r>
      <w:r>
        <w:rPr>
          <w:rFonts w:hint="default" w:ascii="Times New Roman" w:hAnsi="Times New Roman" w:eastAsia="宋体" w:cs="Times New Roman"/>
          <w:b w:val="0"/>
          <w:bCs w:val="0"/>
          <w:i/>
          <w:iCs/>
          <w:color w:val="auto"/>
          <w:kern w:val="2"/>
          <w:sz w:val="28"/>
          <w:szCs w:val="28"/>
          <w:lang w:val="en-US" w:eastAsia="zh-CN" w:bidi="ar"/>
        </w:rPr>
        <w:t>Hedge Trading Rules of the Shanghai Futures Exchange</w:t>
      </w:r>
      <w:r>
        <w:rPr>
          <w:rFonts w:hint="default" w:ascii="Times New Roman" w:hAnsi="Times New Roman" w:eastAsia="宋体" w:cs="Times New Roman"/>
          <w:b w:val="0"/>
          <w:bCs w:val="0"/>
          <w:color w:val="auto"/>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val="0"/>
          <w:bCs w:val="0"/>
          <w:color w:val="auto"/>
          <w:kern w:val="2"/>
          <w:sz w:val="28"/>
          <w:szCs w:val="28"/>
          <w:lang w:val="en-US" w:eastAsia="zh-CN" w:bidi="ar"/>
        </w:rPr>
        <w:t>An application for a nearby delivery month hedging position quota of a lead futures contract shall be submitted between the first trading day of the second</w:t>
      </w:r>
      <w:r>
        <w:rPr>
          <w:rFonts w:hint="default" w:ascii="Times New Roman" w:hAnsi="Times New Roman" w:eastAsia="宋体" w:cs="Times New Roman"/>
          <w:color w:val="C00000"/>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month before the delivery month of the contract and the last trading day of the month before the delivery month. Late applications will not be accepted by the Exchange. An application for a nearby delivery month arbitrage position quota of a lead futures contract shall be submitted between the first trading day of the second month before the delivery month of the contract and the last trading day of the month before the delivery month. Late applications will not be accepted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12</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Hedging position quota of a lead futures contract shall no longer be used in a revolving manner starting from the first trading day of the delivery month.</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3</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DELIVERY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13</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A lead futures contract may be physically delivered through an Exchange of Futures for Physicals (“EFP”)</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or a delivery warehouse.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Lead futures adopt duty-paid delivery.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14</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Grade and quality specifications are provided in the</w:t>
      </w:r>
      <w:r>
        <w:rPr>
          <w:rFonts w:hint="default" w:ascii="Times New Roman" w:hAnsi="Times New Roman" w:eastAsia="宋体" w:cs="Times New Roman"/>
          <w:i/>
          <w:iCs/>
          <w:color w:val="auto"/>
          <w:kern w:val="2"/>
          <w:sz w:val="28"/>
          <w:szCs w:val="28"/>
          <w:lang w:val="en-US" w:eastAsia="zh-CN" w:bidi="ar"/>
        </w:rPr>
        <w:t xml:space="preserve"> SHFE Lead Futures Contract</w:t>
      </w:r>
      <w:r>
        <w:rPr>
          <w:rFonts w:hint="eastAsia" w:ascii="Times New Roman" w:hAnsi="Times New Roman" w:eastAsia="宋体" w:cs="Times New Roman"/>
          <w:i/>
          <w:iCs/>
          <w:color w:val="auto"/>
          <w:kern w:val="2"/>
          <w:sz w:val="28"/>
          <w:szCs w:val="28"/>
          <w:lang w:val="en-US" w:eastAsia="zh-CN" w:bidi="ar"/>
        </w:rPr>
        <w:t xml:space="preserve"> </w:t>
      </w:r>
      <w:r>
        <w:rPr>
          <w:rFonts w:hint="default" w:ascii="Times New Roman" w:hAnsi="Times New Roman" w:eastAsia="宋体" w:cs="Times New Roman"/>
          <w:i/>
          <w:iCs/>
          <w:color w:val="auto"/>
          <w:kern w:val="2"/>
          <w:sz w:val="28"/>
          <w:szCs w:val="28"/>
          <w:lang w:val="en-US" w:eastAsia="zh-CN" w:bidi="ar"/>
        </w:rPr>
        <w:t>Specifications</w:t>
      </w:r>
      <w:r>
        <w:rPr>
          <w:rFonts w:hint="default" w:ascii="Times New Roman" w:hAnsi="Times New Roman" w:eastAsia="宋体" w:cs="Times New Roman"/>
          <w:color w:val="auto"/>
          <w:kern w:val="2"/>
          <w:sz w:val="28"/>
          <w:szCs w:val="28"/>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15</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The deliverable commodity shall be of a registered trademark from a manufacturer registered with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16</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 xml:space="preserve">Packaging for deliverable commodity </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Lead ingots underlying each delivery unit shall consist of commodity of the same manufacturer, registered trademark, quality grade, shape, and packaged quantity (secured into bundles of similar weight). The registered manufacturer may decide the weight of each bundle at its sole discretion, provided that the bundles can readily yield the delivery unit.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Lead ingots shall be tightened into bundles with rust-resistant straps of proper strength as separately announced by the Exchange. The strapping shall be reliable and each bundle shall be marked by a prominent and secure product label, specifying manufacturer name, product name, grade (designation), batch number, net weight, and date of production.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(ii)</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If the commodities arrive at the warehouse with broken straps or loose ingots, the commodities shall be repackaged and securely tightened with specified straps before they are delivered. Any costs incurred in the reassembly shall be borne by the owner.</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cs="Times New Roman" w:eastAsiaTheme="majorEastAsia"/>
          <w:b/>
          <w:bCs/>
          <w:color w:val="FF0000"/>
          <w:sz w:val="28"/>
          <w:szCs w:val="28"/>
          <w:shd w:val="pct10" w:color="auto" w:fill="FFFFFF"/>
          <w:lang w:val="en-US" w:eastAsia="zh-CN"/>
        </w:rPr>
      </w:pPr>
      <w:r>
        <w:rPr>
          <w:rFonts w:hint="default" w:ascii="Times New Roman" w:hAnsi="Times New Roman" w:eastAsia="方正仿宋简体" w:cs="Times New Roman"/>
          <w:b w:val="0"/>
          <w:bCs/>
          <w:sz w:val="28"/>
          <w:szCs w:val="28"/>
        </w:rPr>
        <w:t xml:space="preserve">(iii) </w:t>
      </w:r>
      <w:r>
        <w:rPr>
          <w:rFonts w:hint="eastAsia" w:ascii="Times New Roman" w:hAnsi="Times New Roman" w:eastAsia="方正仿宋简体" w:cs="Times New Roman"/>
          <w:b/>
          <w:bCs w:val="0"/>
          <w:color w:val="FF0000"/>
          <w:sz w:val="28"/>
          <w:szCs w:val="28"/>
          <w:lang w:val="en-US" w:eastAsia="zh-CN"/>
        </w:rPr>
        <w:t xml:space="preserve">Standard: </w:t>
      </w:r>
      <w:r>
        <w:rPr>
          <w:rFonts w:hint="default" w:ascii="Times New Roman" w:hAnsi="Times New Roman" w:eastAsia="方正仿宋简体" w:cs="Times New Roman"/>
          <w:b w:val="0"/>
          <w:bCs/>
          <w:sz w:val="28"/>
          <w:szCs w:val="28"/>
        </w:rPr>
        <w:t xml:space="preserve">Each </w:t>
      </w:r>
      <w:r>
        <w:rPr>
          <w:rFonts w:hint="default" w:ascii="Times New Roman" w:hAnsi="Times New Roman" w:eastAsia="方正仿宋简体" w:cs="Times New Roman"/>
          <w:b w:val="0"/>
          <w:bCs/>
          <w:strike w:val="0"/>
          <w:dstrike/>
          <w:sz w:val="28"/>
          <w:szCs w:val="28"/>
        </w:rPr>
        <w:t xml:space="preserve">domestically </w:t>
      </w:r>
      <w:r>
        <w:rPr>
          <w:rFonts w:hint="default" w:ascii="Times New Roman" w:hAnsi="Times New Roman" w:eastAsia="方正仿宋简体" w:cs="Times New Roman"/>
          <w:b w:val="0"/>
          <w:bCs/>
          <w:sz w:val="28"/>
          <w:szCs w:val="28"/>
        </w:rPr>
        <w:t>produced lead ingot shall weigh forty-eight (48) kilograms plus or minus three (±3) kilograms, forty-two (42) kilograms plus or minus two (±2) kilograms, or twenty-four (24) kilograms plus or minus one (±1) kilogram</w:t>
      </w:r>
      <w:r>
        <w:rPr>
          <w:rFonts w:hint="eastAsia" w:ascii="Times New Roman" w:hAnsi="Times New Roman" w:eastAsia="方正仿宋简体" w:cs="Times New Roman"/>
          <w:b/>
          <w:bCs w:val="0"/>
          <w:color w:val="FF0000"/>
          <w:sz w:val="28"/>
          <w:szCs w:val="28"/>
          <w:shd w:val="clear" w:color="FFFFFF" w:fill="D9D9D9"/>
          <w:lang w:val="en-US" w:eastAsia="zh-CN"/>
        </w:rPr>
        <w:t>;</w:t>
      </w:r>
      <w:r>
        <w:rPr>
          <w:rFonts w:hint="default" w:ascii="Times New Roman" w:hAnsi="Times New Roman" w:cs="Times New Roman" w:eastAsiaTheme="majorEastAsia"/>
          <w:b/>
          <w:bCs/>
          <w:color w:val="FF0000"/>
          <w:sz w:val="28"/>
          <w:szCs w:val="28"/>
          <w:shd w:val="pct10" w:color="auto" w:fill="FFFFFF"/>
        </w:rPr>
        <w:t>Substitute: each secondary lead ingot shall weigh 48kg±2kg, 45kg±2kg, 40kg±2kg, 30kg±2kg, or 24kg±1kg</w:t>
      </w:r>
      <w:r>
        <w:rPr>
          <w:rFonts w:hint="default" w:ascii="Times New Roman" w:hAnsi="Times New Roman" w:cs="Times New Roman" w:eastAsiaTheme="majorEastAsia"/>
          <w:b/>
          <w:bCs/>
          <w:color w:val="FF0000"/>
          <w:sz w:val="28"/>
          <w:szCs w:val="28"/>
          <w:shd w:val="pct10" w:color="auto" w:fill="FFFFFF"/>
          <w:lang w:val="en-US" w:eastAsia="zh-CN"/>
        </w:rPr>
        <w: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17</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Required documentation for deliverable commodity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w:t>
      </w:r>
      <w:r>
        <w:rPr>
          <w:rFonts w:hint="default"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Domestic commodity: the certificate of quality issued by the registered manufacturer.</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(ii)</w:t>
      </w:r>
      <w:r>
        <w:rPr>
          <w:rFonts w:hint="eastAsia" w:ascii="Times New Roman" w:hAnsi="Times New Roman" w:eastAsia="宋体" w:cs="Times New Roman"/>
          <w:color w:val="auto"/>
          <w:kern w:val="2"/>
          <w:sz w:val="28"/>
          <w:szCs w:val="28"/>
          <w:lang w:val="en-US" w:eastAsia="zh-CN" w:bidi="ar"/>
        </w:rPr>
        <w:tab/>
      </w:r>
      <w:r>
        <w:rPr>
          <w:rFonts w:hint="default" w:ascii="Times New Roman" w:hAnsi="Times New Roman" w:eastAsia="宋体" w:cs="Times New Roman"/>
          <w:color w:val="auto"/>
          <w:kern w:val="2"/>
          <w:sz w:val="28"/>
          <w:szCs w:val="28"/>
          <w:lang w:val="en-US" w:eastAsia="zh-CN" w:bidi="ar"/>
        </w:rPr>
        <w:t>Imported commodity: the certificate of quality, certificate of origin, certificate of commodity inspection, certificate of payment of import tariff, and certificate of VAT withholding by the customs. These documents are deemed valid only upon being verified by the Exchange.</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If there has been any change to national policies on taxation, commodity inspection, or other relevant matters, the revised policies shall prevail. Under such circumstance, the Exchange will separately announce the revised requirements for the documentation</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relevant imported products.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18</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Tolerance and pound difference: The underlying lead ingots for each standard warrant weigh twenty-five (25) metric tons. Difference between standard warrant weight and actual delivery weight shall not exceed plus or minus two percent (±2%). Pound difference shall not exceed plus or minus one-tenth of one percent (±0.1%).</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19</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Delivery unit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of a lead futures contract is twenty-five (25) metric tons.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20</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Delivery period of a lead futures contract is the two (2) consecutive business days immediately following the last trading day of the contract.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21</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benchmark price for delivery settlement of a lead futures contract is its settlement price on the last trading day.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22</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Delivery venue: the delivery warehouses of the Exchange, to be separately announced by the Exchange.</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lead ingots intended for delivery must be stored indoors.</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23</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After the physical delivery is completed, if the buyer has any dispute over the quality or quantity of the commodity, the buyer shall submit a written request to the Exchange for dispute resolution before the 15th day (including that day) of the month following the delivery month (in case that day falls on a public holiday, the date shall be extended to the first business day after the holiday), together with the quality assay report issued by a Designated Inspection Agency. If no submission is received within the prescribed time, the buyer shall be deemed to have no disputes over</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commodity, and the Exchange will no longer accept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its relevant request for dispute resolution.</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24</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If standard warrants are used for the EFPs of a lead futures contract and the EFPs are settled via the Exchange, and if a dispute over the quality of the commodities arises, the buyer shall submit a request for dispute resolution within twenty-five (25) days after the payment and the exchange of standard warrants, together with the quality assay report issued by a Designated Inspection Agency.</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center"/>
        <w:textAlignment w:val="auto"/>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CHAPTER 4</w:t>
      </w:r>
      <w:r>
        <w:rPr>
          <w:rFonts w:hint="default" w:ascii="Times New Roman" w:hAnsi="Times New Roman" w:eastAsia="宋体" w:cs="Times New Roman"/>
          <w:b/>
          <w:bCs w:val="0"/>
          <w:color w:val="auto"/>
          <w:kern w:val="2"/>
          <w:sz w:val="28"/>
          <w:szCs w:val="28"/>
          <w:lang w:val="en-US" w:eastAsia="zh-CN" w:bidi="ar"/>
        </w:rPr>
        <w:tab/>
      </w:r>
      <w:r>
        <w:rPr>
          <w:rFonts w:hint="default" w:ascii="Times New Roman" w:hAnsi="Times New Roman" w:eastAsia="宋体" w:cs="Times New Roman"/>
          <w:b/>
          <w:bCs w:val="0"/>
          <w:color w:val="auto"/>
          <w:kern w:val="2"/>
          <w:sz w:val="28"/>
          <w:szCs w:val="28"/>
          <w:lang w:val="en-US" w:eastAsia="zh-CN" w:bidi="ar"/>
        </w:rPr>
        <w:t>RISK MANAGEMENT</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25</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minimum trading margin</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a lead futures contract is 5%.</w:t>
      </w:r>
    </w:p>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26</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stage-based trading margin rates</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lead futures are as follows:</w:t>
      </w:r>
    </w:p>
    <w:tbl>
      <w:tblPr>
        <w:tblStyle w:val="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61" w:type="dxa"/>
          <w:left w:w="108" w:type="dxa"/>
          <w:bottom w:w="0" w:type="dxa"/>
          <w:right w:w="24" w:type="dxa"/>
        </w:tblCellMar>
      </w:tblPr>
      <w:tblGrid>
        <w:gridCol w:w="6381"/>
        <w:gridCol w:w="20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Stage of Trading</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
                <w:bCs w:val="0"/>
                <w:kern w:val="2"/>
                <w:sz w:val="28"/>
                <w:szCs w:val="28"/>
              </w:rPr>
            </w:pPr>
            <w:r>
              <w:rPr>
                <w:rFonts w:hint="default" w:ascii="Times New Roman" w:hAnsi="Times New Roman" w:eastAsia="宋体" w:cs="Times New Roman"/>
                <w:b/>
                <w:bCs w:val="0"/>
                <w:color w:val="auto"/>
                <w:kern w:val="2"/>
                <w:sz w:val="28"/>
                <w:szCs w:val="28"/>
                <w:lang w:val="en-US" w:eastAsia="zh-CN" w:bidi="ar"/>
              </w:rPr>
              <w:t>Trading Margin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listing</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the first trading day of the month prior to the delivery month</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the first trading day of the delivery month</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61" w:type="dxa"/>
            <w:left w:w="108" w:type="dxa"/>
            <w:bottom w:w="0" w:type="dxa"/>
            <w:right w:w="24" w:type="dxa"/>
          </w:tblCellMar>
        </w:tblPrEx>
        <w:trPr>
          <w:trHeight w:val="20" w:hRule="atLeast"/>
        </w:trPr>
        <w:tc>
          <w:tcPr>
            <w:tcW w:w="378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As of the second trading day prior to the last trading day</w:t>
            </w:r>
          </w:p>
        </w:tc>
        <w:tc>
          <w:tcPr>
            <w:tcW w:w="1219" w:type="pc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20%</w:t>
            </w: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b/>
          <w:bCs/>
          <w:color w:val="auto"/>
          <w:kern w:val="2"/>
          <w:sz w:val="28"/>
          <w:szCs w:val="28"/>
          <w:lang w:val="en-US" w:eastAsia="zh-CN" w:bidi="ar"/>
        </w:rPr>
        <w:t>Article 27</w:t>
      </w:r>
      <w:r>
        <w:rPr>
          <w:rFonts w:hint="default" w:ascii="Times New Roman" w:hAnsi="Times New Roman" w:eastAsia="宋体" w:cs="Times New Roman"/>
          <w:b/>
          <w:bCs/>
          <w:color w:val="auto"/>
          <w:kern w:val="2"/>
          <w:sz w:val="28"/>
          <w:szCs w:val="28"/>
          <w:lang w:val="en-US" w:eastAsia="zh-CN" w:bidi="ar"/>
        </w:rPr>
        <w:tab/>
      </w:r>
      <w:r>
        <w:rPr>
          <w:rFonts w:hint="eastAsia" w:ascii="Times New Roman" w:hAnsi="Times New Roman" w:eastAsia="宋体" w:cs="Times New Roman"/>
          <w:b/>
          <w:bCs/>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The range of price limit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for a lead futures contract is within ±4% of its settlement price of the preceding trading day.</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val="0"/>
          <w:color w:val="auto"/>
          <w:kern w:val="2"/>
          <w:sz w:val="28"/>
          <w:szCs w:val="28"/>
          <w:lang w:val="en-US" w:eastAsia="zh-CN" w:bidi="ar"/>
        </w:rPr>
        <w:t>Article 28</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Percentage-based Position Limit and </w:t>
      </w:r>
      <w:r>
        <w:rPr>
          <w:rFonts w:hint="default" w:ascii="Times New Roman" w:hAnsi="Times New Roman" w:eastAsia="宋体" w:cs="Times New Roman"/>
          <w:color w:val="auto"/>
          <w:kern w:val="2"/>
          <w:sz w:val="28"/>
          <w:szCs w:val="28"/>
          <w:lang w:val="en-US" w:eastAsia="zh-CN" w:bidi="ar"/>
        </w:rPr>
        <w:t>fixed-amount Position Limit</w:t>
      </w:r>
      <w:r>
        <w:rPr>
          <w:rFonts w:hint="default" w:ascii="Times New Roman" w:hAnsi="Times New Roman" w:eastAsia="宋体" w:cs="Times New Roman"/>
          <w:bCs/>
          <w:color w:val="auto"/>
          <w:kern w:val="2"/>
          <w:sz w:val="28"/>
          <w:szCs w:val="28"/>
          <w:lang w:val="en-US" w:eastAsia="zh-CN" w:bidi="ar"/>
        </w:rPr>
        <w:t xml:space="preserve"> for each</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lead futures contract at different stages of trading are as follows</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(in lots):</w:t>
      </w:r>
    </w:p>
    <w:tbl>
      <w:tblPr>
        <w:tblStyle w:val="5"/>
        <w:tblW w:w="4999"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85"/>
        <w:gridCol w:w="1228"/>
        <w:gridCol w:w="1500"/>
        <w:gridCol w:w="923"/>
        <w:gridCol w:w="1243"/>
        <w:gridCol w:w="825"/>
        <w:gridCol w:w="1231"/>
        <w:gridCol w:w="8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restart"/>
            <w:tcBorders>
              <w:top w:val="single" w:color="auto" w:sz="6" w:space="0"/>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p>
        </w:tc>
        <w:tc>
          <w:tcPr>
            <w:tcW w:w="2183" w:type="pct"/>
            <w:gridSpan w:val="3"/>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From the date of listing to the last trading day of the second month prior to the delivery month</w:t>
            </w:r>
          </w:p>
        </w:tc>
        <w:tc>
          <w:tcPr>
            <w:tcW w:w="12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First month prior to the delivery month</w:t>
            </w:r>
          </w:p>
        </w:tc>
        <w:tc>
          <w:tcPr>
            <w:tcW w:w="1229"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Delivery month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4" w:type="pct"/>
            <w:vMerge w:val="restart"/>
            <w:tcBorders>
              <w:top w:val="nil"/>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Total open</w:t>
            </w:r>
          </w:p>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interest</w:t>
            </w:r>
          </w:p>
        </w:tc>
        <w:tc>
          <w:tcPr>
            <w:tcW w:w="1448" w:type="pct"/>
            <w:gridSpan w:val="2"/>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kern w:val="2"/>
                <w:sz w:val="28"/>
                <w:szCs w:val="28"/>
              </w:rPr>
            </w:pPr>
            <w:r>
              <w:rPr>
                <w:rFonts w:hint="default" w:ascii="Times New Roman" w:hAnsi="Times New Roman" w:eastAsia="宋体" w:cs="Times New Roman"/>
                <w:bCs/>
                <w:color w:val="auto"/>
                <w:kern w:val="2"/>
                <w:sz w:val="28"/>
                <w:szCs w:val="28"/>
                <w:lang w:val="en-US" w:eastAsia="zh-CN" w:bidi="ar"/>
              </w:rPr>
              <w:t xml:space="preserve">Percentage-based Position Limit (%) and </w:t>
            </w:r>
            <w:r>
              <w:rPr>
                <w:rFonts w:hint="default" w:ascii="Times New Roman" w:hAnsi="Times New Roman" w:eastAsia="宋体" w:cs="Times New Roman"/>
                <w:color w:val="auto"/>
                <w:kern w:val="2"/>
                <w:sz w:val="28"/>
                <w:szCs w:val="28"/>
                <w:lang w:val="en-US" w:eastAsia="zh-CN" w:bidi="ar"/>
              </w:rPr>
              <w:t>fixed-amount Position Limit (in lots)</w:t>
            </w:r>
          </w:p>
        </w:tc>
        <w:tc>
          <w:tcPr>
            <w:tcW w:w="1236"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Fixed-amount Position Limit (in lots)</w:t>
            </w:r>
          </w:p>
        </w:tc>
        <w:tc>
          <w:tcPr>
            <w:tcW w:w="1229" w:type="pct"/>
            <w:gridSpan w:val="2"/>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Fixed-amount Position Limit (in lots)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 w:hRule="atLeast"/>
        </w:trPr>
        <w:tc>
          <w:tcPr>
            <w:tcW w:w="350" w:type="pct"/>
            <w:vMerge w:val="continue"/>
            <w:tcBorders>
              <w:top w:val="single" w:color="auto" w:sz="6" w:space="0"/>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4" w:type="pct"/>
            <w:vMerge w:val="continue"/>
            <w:tcBorders>
              <w:top w:val="nil"/>
              <w:left w:val="nil"/>
              <w:bottom w:val="single" w:color="auto" w:sz="6" w:space="0"/>
              <w:right w:val="single" w:color="auto" w:sz="4" w:space="0"/>
            </w:tcBorders>
            <w:noWrap w:val="0"/>
            <w:vAlign w:val="center"/>
          </w:tcPr>
          <w:p>
            <w:pPr>
              <w:rPr>
                <w:rFonts w:hint="default" w:ascii="Times New Roman" w:hAnsi="Times New Roman" w:eastAsia="宋体" w:cs="Times New Roman"/>
                <w:sz w:val="28"/>
                <w:szCs w:val="28"/>
              </w:rPr>
            </w:pP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Non-FF Member</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Client</w:t>
            </w:r>
          </w:p>
        </w:tc>
        <w:tc>
          <w:tcPr>
            <w:tcW w:w="743"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Non-FF Member</w:t>
            </w:r>
          </w:p>
        </w:tc>
        <w:tc>
          <w:tcPr>
            <w:tcW w:w="492"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Client</w:t>
            </w:r>
          </w:p>
        </w:tc>
        <w:tc>
          <w:tcPr>
            <w:tcW w:w="736" w:type="pct"/>
            <w:tcBorders>
              <w:top w:val="single" w:color="auto" w:sz="6" w:space="0"/>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color w:val="auto"/>
                <w:kern w:val="2"/>
                <w:sz w:val="28"/>
                <w:szCs w:val="28"/>
                <w:lang w:val="en-US" w:eastAsia="zh-CN" w:bidi="ar"/>
              </w:rPr>
              <w:t>Non-FF Member</w:t>
            </w:r>
          </w:p>
        </w:tc>
        <w:tc>
          <w:tcPr>
            <w:tcW w:w="493"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Client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32" w:hRule="atLeast"/>
        </w:trPr>
        <w:tc>
          <w:tcPr>
            <w:tcW w:w="350" w:type="pct"/>
            <w:vMerge w:val="restart"/>
            <w:tcBorders>
              <w:top w:val="nil"/>
              <w:left w:val="single" w:color="auto" w:sz="6"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lead</w:t>
            </w:r>
          </w:p>
        </w:tc>
        <w:tc>
          <w:tcPr>
            <w:tcW w:w="73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eastAsia" w:ascii="方正大标宋简体" w:hAnsi="方正大标宋简体" w:eastAsia="方正大标宋简体" w:cs="方正大标宋简体"/>
                <w:bCs/>
                <w:color w:val="auto"/>
                <w:kern w:val="2"/>
                <w:sz w:val="28"/>
                <w:szCs w:val="28"/>
                <w:lang w:val="en-US" w:eastAsia="zh-CN" w:bidi="ar"/>
              </w:rPr>
              <w:t>≥</w:t>
            </w:r>
            <w:r>
              <w:rPr>
                <w:rFonts w:hint="default" w:ascii="Times New Roman" w:hAnsi="Times New Roman" w:eastAsia="宋体" w:cs="Times New Roman"/>
                <w:bCs/>
                <w:color w:val="auto"/>
                <w:kern w:val="2"/>
                <w:sz w:val="28"/>
                <w:szCs w:val="28"/>
                <w:lang w:val="en-US" w:eastAsia="zh-CN" w:bidi="ar"/>
              </w:rPr>
              <w:t>50,000</w:t>
            </w: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10</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10</w:t>
            </w:r>
          </w:p>
        </w:tc>
        <w:tc>
          <w:tcPr>
            <w:tcW w:w="743"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1,800</w:t>
            </w:r>
          </w:p>
        </w:tc>
        <w:tc>
          <w:tcPr>
            <w:tcW w:w="492"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1,800</w:t>
            </w:r>
          </w:p>
        </w:tc>
        <w:tc>
          <w:tcPr>
            <w:tcW w:w="736" w:type="pct"/>
            <w:vMerge w:val="restart"/>
            <w:tcBorders>
              <w:top w:val="nil"/>
              <w:left w:val="single" w:color="auto" w:sz="4" w:space="0"/>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600</w:t>
            </w:r>
          </w:p>
        </w:tc>
        <w:tc>
          <w:tcPr>
            <w:tcW w:w="493" w:type="pct"/>
            <w:vMerge w:val="restart"/>
            <w:tcBorders>
              <w:top w:val="nil"/>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20" w:hRule="atLeast"/>
        </w:trPr>
        <w:tc>
          <w:tcPr>
            <w:tcW w:w="350" w:type="pct"/>
            <w:vMerge w:val="continue"/>
            <w:tcBorders>
              <w:top w:val="nil"/>
              <w:left w:val="single" w:color="auto" w:sz="6"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4" w:type="pct"/>
            <w:tcBorders>
              <w:top w:val="single" w:color="auto" w:sz="6" w:space="0"/>
              <w:left w:val="nil"/>
              <w:bottom w:val="single" w:color="auto" w:sz="6" w:space="0"/>
              <w:right w:val="single" w:color="auto" w:sz="4"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eastAsia" w:ascii="宋体" w:hAnsi="宋体" w:eastAsia="宋体" w:cs="宋体"/>
                <w:bCs/>
                <w:color w:val="auto"/>
                <w:kern w:val="2"/>
                <w:sz w:val="28"/>
                <w:szCs w:val="28"/>
                <w:lang w:val="en-US" w:eastAsia="zh-CN" w:bidi="ar"/>
              </w:rPr>
              <w:t>＜</w:t>
            </w:r>
            <w:r>
              <w:rPr>
                <w:rFonts w:hint="default" w:ascii="Times New Roman" w:hAnsi="Times New Roman" w:eastAsia="宋体" w:cs="Times New Roman"/>
                <w:bCs/>
                <w:color w:val="auto"/>
                <w:kern w:val="2"/>
                <w:sz w:val="28"/>
                <w:szCs w:val="28"/>
                <w:lang w:val="en-US" w:eastAsia="zh-CN" w:bidi="ar"/>
              </w:rPr>
              <w:t>50,000</w:t>
            </w:r>
          </w:p>
        </w:tc>
        <w:tc>
          <w:tcPr>
            <w:tcW w:w="897"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5,000</w:t>
            </w:r>
          </w:p>
        </w:tc>
        <w:tc>
          <w:tcPr>
            <w:tcW w:w="551" w:type="pct"/>
            <w:tcBorders>
              <w:top w:val="single" w:color="auto" w:sz="6" w:space="0"/>
              <w:left w:val="nil"/>
              <w:bottom w:val="single" w:color="auto" w:sz="6" w:space="0"/>
              <w:right w:val="single" w:color="auto" w:sz="6" w:space="0"/>
            </w:tcBorders>
            <w:noWrap w:val="0"/>
            <w:vAlign w:val="center"/>
          </w:tcPr>
          <w:p>
            <w:pPr>
              <w:keepNext w:val="0"/>
              <w:keepLines w:val="0"/>
              <w:widowControl/>
              <w:suppressLineNumbers w:val="0"/>
              <w:adjustRightInd w:val="0"/>
              <w:snapToGrid w:val="0"/>
              <w:spacing w:before="0" w:beforeAutospacing="0" w:after="240" w:afterLines="100" w:afterAutospacing="0" w:line="273" w:lineRule="auto"/>
              <w:ind w:left="0" w:right="0"/>
              <w:jc w:val="left"/>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5,000</w:t>
            </w:r>
          </w:p>
        </w:tc>
        <w:tc>
          <w:tcPr>
            <w:tcW w:w="743"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492"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736" w:type="pct"/>
            <w:vMerge w:val="continue"/>
            <w:tcBorders>
              <w:top w:val="nil"/>
              <w:left w:val="single" w:color="auto" w:sz="4" w:space="0"/>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c>
          <w:tcPr>
            <w:tcW w:w="493" w:type="pct"/>
            <w:vMerge w:val="continue"/>
            <w:tcBorders>
              <w:top w:val="nil"/>
              <w:left w:val="nil"/>
              <w:bottom w:val="single" w:color="auto" w:sz="6" w:space="0"/>
              <w:right w:val="single" w:color="auto" w:sz="6" w:space="0"/>
            </w:tcBorders>
            <w:noWrap w:val="0"/>
            <w:vAlign w:val="center"/>
          </w:tcPr>
          <w:p>
            <w:pPr>
              <w:rPr>
                <w:rFonts w:hint="default" w:ascii="Times New Roman" w:hAnsi="Times New Roman" w:eastAsia="宋体" w:cs="Times New Roman"/>
                <w:sz w:val="28"/>
                <w:szCs w:val="28"/>
              </w:rPr>
            </w:pPr>
          </w:p>
        </w:tc>
      </w:tr>
    </w:tbl>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kern w:val="2"/>
          <w:sz w:val="28"/>
          <w:szCs w:val="28"/>
        </w:rPr>
      </w:pPr>
      <w:r>
        <w:rPr>
          <w:rFonts w:hint="default" w:ascii="Times New Roman" w:hAnsi="Times New Roman" w:eastAsia="宋体" w:cs="Times New Roman"/>
          <w:color w:val="auto"/>
          <w:kern w:val="2"/>
          <w:sz w:val="28"/>
          <w:szCs w:val="28"/>
          <w:lang w:val="en-US" w:eastAsia="zh-CN" w:bidi="ar"/>
        </w:rPr>
        <w:t>Note: total open interest and the fixed-amount Position Limit are based on long or short</w:t>
      </w:r>
      <w:r>
        <w:rPr>
          <w:rFonts w:hint="eastAsia"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positions.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val="0"/>
          <w:color w:val="auto"/>
          <w:kern w:val="2"/>
          <w:sz w:val="28"/>
          <w:szCs w:val="28"/>
          <w:lang w:val="en-US" w:eastAsia="zh-CN" w:bidi="ar"/>
        </w:rPr>
        <w:t>Article 29</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For contracts in lead futures, by the close of the last trading day of the month prior to the delivery month, </w:t>
      </w:r>
      <w:r>
        <w:rPr>
          <w:rFonts w:hint="default" w:ascii="Times New Roman" w:hAnsi="Times New Roman" w:eastAsia="宋体" w:cs="Times New Roman"/>
          <w:bCs/>
          <w:color w:val="auto"/>
          <w:kern w:val="0"/>
          <w:sz w:val="28"/>
          <w:szCs w:val="28"/>
          <w:lang w:val="en-US" w:eastAsia="zh-CN" w:bidi="ar"/>
        </w:rPr>
        <w:t xml:space="preserve">each Trader (referring here and hereinafter to a Client, a Non-Futures Firm Member) </w:t>
      </w:r>
      <w:r>
        <w:rPr>
          <w:rFonts w:hint="default" w:ascii="Times New Roman" w:hAnsi="Times New Roman" w:eastAsia="宋体" w:cs="Times New Roman"/>
          <w:bCs/>
          <w:color w:val="auto"/>
          <w:kern w:val="2"/>
          <w:sz w:val="28"/>
          <w:szCs w:val="28"/>
          <w:lang w:val="en-US" w:eastAsia="zh-CN" w:bidi="ar"/>
        </w:rPr>
        <w:t xml:space="preserve">shall adjust </w:t>
      </w:r>
      <w:r>
        <w:rPr>
          <w:rFonts w:hint="default" w:ascii="Times New Roman" w:hAnsi="Times New Roman" w:eastAsia="宋体" w:cs="Times New Roman"/>
          <w:bCs/>
          <w:color w:val="auto"/>
          <w:kern w:val="0"/>
          <w:sz w:val="28"/>
          <w:szCs w:val="28"/>
          <w:lang w:val="en-US" w:eastAsia="zh-CN" w:bidi="ar"/>
        </w:rPr>
        <w:t xml:space="preserve">its general </w:t>
      </w:r>
      <w:r>
        <w:rPr>
          <w:rFonts w:hint="default" w:ascii="Times New Roman" w:hAnsi="Times New Roman" w:eastAsia="宋体" w:cs="Times New Roman"/>
          <w:bCs/>
          <w:color w:val="auto"/>
          <w:kern w:val="2"/>
          <w:sz w:val="28"/>
          <w:szCs w:val="28"/>
          <w:lang w:val="en-US" w:eastAsia="zh-CN" w:bidi="ar"/>
        </w:rPr>
        <w:t>positions held under its trading code, to multiples of five (5) lots and a one-day delay is allowed under special market conditions; in the delivery month,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as well as newly opened and closed-out positions shall be held in multiples of five (5) lots.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val="0"/>
          <w:color w:val="auto"/>
          <w:kern w:val="2"/>
          <w:sz w:val="28"/>
          <w:szCs w:val="28"/>
          <w:lang w:val="en-US" w:eastAsia="zh-CN" w:bidi="ar"/>
        </w:rPr>
        <w:t>Article 30</w:t>
      </w:r>
      <w:r>
        <w:rPr>
          <w:rFonts w:hint="eastAsia" w:ascii="Times New Roman" w:hAnsi="Times New Roman" w:eastAsia="宋体" w:cs="Times New Roman"/>
          <w:b/>
          <w:bCs w:val="0"/>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If the Exchange makes a forced position reduction</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to a lead futures contract,</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the amount of the unfilled orders subject to the order fill, positions eligible to fill the unfilled orders</w:t>
      </w:r>
      <w:r>
        <w:rPr>
          <w:rFonts w:hint="default" w:ascii="Times New Roman" w:hAnsi="Times New Roman" w:eastAsia="宋体" w:cs="Times New Roman"/>
          <w:bCs/>
          <w:color w:val="auto"/>
          <w:kern w:val="0"/>
          <w:sz w:val="28"/>
          <w:szCs w:val="28"/>
          <w:lang w:val="en-US" w:eastAsia="zh-CN" w:bidi="ar"/>
        </w:rPr>
        <w:t xml:space="preserve"> of a Trader</w:t>
      </w:r>
      <w:r>
        <w:rPr>
          <w:rFonts w:hint="default" w:ascii="Times New Roman" w:hAnsi="Times New Roman" w:eastAsia="宋体" w:cs="Times New Roman"/>
          <w:bCs/>
          <w:color w:val="auto"/>
          <w:kern w:val="2"/>
          <w:sz w:val="28"/>
          <w:szCs w:val="28"/>
          <w:lang w:val="en-US" w:eastAsia="zh-CN" w:bidi="ar"/>
        </w:rPr>
        <w:t>, and the principles and methods for the order fill of unfilled orders</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shall be determined as follows: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Amount of the unfilled orders subject to the order fill. The term “amount of unfilled orders subject to the order fill” means the total amount of all the unfilled orders submitted after the close of the base date at the limit price into the central order book by each</w:t>
      </w:r>
      <w:r>
        <w:rPr>
          <w:rFonts w:hint="default" w:ascii="Times New Roman" w:hAnsi="Times New Roman" w:eastAsia="宋体" w:cs="Times New Roman"/>
          <w:bCs/>
          <w:color w:val="auto"/>
          <w:kern w:val="0"/>
          <w:sz w:val="28"/>
          <w:szCs w:val="28"/>
          <w:lang w:val="en-US" w:eastAsia="zh-CN" w:bidi="ar"/>
        </w:rPr>
        <w:t xml:space="preserve"> Trader</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who has incurred losses on net positions in the contract of an average level of no less than six percent (6%)</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for lead futures contracts, of the settlement price of the base date.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(ii)</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Positions eligible to fill the unfilled orders</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of a Trader. The positions eligible to fill the unfilled orders include the net positions, on which the</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as calculated using the above formula</w:t>
      </w:r>
      <w:r>
        <w:rPr>
          <w:rFonts w:hint="default" w:ascii="Times New Roman" w:hAnsi="Times New Roman" w:eastAsia="宋体" w:cs="Times New Roman"/>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stipulated in the Risk Management Rules of the Shanghai Futures Exchange, records average gains for</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purposes or for hedging purposes at no less than six percent (6%)</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of the settlement price of the base date.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(iii)</w:t>
      </w:r>
      <w:r>
        <w:rPr>
          <w:rFonts w:hint="default"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Principles for the order fill of unfilled orders. The order fill of unfilled orders shall take place in the order of the following four levels with regard to the amount of gains and whether such positions are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or hedging: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1: Unfilled orders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eligible to fill the unfilled orders of any</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less than six percent (6%) of the settlement price on the base date for the contracts in lead futures, or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2: Unfilled orders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eligible to fill the unfilled orders of any</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less than three percent (3%) but no more than six percent (6%) of the settlement price on the base date for contracts with respect to lead futures, or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3%;</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3: Unfilled orders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eligible to fill the unfilled orders of a</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more than three percent (3%) of the settlement price on the base date for contracts in lead futures, or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w:t>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Gains Below 3%; and</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Level 4: Unfilled orders shall be filled with the hedging positions eligible to fill the unfilled orders of a</w:t>
      </w:r>
      <w:r>
        <w:rPr>
          <w:rFonts w:hint="default" w:ascii="Times New Roman" w:hAnsi="Times New Roman" w:eastAsia="宋体" w:cs="Times New Roman"/>
          <w:bCs/>
          <w:color w:val="auto"/>
          <w:kern w:val="0"/>
          <w:sz w:val="28"/>
          <w:szCs w:val="28"/>
          <w:lang w:val="en-US" w:eastAsia="zh-CN" w:bidi="ar"/>
        </w:rPr>
        <w:t xml:space="preserve"> Trader</w:t>
      </w:r>
      <w:r>
        <w:rPr>
          <w:rFonts w:hint="default" w:ascii="Times New Roman" w:hAnsi="Times New Roman" w:eastAsia="宋体" w:cs="Times New Roman"/>
          <w:bCs/>
          <w:color w:val="auto"/>
          <w:kern w:val="2"/>
          <w:sz w:val="28"/>
          <w:szCs w:val="28"/>
          <w:lang w:val="en-US" w:eastAsia="zh-CN" w:bidi="ar"/>
        </w:rPr>
        <w:t xml:space="preserve"> with average gains on net positions of no less than six percent (6%) of the settlement price on the base date for contracts in lead futures, or the Hedging Position Gains of Over 6%.</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Cs/>
          <w:color w:val="auto"/>
          <w:kern w:val="2"/>
          <w:sz w:val="28"/>
          <w:szCs w:val="28"/>
          <w:lang w:val="en-US" w:eastAsia="zh-CN" w:bidi="ar"/>
        </w:rPr>
        <w:t>(iv)</w:t>
      </w:r>
      <w:r>
        <w:rPr>
          <w:rFonts w:hint="eastAsia" w:ascii="Times New Roman" w:hAnsi="Times New Roman" w:eastAsia="宋体" w:cs="Times New Roman"/>
          <w:bCs/>
          <w:color w:val="auto"/>
          <w:kern w:val="2"/>
          <w:sz w:val="28"/>
          <w:szCs w:val="28"/>
          <w:lang w:val="en-US" w:eastAsia="zh-CN" w:bidi="ar"/>
        </w:rPr>
        <w:tab/>
      </w:r>
      <w:r>
        <w:rPr>
          <w:rFonts w:hint="default" w:ascii="Times New Roman" w:hAnsi="Times New Roman" w:eastAsia="宋体" w:cs="Times New Roman"/>
          <w:bCs/>
          <w:color w:val="auto"/>
          <w:kern w:val="2"/>
          <w:sz w:val="28"/>
          <w:szCs w:val="28"/>
          <w:lang w:val="en-US" w:eastAsia="zh-CN" w:bidi="ar"/>
        </w:rPr>
        <w:t>Methods for the order fill of unfilled orders. If the amount of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is greater than or equal to that of the unfilled orders, the unfilled orders shall be filled pro rata to the amount of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If the amount of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is smaller than that of the unfilled orders,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Over 6% shall be filled pro rata to the amount of the unfilled orders. The residual unfilled orders, if any, shall be filled with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Positions Gains of Over 3% in the same manner as the foregoing, and if there are still orders remaining, the outstanding unfilled orders shall be filled to the</w:t>
      </w:r>
      <w:r>
        <w:rPr>
          <w:rFonts w:hint="default" w:ascii="Times New Roman" w:hAnsi="Times New Roman" w:eastAsia="宋体" w:cs="Times New Roman"/>
          <w:bCs/>
          <w:color w:val="auto"/>
          <w:kern w:val="0"/>
          <w:sz w:val="28"/>
          <w:szCs w:val="28"/>
          <w:lang w:val="en-US" w:eastAsia="zh-CN" w:bidi="ar"/>
        </w:rPr>
        <w:t xml:space="preserve"> General</w:t>
      </w:r>
      <w:r>
        <w:rPr>
          <w:rFonts w:hint="default" w:ascii="Times New Roman" w:hAnsi="Times New Roman" w:eastAsia="宋体" w:cs="Times New Roman"/>
          <w:bCs/>
          <w:color w:val="auto"/>
          <w:kern w:val="2"/>
          <w:sz w:val="28"/>
          <w:szCs w:val="28"/>
          <w:lang w:val="en-US" w:eastAsia="zh-CN" w:bidi="ar"/>
        </w:rPr>
        <w:t xml:space="preserve"> Position Gains of Below 3%, and so to the Hedging Position Gains of Over 6%. Unfilled orders which eventually remain after all the order fills described above, if any, shall not be filled at all.</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center"/>
        <w:textAlignment w:val="auto"/>
        <w:rPr>
          <w:rFonts w:hint="default" w:ascii="Times New Roman" w:hAnsi="Times New Roman" w:eastAsia="宋体" w:cs="Times New Roman"/>
          <w:b/>
          <w:bCs/>
          <w:kern w:val="2"/>
          <w:sz w:val="28"/>
          <w:szCs w:val="28"/>
        </w:rPr>
      </w:pPr>
      <w:r>
        <w:rPr>
          <w:rFonts w:hint="default" w:ascii="Times New Roman" w:hAnsi="Times New Roman" w:eastAsia="宋体" w:cs="Times New Roman"/>
          <w:b/>
          <w:bCs w:val="0"/>
          <w:color w:val="auto"/>
          <w:kern w:val="2"/>
          <w:sz w:val="28"/>
          <w:szCs w:val="28"/>
          <w:lang w:val="en-US" w:eastAsia="zh-CN" w:bidi="ar"/>
        </w:rPr>
        <w:t>CHAPTER 5</w:t>
      </w:r>
      <w:r>
        <w:rPr>
          <w:rFonts w:hint="default" w:ascii="Times New Roman" w:hAnsi="Times New Roman" w:eastAsia="宋体" w:cs="Times New Roman"/>
          <w:b/>
          <w:bCs/>
          <w:color w:val="auto"/>
          <w:kern w:val="2"/>
          <w:sz w:val="28"/>
          <w:szCs w:val="28"/>
          <w:lang w:val="en-US" w:eastAsia="zh-CN" w:bidi="ar"/>
        </w:rPr>
        <w:tab/>
      </w:r>
      <w:r>
        <w:rPr>
          <w:rFonts w:hint="default" w:ascii="Times New Roman" w:hAnsi="Times New Roman" w:eastAsia="宋体" w:cs="Times New Roman"/>
          <w:b/>
          <w:bCs/>
          <w:color w:val="auto"/>
          <w:kern w:val="2"/>
          <w:sz w:val="28"/>
          <w:szCs w:val="28"/>
          <w:lang w:val="en-US" w:eastAsia="zh-CN" w:bidi="ar"/>
        </w:rPr>
        <w:t>MISCELLANEOUS</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iCs/>
          <w:kern w:val="2"/>
          <w:sz w:val="28"/>
          <w:szCs w:val="28"/>
        </w:rPr>
      </w:pPr>
      <w:r>
        <w:rPr>
          <w:rFonts w:hint="default" w:ascii="Times New Roman" w:hAnsi="Times New Roman" w:eastAsia="宋体" w:cs="Times New Roman"/>
          <w:b/>
          <w:bCs/>
          <w:color w:val="auto"/>
          <w:kern w:val="2"/>
          <w:sz w:val="28"/>
          <w:szCs w:val="28"/>
          <w:lang w:val="en-US" w:eastAsia="zh-CN" w:bidi="ar"/>
        </w:rPr>
        <w:t>Article 31</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Matters not covered herein </w:t>
      </w:r>
      <w:r>
        <w:rPr>
          <w:rFonts w:hint="default" w:ascii="Times New Roman" w:hAnsi="Times New Roman" w:eastAsia="宋体" w:cs="Times New Roman"/>
          <w:iCs/>
          <w:color w:val="auto"/>
          <w:kern w:val="2"/>
          <w:sz w:val="28"/>
          <w:szCs w:val="28"/>
          <w:lang w:val="en-US" w:eastAsia="zh-CN" w:bidi="ar"/>
        </w:rPr>
        <w:t>shall be governed by the applicable business rules of the Exchange.</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color w:val="auto"/>
          <w:kern w:val="2"/>
          <w:sz w:val="28"/>
          <w:szCs w:val="28"/>
          <w:lang w:val="en-US" w:eastAsia="zh-CN" w:bidi="ar"/>
        </w:rPr>
        <w:t>Article 32</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等线" w:cs="Times New Roman"/>
          <w:color w:val="auto"/>
          <w:kern w:val="22"/>
          <w:sz w:val="28"/>
          <w:szCs w:val="28"/>
          <w:lang w:val="en-US" w:eastAsia="zh-CN" w:bidi="ar"/>
        </w:rPr>
        <w:t xml:space="preserve">Any violations of these </w:t>
      </w:r>
      <w:r>
        <w:rPr>
          <w:rFonts w:hint="default" w:ascii="Times New Roman" w:hAnsi="Times New Roman" w:eastAsia="宋体" w:cs="Times New Roman"/>
          <w:i/>
          <w:iCs w:val="0"/>
          <w:color w:val="auto"/>
          <w:kern w:val="2"/>
          <w:sz w:val="28"/>
          <w:szCs w:val="28"/>
          <w:lang w:val="en-US" w:eastAsia="zh-CN" w:bidi="ar"/>
        </w:rPr>
        <w:t>Lead Futures Rules</w:t>
      </w:r>
      <w:r>
        <w:rPr>
          <w:rFonts w:hint="default" w:ascii="Times New Roman" w:hAnsi="Times New Roman" w:eastAsia="等线" w:cs="Times New Roman"/>
          <w:i/>
          <w:iCs/>
          <w:color w:val="auto"/>
          <w:kern w:val="22"/>
          <w:sz w:val="28"/>
          <w:szCs w:val="28"/>
          <w:lang w:val="en-US" w:eastAsia="zh-CN" w:bidi="ar"/>
        </w:rPr>
        <w:t xml:space="preserve"> </w:t>
      </w:r>
      <w:r>
        <w:rPr>
          <w:rFonts w:hint="default" w:ascii="Times New Roman" w:hAnsi="Times New Roman" w:eastAsia="宋体" w:cs="Times New Roman"/>
          <w:color w:val="auto"/>
          <w:kern w:val="2"/>
          <w:sz w:val="28"/>
          <w:szCs w:val="28"/>
          <w:lang w:val="en-US" w:eastAsia="zh-CN" w:bidi="ar"/>
        </w:rPr>
        <w:t xml:space="preserve">will be handled by the Exchange in accordance with the </w:t>
      </w:r>
      <w:r>
        <w:rPr>
          <w:rFonts w:hint="default" w:ascii="Times New Roman" w:hAnsi="Times New Roman" w:eastAsia="宋体" w:cs="Times New Roman"/>
          <w:i/>
          <w:iCs/>
          <w:color w:val="auto"/>
          <w:kern w:val="2"/>
          <w:sz w:val="28"/>
          <w:szCs w:val="28"/>
          <w:lang w:val="en-US" w:eastAsia="zh-CN" w:bidi="ar"/>
        </w:rPr>
        <w:t>Enforcement Rules of the Shanghai Futures Exchange</w:t>
      </w:r>
      <w:r>
        <w:rPr>
          <w:rFonts w:hint="default" w:ascii="Times New Roman" w:hAnsi="Times New Roman" w:eastAsia="宋体" w:cs="Times New Roman"/>
          <w:color w:val="auto"/>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bCs/>
          <w:kern w:val="2"/>
          <w:sz w:val="28"/>
          <w:szCs w:val="28"/>
        </w:rPr>
      </w:pPr>
      <w:r>
        <w:rPr>
          <w:rFonts w:hint="default" w:ascii="Times New Roman" w:hAnsi="Times New Roman" w:eastAsia="宋体" w:cs="Times New Roman"/>
          <w:b/>
          <w:bCs/>
          <w:color w:val="auto"/>
          <w:kern w:val="2"/>
          <w:sz w:val="28"/>
          <w:szCs w:val="28"/>
          <w:lang w:val="en-US" w:eastAsia="zh-CN" w:bidi="ar"/>
        </w:rPr>
        <w:t>Article 33</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宋体" w:cs="Times New Roman"/>
          <w:bCs/>
          <w:color w:val="auto"/>
          <w:kern w:val="2"/>
          <w:sz w:val="28"/>
          <w:szCs w:val="28"/>
          <w:lang w:val="en-US" w:eastAsia="zh-CN" w:bidi="ar"/>
        </w:rPr>
        <w:t xml:space="preserve">The Exchange reserves the right to interpret these </w:t>
      </w:r>
      <w:r>
        <w:rPr>
          <w:rFonts w:hint="default" w:ascii="Times New Roman" w:hAnsi="Times New Roman" w:eastAsia="宋体" w:cs="Times New Roman"/>
          <w:i/>
          <w:iCs w:val="0"/>
          <w:color w:val="auto"/>
          <w:kern w:val="2"/>
          <w:sz w:val="28"/>
          <w:szCs w:val="28"/>
          <w:lang w:val="en-US" w:eastAsia="zh-CN" w:bidi="ar"/>
        </w:rPr>
        <w:t>Lead Futures Rules</w:t>
      </w:r>
      <w:r>
        <w:rPr>
          <w:rFonts w:hint="default" w:ascii="Times New Roman" w:hAnsi="Times New Roman" w:eastAsia="宋体" w:cs="Times New Roman"/>
          <w:bCs/>
          <w:color w:val="auto"/>
          <w:kern w:val="2"/>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val="0"/>
        <w:snapToGrid w:val="0"/>
        <w:spacing w:before="0" w:beforeAutospacing="0" w:afterAutospacing="0" w:line="560" w:lineRule="exact"/>
        <w:ind w:left="0" w:right="0"/>
        <w:jc w:val="left"/>
        <w:textAlignment w:val="auto"/>
        <w:rPr>
          <w:rFonts w:hint="default" w:ascii="Times New Roman" w:hAnsi="Times New Roman" w:eastAsia="宋体" w:cs="Times New Roman"/>
          <w:color w:val="auto"/>
          <w:kern w:val="2"/>
          <w:sz w:val="28"/>
          <w:szCs w:val="28"/>
          <w:lang w:val="en-US" w:eastAsia="zh-CN" w:bidi="ar"/>
        </w:rPr>
      </w:pPr>
      <w:r>
        <w:rPr>
          <w:rFonts w:hint="default" w:ascii="Times New Roman" w:hAnsi="Times New Roman" w:eastAsia="宋体" w:cs="Times New Roman"/>
          <w:b/>
          <w:bCs/>
          <w:color w:val="auto"/>
          <w:kern w:val="2"/>
          <w:sz w:val="28"/>
          <w:szCs w:val="28"/>
          <w:lang w:val="en-US" w:eastAsia="zh-CN" w:bidi="ar"/>
        </w:rPr>
        <w:t>Article 34</w:t>
      </w:r>
      <w:r>
        <w:rPr>
          <w:rFonts w:hint="default" w:ascii="Times New Roman" w:hAnsi="Times New Roman" w:eastAsia="宋体" w:cs="Times New Roman"/>
          <w:bCs/>
          <w:color w:val="auto"/>
          <w:kern w:val="2"/>
          <w:sz w:val="28"/>
          <w:szCs w:val="28"/>
          <w:lang w:val="en-US" w:eastAsia="zh-CN" w:bidi="ar"/>
        </w:rPr>
        <w:tab/>
      </w:r>
      <w:r>
        <w:rPr>
          <w:rFonts w:hint="eastAsia" w:ascii="Times New Roman" w:hAnsi="Times New Roman" w:eastAsia="宋体" w:cs="Times New Roman"/>
          <w:bCs/>
          <w:color w:val="auto"/>
          <w:kern w:val="2"/>
          <w:sz w:val="28"/>
          <w:szCs w:val="28"/>
          <w:lang w:val="en-US" w:eastAsia="zh-CN" w:bidi="ar"/>
        </w:rPr>
        <w:t xml:space="preserve"> </w:t>
      </w:r>
      <w:r>
        <w:rPr>
          <w:rFonts w:hint="default" w:ascii="Times New Roman" w:hAnsi="Times New Roman" w:eastAsia="方正仿宋简体" w:cs="Times New Roman"/>
          <w:b w:val="0"/>
          <w:bCs/>
          <w:sz w:val="28"/>
          <w:szCs w:val="28"/>
        </w:rPr>
        <w:t xml:space="preserve">These Lead Futures Rules take effect on </w:t>
      </w:r>
      <w:r>
        <w:rPr>
          <w:rFonts w:hint="eastAsia" w:ascii="Times New Roman" w:hAnsi="Times New Roman" w:eastAsia="方正仿宋简体" w:cs="Times New Roman"/>
          <w:b/>
          <w:bCs w:val="0"/>
          <w:dstrike w:val="0"/>
          <w:color w:val="FF0000"/>
          <w:sz w:val="28"/>
          <w:szCs w:val="28"/>
          <w:shd w:val="clear" w:color="FFFFFF" w:fill="D9D9D9"/>
          <w:lang w:val="en-US" w:eastAsia="zh-CN"/>
        </w:rPr>
        <w:t>March 17,</w:t>
      </w:r>
      <w:r>
        <w:rPr>
          <w:rFonts w:hint="default" w:ascii="Times New Roman" w:hAnsi="Times New Roman" w:eastAsia="方正仿宋简体" w:cs="Times New Roman"/>
          <w:b w:val="0"/>
          <w:bCs/>
          <w:strike w:val="0"/>
          <w:dstrike w:val="0"/>
          <w:sz w:val="28"/>
          <w:szCs w:val="28"/>
        </w:rPr>
        <w:t xml:space="preserve"> 2026</w:t>
      </w:r>
      <w:r>
        <w:rPr>
          <w:rFonts w:hint="default" w:ascii="Times New Roman" w:hAnsi="Times New Roman" w:eastAsia="宋体" w:cs="Times New Roman"/>
          <w:color w:val="auto"/>
          <w:kern w:val="2"/>
          <w:sz w:val="28"/>
          <w:szCs w:val="28"/>
          <w:lang w:val="en-US" w:eastAsia="zh-CN" w:bidi="ar"/>
        </w:rPr>
        <w:t>.</w:t>
      </w:r>
    </w:p>
    <w:p>
      <w:pPr>
        <w:keepNext w:val="0"/>
        <w:keepLines w:val="0"/>
        <w:pageBreakBefore w:val="0"/>
        <w:kinsoku/>
        <w:wordWrap/>
        <w:overflowPunct/>
        <w:topLinePunct w:val="0"/>
        <w:autoSpaceDE/>
        <w:autoSpaceDN/>
        <w:bidi w:val="0"/>
        <w:adjustRightInd w:val="0"/>
        <w:snapToGrid w:val="0"/>
        <w:spacing w:line="560" w:lineRule="exact"/>
        <w:jc w:val="left"/>
        <w:textAlignment w:val="auto"/>
        <w:rPr>
          <w:sz w:val="30"/>
          <w:szCs w:val="30"/>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panose1 w:val="02000000000000000000"/>
    <w:charset w:val="86"/>
    <w:family w:val="auto"/>
    <w:pitch w:val="default"/>
    <w:sig w:usb0="00000001" w:usb1="08000000" w:usb2="00000000" w:usb3="00000000" w:csb0="00040000" w:csb1="00000000"/>
  </w:font>
  <w:font w:name="方正大标宋简体">
    <w:panose1 w:val="02000000000000000000"/>
    <w:charset w:val="86"/>
    <w:family w:val="auto"/>
    <w:pitch w:val="default"/>
    <w:sig w:usb0="00000001" w:usb1="0800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BF5107"/>
    <w:rsid w:val="FBBF5107"/>
    <w:rsid w:val="FED59D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2026-02-26T22:15:00Z</dcterms:created>
  <dc:creator>ji.shuoren</dc:creator>
  <cp:lastModifiedBy>ji.shuoren</cp:lastModifiedBy>
  <cp:lastPrinted>2026-03-03T09:57:16Z</cp:lastPrinted>
  <dcterms:modified xsi:type="dcterms:W3CDTF">2026-03-03T10:20:51Z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C4F020A03B82572714E59F694B4C0A8D</vt:lpwstr>
  </property>
</Properties>
</file>