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line="600" w:lineRule="exact"/>
        <w:rPr>
          <w:rFonts w:ascii="Times New Roman" w:hAnsi="Times New Roman" w:eastAsia="等线" w:cs="Times New Roman"/>
          <w:bCs/>
          <w:sz w:val="28"/>
          <w:szCs w:val="28"/>
        </w:rPr>
      </w:pPr>
      <w:bookmarkStart w:id="1" w:name="_GoBack"/>
      <w:bookmarkEnd w:id="1"/>
      <w:r>
        <w:rPr>
          <w:rFonts w:ascii="Times New Roman" w:hAnsi="Times New Roman" w:eastAsia="等线" w:cs="Times New Roman"/>
          <w:bCs/>
          <w:sz w:val="28"/>
          <w:szCs w:val="28"/>
        </w:rPr>
        <w:t>Attachment</w:t>
      </w:r>
    </w:p>
    <w:p>
      <w:pPr>
        <w:spacing w:before="240" w:line="600" w:lineRule="exact"/>
        <w:rPr>
          <w:rFonts w:hint="eastAsia" w:eastAsia="方正仿宋简体"/>
          <w:kern w:val="0"/>
          <w:sz w:val="30"/>
          <w:szCs w:val="30"/>
        </w:rPr>
      </w:pPr>
    </w:p>
    <w:p>
      <w:pPr>
        <w:spacing w:after="312" w:afterLines="100" w:line="276" w:lineRule="auto"/>
        <w:rPr>
          <w:rFonts w:ascii="Times New Roman" w:hAnsi="Times New Roman" w:eastAsia="等线" w:cs="Times New Roman"/>
          <w:b/>
          <w:sz w:val="28"/>
          <w:szCs w:val="28"/>
        </w:rPr>
      </w:pPr>
      <w:r>
        <w:rPr>
          <w:rFonts w:ascii="等线" w:hAnsi="等线" w:eastAsia="方正仿宋简体" w:cs="Times New Roman"/>
          <w:i/>
          <w:sz w:val="30"/>
          <w:szCs w:val="30"/>
        </w:rPr>
        <w:t>The guidelines of the Shanghai Futures Exchange are made in Chinese. The English version of such guidelines is for reference only and shall have no legal effect.</w:t>
      </w:r>
    </w:p>
    <w:p>
      <w:pPr>
        <w:spacing w:after="312" w:afterLines="100" w:line="276" w:lineRule="auto"/>
        <w:rPr>
          <w:rFonts w:ascii="Times New Roman" w:hAnsi="Times New Roman" w:eastAsia="等线" w:cs="Times New Roman"/>
          <w:b/>
          <w:sz w:val="28"/>
          <w:szCs w:val="28"/>
        </w:rPr>
      </w:pPr>
      <w:r>
        <w:rPr>
          <w:rFonts w:ascii="Times New Roman" w:hAnsi="Times New Roman" w:eastAsia="等线" w:cs="Times New Roman"/>
          <w:b/>
          <w:sz w:val="28"/>
          <w:szCs w:val="28"/>
        </w:rPr>
        <w:t xml:space="preserve">Operational Guidelines for the Futures Trading </w:t>
      </w:r>
      <w:r>
        <w:rPr>
          <w:rFonts w:ascii="Times New Roman" w:hAnsi="Times New Roman" w:eastAsia="等线" w:cs="Times New Roman"/>
          <w:b/>
          <w:sz w:val="28"/>
        </w:rPr>
        <w:t>Participant</w:t>
      </w:r>
      <w:r>
        <w:rPr>
          <w:rFonts w:ascii="Times New Roman" w:hAnsi="Times New Roman" w:eastAsia="等线" w:cs="Times New Roman"/>
          <w:b/>
          <w:sz w:val="28"/>
          <w:szCs w:val="28"/>
        </w:rPr>
        <w:t xml:space="preserve">  Eligibility Rules of the Shanghai </w:t>
      </w:r>
      <w:r>
        <w:rPr>
          <w:rFonts w:hint="eastAsia" w:ascii="Times New Roman" w:hAnsi="Times New Roman" w:eastAsia="等线" w:cs="Times New Roman"/>
          <w:b/>
          <w:sz w:val="28"/>
          <w:szCs w:val="28"/>
        </w:rPr>
        <w:t>Futures</w:t>
      </w:r>
      <w:r>
        <w:rPr>
          <w:rFonts w:ascii="Times New Roman" w:hAnsi="Times New Roman" w:eastAsia="等线" w:cs="Times New Roman"/>
          <w:b/>
          <w:sz w:val="28"/>
          <w:szCs w:val="28"/>
        </w:rPr>
        <w:t xml:space="preserve"> Exchange</w:t>
      </w:r>
    </w:p>
    <w:p>
      <w:pPr>
        <w:spacing w:after="312" w:afterLines="100" w:line="276" w:lineRule="auto"/>
        <w:rPr>
          <w:rFonts w:ascii="Times New Roman" w:hAnsi="Times New Roman" w:eastAsia="等线" w:cs="Times New Roman"/>
        </w:rPr>
      </w:pPr>
      <w:r>
        <w:rPr>
          <w:rFonts w:ascii="Times New Roman" w:hAnsi="Times New Roman" w:eastAsia="等线" w:cs="Times New Roman"/>
        </w:rPr>
        <w:t xml:space="preserve">These </w:t>
      </w:r>
      <w:r>
        <w:rPr>
          <w:rFonts w:ascii="Times New Roman" w:hAnsi="Times New Roman" w:eastAsia="等线" w:cs="Times New Roman"/>
          <w:i/>
        </w:rPr>
        <w:t>Guidelines</w:t>
      </w:r>
      <w:r>
        <w:rPr>
          <w:rFonts w:ascii="Times New Roman" w:hAnsi="Times New Roman" w:eastAsia="等线" w:cs="Times New Roman"/>
        </w:rPr>
        <w:t xml:space="preserve"> are formulated pursuant to the </w:t>
      </w:r>
      <w:r>
        <w:rPr>
          <w:rFonts w:ascii="Times New Roman" w:hAnsi="Times New Roman" w:eastAsia="等线" w:cs="Times New Roman"/>
          <w:i/>
        </w:rPr>
        <w:t xml:space="preserve">Futures Trading Participant Eligibility Management Rules of the Shanghai </w:t>
      </w:r>
      <w:r>
        <w:rPr>
          <w:rFonts w:hint="eastAsia" w:ascii="Times New Roman" w:hAnsi="Times New Roman" w:eastAsia="等线" w:cs="Times New Roman"/>
          <w:i/>
        </w:rPr>
        <w:t>Futures</w:t>
      </w:r>
      <w:r>
        <w:rPr>
          <w:rFonts w:ascii="Times New Roman" w:hAnsi="Times New Roman" w:eastAsia="等线" w:cs="Times New Roman"/>
          <w:i/>
        </w:rPr>
        <w:t xml:space="preserve"> Exchange</w:t>
      </w:r>
      <w:r>
        <w:rPr>
          <w:rFonts w:ascii="Times New Roman" w:hAnsi="Times New Roman" w:eastAsia="等线" w:cs="Times New Roman"/>
        </w:rPr>
        <w:t xml:space="preserve"> (hereinafter referred to as “</w:t>
      </w:r>
      <w:r>
        <w:rPr>
          <w:rFonts w:ascii="Times New Roman" w:hAnsi="Times New Roman" w:eastAsia="等线" w:cs="Times New Roman"/>
          <w:i/>
        </w:rPr>
        <w:t>Rules</w:t>
      </w:r>
      <w:r>
        <w:rPr>
          <w:rFonts w:ascii="Times New Roman" w:hAnsi="Times New Roman" w:eastAsia="等线" w:cs="Times New Roman"/>
        </w:rPr>
        <w:t>”) to implement trader eligibility rules for options products and specified futures and to regulate the operations of Futures Firm Members (hereinafter referred to as “FF Members”), Overseas Special Brokerage Participants (hereinafter referred to as “OSBP”), and Overseas Intermediaries (hereinafter collectively referred to as “Account Opening Institutions”).</w:t>
      </w:r>
    </w:p>
    <w:p>
      <w:pPr>
        <w:spacing w:after="312" w:afterLines="100" w:line="276" w:lineRule="auto"/>
        <w:rPr>
          <w:rFonts w:ascii="Times New Roman" w:hAnsi="Times New Roman" w:eastAsia="等线" w:cs="Times New Roman"/>
          <w:b/>
        </w:rPr>
      </w:pPr>
      <w:r>
        <w:rPr>
          <w:rFonts w:ascii="Times New Roman" w:hAnsi="Times New Roman" w:eastAsia="等线" w:cs="Times New Roman"/>
          <w:b/>
        </w:rPr>
        <w:t>I. Trading Access Management Requirements</w:t>
      </w:r>
    </w:p>
    <w:p>
      <w:pPr>
        <w:spacing w:after="312" w:afterLines="100" w:line="276" w:lineRule="auto"/>
        <w:rPr>
          <w:rFonts w:ascii="Times New Roman" w:hAnsi="Times New Roman" w:eastAsia="等线" w:cs="Times New Roman"/>
        </w:rPr>
      </w:pPr>
      <w:r>
        <w:rPr>
          <w:rFonts w:ascii="Times New Roman" w:hAnsi="Times New Roman" w:eastAsia="等线" w:cs="Times New Roman"/>
        </w:rPr>
        <w:t xml:space="preserve">(1) Trading access shall apply to the trading code management. After its Client who has passed </w:t>
      </w:r>
      <w:r>
        <w:rPr>
          <w:rFonts w:hint="eastAsia" w:ascii="Times New Roman" w:hAnsi="Times New Roman" w:eastAsia="等线" w:cs="Times New Roman"/>
        </w:rPr>
        <w:t>the</w:t>
      </w:r>
      <w:r>
        <w:rPr>
          <w:rFonts w:ascii="Times New Roman" w:hAnsi="Times New Roman" w:eastAsia="等线" w:cs="Times New Roman"/>
        </w:rPr>
        <w:t xml:space="preserve"> eligibility assessment or has met the requirements for exemption from such assessment obtains a trading code, an Account Opening Institution shall, as requested by the Client, apply for the trading access in relevant products on behalf of the Client.</w:t>
      </w:r>
    </w:p>
    <w:p>
      <w:pPr>
        <w:spacing w:after="312" w:afterLines="100" w:line="276" w:lineRule="auto"/>
        <w:rPr>
          <w:rFonts w:ascii="Times New Roman" w:hAnsi="Times New Roman" w:eastAsia="等线" w:cs="Times New Roman"/>
        </w:rPr>
      </w:pPr>
      <w:r>
        <w:rPr>
          <w:rFonts w:ascii="Times New Roman" w:hAnsi="Times New Roman" w:eastAsia="等线" w:cs="Times New Roman"/>
        </w:rPr>
        <w:t>(2) An Client that m</w:t>
      </w:r>
      <w:r>
        <w:rPr>
          <w:rFonts w:hint="eastAsia" w:ascii="Times New Roman" w:hAnsi="Times New Roman" w:eastAsia="等线" w:cs="Times New Roman"/>
        </w:rPr>
        <w:t>e</w:t>
      </w:r>
      <w:r>
        <w:rPr>
          <w:rFonts w:ascii="Times New Roman" w:hAnsi="Times New Roman" w:eastAsia="等线" w:cs="Times New Roman"/>
        </w:rPr>
        <w:t>et</w:t>
      </w:r>
      <w:r>
        <w:rPr>
          <w:rFonts w:hint="eastAsia" w:ascii="Times New Roman" w:hAnsi="Times New Roman" w:eastAsia="等线" w:cs="Times New Roman"/>
        </w:rPr>
        <w:t>s</w:t>
      </w:r>
      <w:r>
        <w:rPr>
          <w:rFonts w:ascii="Times New Roman" w:hAnsi="Times New Roman" w:eastAsia="等线" w:cs="Times New Roman"/>
        </w:rPr>
        <w:t xml:space="preserve"> the requirements may apply to its Account Opening Institution to further </w:t>
      </w:r>
      <w:r>
        <w:rPr>
          <w:rFonts w:hint="eastAsia" w:ascii="Times New Roman" w:hAnsi="Times New Roman" w:eastAsia="等线" w:cs="Times New Roman"/>
        </w:rPr>
        <w:t>add</w:t>
      </w:r>
      <w:r>
        <w:rPr>
          <w:rFonts w:ascii="Times New Roman" w:hAnsi="Times New Roman" w:eastAsia="等线" w:cs="Times New Roman"/>
        </w:rPr>
        <w:t xml:space="preserve"> or terminate the trading access in listed products.</w:t>
      </w:r>
    </w:p>
    <w:p>
      <w:pPr>
        <w:spacing w:after="312" w:afterLines="100" w:line="276" w:lineRule="auto"/>
        <w:rPr>
          <w:rFonts w:ascii="Times New Roman" w:hAnsi="Times New Roman" w:eastAsia="等线" w:cs="Times New Roman"/>
          <w:b/>
        </w:rPr>
      </w:pPr>
      <w:r>
        <w:rPr>
          <w:rFonts w:ascii="Times New Roman" w:hAnsi="Times New Roman" w:eastAsia="等线" w:cs="Times New Roman"/>
          <w:b/>
        </w:rPr>
        <w:t>II. Basic Knowledge Requirements</w:t>
      </w:r>
    </w:p>
    <w:p>
      <w:pPr>
        <w:spacing w:after="312" w:afterLines="100" w:line="276" w:lineRule="auto"/>
        <w:rPr>
          <w:rFonts w:ascii="Times New Roman" w:hAnsi="Times New Roman" w:eastAsia="等线" w:cs="Times New Roman"/>
        </w:rPr>
      </w:pPr>
      <w:r>
        <w:rPr>
          <w:rFonts w:ascii="Times New Roman" w:hAnsi="Times New Roman" w:eastAsia="等线" w:cs="Times New Roman"/>
        </w:rPr>
        <w:t xml:space="preserve">Individual Clients and related personnel of institutional Clients shall personally have basic knowledge of futures trading and a good understanding of the trading rules of the Shanghai </w:t>
      </w:r>
      <w:r>
        <w:rPr>
          <w:rFonts w:hint="eastAsia" w:ascii="Times New Roman" w:hAnsi="Times New Roman" w:eastAsia="等线" w:cs="Times New Roman"/>
        </w:rPr>
        <w:t xml:space="preserve">Futures </w:t>
      </w:r>
      <w:r>
        <w:rPr>
          <w:rFonts w:ascii="Times New Roman" w:hAnsi="Times New Roman" w:eastAsia="等线" w:cs="Times New Roman"/>
        </w:rPr>
        <w:t>Exchange (hereinafter referred to as the “Exchange”). An Account Opening Institution may obtain an understanding of its Clients’ level of futures trading knowledge through the following methods:</w:t>
      </w:r>
    </w:p>
    <w:p>
      <w:pPr>
        <w:spacing w:after="312" w:afterLines="100" w:line="276" w:lineRule="auto"/>
        <w:rPr>
          <w:rFonts w:ascii="Times New Roman" w:hAnsi="Times New Roman" w:eastAsia="等线" w:cs="Times New Roman"/>
        </w:rPr>
      </w:pPr>
      <w:r>
        <w:rPr>
          <w:rFonts w:ascii="Times New Roman" w:hAnsi="Times New Roman" w:eastAsia="等线" w:cs="Times New Roman"/>
          <w:b/>
          <w:bCs/>
        </w:rPr>
        <w:t xml:space="preserve">(1) Knowledge test. </w:t>
      </w:r>
      <w:r>
        <w:rPr>
          <w:rFonts w:ascii="Times New Roman" w:hAnsi="Times New Roman" w:eastAsia="等线" w:cs="Times New Roman"/>
        </w:rPr>
        <w:t xml:space="preserve">A Client shall take the online knowledge test through the </w:t>
      </w:r>
      <w:r>
        <w:rPr>
          <w:rFonts w:hint="eastAsia" w:ascii="Times New Roman" w:hAnsi="Times New Roman" w:eastAsia="等线" w:cs="Times New Roman"/>
        </w:rPr>
        <w:t>F</w:t>
      </w:r>
      <w:r>
        <w:rPr>
          <w:rFonts w:ascii="Times New Roman" w:hAnsi="Times New Roman" w:eastAsia="等线" w:cs="Times New Roman"/>
        </w:rPr>
        <w:t xml:space="preserve">utures </w:t>
      </w:r>
      <w:r>
        <w:rPr>
          <w:rFonts w:hint="eastAsia" w:ascii="Times New Roman" w:hAnsi="Times New Roman" w:eastAsia="等线" w:cs="Times New Roman"/>
        </w:rPr>
        <w:t>I</w:t>
      </w:r>
      <w:r>
        <w:rPr>
          <w:rFonts w:ascii="Times New Roman" w:hAnsi="Times New Roman" w:eastAsia="等线" w:cs="Times New Roman"/>
        </w:rPr>
        <w:t xml:space="preserve">nvestor </w:t>
      </w:r>
      <w:bookmarkStart w:id="0" w:name="OLE_LINK15"/>
      <w:r>
        <w:rPr>
          <w:rFonts w:hint="eastAsia" w:ascii="Times New Roman" w:hAnsi="Times New Roman" w:eastAsia="等线" w:cs="Times New Roman"/>
        </w:rPr>
        <w:t>A</w:t>
      </w:r>
      <w:r>
        <w:rPr>
          <w:rFonts w:ascii="Times New Roman" w:hAnsi="Times New Roman" w:eastAsia="等线" w:cs="Times New Roman"/>
        </w:rPr>
        <w:t>ppropriateness</w:t>
      </w:r>
      <w:bookmarkEnd w:id="0"/>
      <w:r>
        <w:rPr>
          <w:rFonts w:ascii="Times New Roman" w:hAnsi="Times New Roman" w:eastAsia="等线" w:cs="Times New Roman"/>
        </w:rPr>
        <w:t xml:space="preserve"> </w:t>
      </w:r>
      <w:r>
        <w:rPr>
          <w:rFonts w:hint="eastAsia" w:ascii="Times New Roman" w:hAnsi="Times New Roman" w:eastAsia="等线" w:cs="Times New Roman"/>
        </w:rPr>
        <w:t>T</w:t>
      </w:r>
      <w:r>
        <w:rPr>
          <w:rFonts w:ascii="Times New Roman" w:hAnsi="Times New Roman" w:eastAsia="等线" w:cs="Times New Roman"/>
        </w:rPr>
        <w:t xml:space="preserve">est </w:t>
      </w:r>
      <w:r>
        <w:rPr>
          <w:rFonts w:hint="eastAsia" w:ascii="Times New Roman" w:hAnsi="Times New Roman" w:eastAsia="等线" w:cs="Times New Roman"/>
        </w:rPr>
        <w:t>C</w:t>
      </w:r>
      <w:r>
        <w:rPr>
          <w:rFonts w:ascii="Times New Roman" w:hAnsi="Times New Roman" w:eastAsia="等线" w:cs="Times New Roman"/>
        </w:rPr>
        <w:t>ent</w:t>
      </w:r>
      <w:r>
        <w:rPr>
          <w:rFonts w:hint="eastAsia" w:ascii="Times New Roman" w:hAnsi="Times New Roman" w:eastAsia="等线" w:cs="Times New Roman"/>
        </w:rPr>
        <w:t>er</w:t>
      </w:r>
      <w:r>
        <w:rPr>
          <w:rFonts w:ascii="Times New Roman" w:hAnsi="Times New Roman" w:eastAsia="等线" w:cs="Times New Roman"/>
        </w:rPr>
        <w:t xml:space="preserve"> of China Futures Association (hereinafter referred to as “CFA”) and score equal or higher than eighty (80) out of one hundred(100). Individual Clients and the authorized trader of institutional Clients shall take the knowledge test in person rather than having others to take such test on their behalf.</w:t>
      </w:r>
    </w:p>
    <w:p>
      <w:pPr>
        <w:spacing w:after="312" w:afterLines="100" w:line="276" w:lineRule="auto"/>
        <w:rPr>
          <w:rFonts w:ascii="Times New Roman" w:hAnsi="Times New Roman" w:eastAsia="等线" w:cs="Times New Roman"/>
        </w:rPr>
      </w:pPr>
      <w:r>
        <w:rPr>
          <w:rFonts w:ascii="Times New Roman" w:hAnsi="Times New Roman" w:eastAsia="等线" w:cs="Times New Roman"/>
          <w:b/>
          <w:bCs/>
        </w:rPr>
        <w:t>(2) Letter of commitment.</w:t>
      </w:r>
      <w:r>
        <w:rPr>
          <w:rFonts w:ascii="Times New Roman" w:hAnsi="Times New Roman" w:eastAsia="等线" w:cs="Times New Roman"/>
        </w:rPr>
        <w:t xml:space="preserve"> Overseas Clients may demonstrate their level of knowledge on futures trading as required under the </w:t>
      </w:r>
      <w:r>
        <w:rPr>
          <w:rFonts w:ascii="Times New Roman" w:hAnsi="Times New Roman" w:eastAsia="等线" w:cs="Times New Roman"/>
          <w:i/>
        </w:rPr>
        <w:t>Rules</w:t>
      </w:r>
      <w:r>
        <w:rPr>
          <w:rFonts w:ascii="Times New Roman" w:hAnsi="Times New Roman" w:eastAsia="等线" w:cs="Times New Roman"/>
        </w:rPr>
        <w:t xml:space="preserve"> by issuing a letter of commitment to that effect and shall be liable for the untruthfulness thereof. The letter of commitment shall indicate that the overseas individual Client or the related personnel of the overseas institutional Client </w:t>
      </w:r>
      <w:r>
        <w:rPr>
          <w:rFonts w:hint="eastAsia" w:ascii="Times New Roman" w:hAnsi="Times New Roman" w:eastAsia="等线" w:cs="Times New Roman"/>
        </w:rPr>
        <w:t xml:space="preserve">has the </w:t>
      </w:r>
      <w:r>
        <w:rPr>
          <w:rFonts w:ascii="Times New Roman" w:hAnsi="Times New Roman" w:eastAsia="等线" w:cs="Times New Roman"/>
        </w:rPr>
        <w:t>basic knowledge on futures trading and a good understanding of relevant trading rules.</w:t>
      </w:r>
    </w:p>
    <w:p>
      <w:pPr>
        <w:spacing w:after="312" w:afterLines="100" w:line="276" w:lineRule="auto"/>
        <w:rPr>
          <w:rFonts w:ascii="Times New Roman" w:hAnsi="Times New Roman" w:eastAsia="等线" w:cs="Times New Roman"/>
          <w:b/>
        </w:rPr>
      </w:pPr>
      <w:r>
        <w:rPr>
          <w:rFonts w:ascii="Times New Roman" w:hAnsi="Times New Roman" w:eastAsia="等线" w:cs="Times New Roman"/>
          <w:b/>
        </w:rPr>
        <w:t>III. Trading Experience Requirements</w:t>
      </w:r>
    </w:p>
    <w:p>
      <w:pPr>
        <w:spacing w:after="312" w:afterLines="100" w:line="276" w:lineRule="auto"/>
        <w:rPr>
          <w:rFonts w:ascii="Times New Roman" w:hAnsi="Times New Roman" w:eastAsia="等线" w:cs="Times New Roman"/>
        </w:rPr>
      </w:pPr>
      <w:r>
        <w:rPr>
          <w:rFonts w:ascii="Times New Roman" w:hAnsi="Times New Roman" w:eastAsia="等线" w:cs="Times New Roman"/>
          <w:b/>
          <w:bCs/>
        </w:rPr>
        <w:t>(1) Simulated trading experience.</w:t>
      </w:r>
      <w:r>
        <w:rPr>
          <w:rFonts w:ascii="Times New Roman" w:hAnsi="Times New Roman" w:eastAsia="等线" w:cs="Times New Roman"/>
        </w:rPr>
        <w:t xml:space="preserve"> Simulated futures trading experience recognized by the Exchange includes experience of simulated futures or options trading through the joint testing systems and simulated systems of the Exchange and other domestic trading venues. A Client shall provide such documents as settlement statements for simulated trading issued by institutions such as securities companies or futures firms to prove its track record of having executed twenty (20) or more simulated trades within a total of no less than ten (10) trading days.</w:t>
      </w:r>
    </w:p>
    <w:p>
      <w:pPr>
        <w:spacing w:after="312" w:afterLines="100" w:line="276" w:lineRule="auto"/>
        <w:rPr>
          <w:rFonts w:ascii="Times New Roman" w:hAnsi="Times New Roman" w:eastAsia="等线" w:cs="Times New Roman"/>
        </w:rPr>
      </w:pPr>
      <w:r>
        <w:rPr>
          <w:rFonts w:ascii="Times New Roman" w:hAnsi="Times New Roman" w:eastAsia="等线" w:cs="Times New Roman"/>
          <w:b/>
          <w:bCs/>
        </w:rPr>
        <w:t xml:space="preserve">(2) Domestic trading experience. </w:t>
      </w:r>
      <w:r>
        <w:rPr>
          <w:rFonts w:ascii="Times New Roman" w:hAnsi="Times New Roman" w:eastAsia="等线" w:cs="Times New Roman"/>
        </w:rPr>
        <w:t>A Client shall provide such documents as settlement statements for futures trading issued by institutions such as securities companies or futures firms to prove its track record of having executed ten (10) or more futures, options, or other centrally cleared derivatives trades (such as swaps cleared through Shanghai Clearing House).</w:t>
      </w:r>
    </w:p>
    <w:p>
      <w:pPr>
        <w:spacing w:after="312" w:afterLines="100" w:line="276" w:lineRule="auto"/>
        <w:rPr>
          <w:rFonts w:ascii="Times New Roman" w:hAnsi="Times New Roman" w:eastAsia="等线" w:cs="Times New Roman"/>
        </w:rPr>
      </w:pPr>
      <w:r>
        <w:rPr>
          <w:rFonts w:ascii="Times New Roman" w:hAnsi="Times New Roman" w:eastAsia="等线" w:cs="Times New Roman"/>
          <w:b/>
          <w:bCs/>
        </w:rPr>
        <w:t xml:space="preserve">(3) Overseas trading experience. </w:t>
      </w:r>
      <w:r>
        <w:rPr>
          <w:rFonts w:ascii="Times New Roman" w:hAnsi="Times New Roman" w:eastAsia="等线" w:cs="Times New Roman"/>
        </w:rPr>
        <w:t>A Client shall provide a detailed record of futures trades executed on an overseas trading venue under the regulation of a foreign futures regulator who has entered into a memorandum of understanding with the China Securities Regulatory Commission (hereinafter referred to as “CSRC”), or settlement statements or other documents for such trades to prove its track record of having</w:t>
      </w:r>
      <w:r>
        <w:rPr>
          <w:rFonts w:ascii="等线" w:hAnsi="等线" w:eastAsia="等线" w:cs="Times New Roman"/>
        </w:rPr>
        <w:t xml:space="preserve"> </w:t>
      </w:r>
      <w:r>
        <w:rPr>
          <w:rFonts w:ascii="Times New Roman" w:hAnsi="Times New Roman" w:eastAsia="等线" w:cs="Times New Roman"/>
        </w:rPr>
        <w:t>executed ten (10) or more futures, options, or other centrally cleared derivatives trades (such as swap trades) (hereinafter referred to as “Recognized Overseas Execution Record”).</w:t>
      </w:r>
    </w:p>
    <w:p>
      <w:pPr>
        <w:spacing w:after="312" w:afterLines="100" w:line="276" w:lineRule="auto"/>
        <w:rPr>
          <w:rFonts w:ascii="Times New Roman" w:hAnsi="Times New Roman" w:eastAsia="等线" w:cs="Times New Roman"/>
        </w:rPr>
      </w:pPr>
      <w:r>
        <w:rPr>
          <w:rFonts w:ascii="Times New Roman" w:hAnsi="Times New Roman" w:eastAsia="等线" w:cs="Times New Roman"/>
          <w:b/>
          <w:bCs/>
        </w:rPr>
        <w:t>(4)</w:t>
      </w:r>
      <w:r>
        <w:rPr>
          <w:rFonts w:ascii="等线" w:hAnsi="等线" w:eastAsia="等线" w:cs="Times New Roman"/>
          <w:b/>
          <w:bCs/>
        </w:rPr>
        <w:t xml:space="preserve"> </w:t>
      </w:r>
      <w:r>
        <w:rPr>
          <w:rFonts w:ascii="Times New Roman" w:hAnsi="Times New Roman" w:eastAsia="等线" w:cs="Times New Roman"/>
          <w:b/>
          <w:bCs/>
        </w:rPr>
        <w:t xml:space="preserve">An order the execution of which involves more than one trade shall be deemed as a record of one trade. </w:t>
      </w:r>
      <w:r>
        <w:rPr>
          <w:rFonts w:ascii="Times New Roman" w:hAnsi="Times New Roman" w:eastAsia="等线" w:cs="Times New Roman"/>
        </w:rPr>
        <w:t>All trading records mentioned above shall be issued for real (simulated) trades.</w:t>
      </w:r>
    </w:p>
    <w:p>
      <w:pPr>
        <w:spacing w:after="312" w:afterLines="100" w:line="276" w:lineRule="auto"/>
        <w:rPr>
          <w:rFonts w:ascii="Times New Roman" w:hAnsi="Times New Roman" w:eastAsia="等线" w:cs="Times New Roman"/>
          <w:b/>
        </w:rPr>
      </w:pPr>
      <w:r>
        <w:rPr>
          <w:rFonts w:ascii="Times New Roman" w:hAnsi="Times New Roman" w:eastAsia="等线" w:cs="Times New Roman"/>
          <w:b/>
        </w:rPr>
        <w:t xml:space="preserve">IV. Balance of the Margin Account Requirements </w:t>
      </w:r>
    </w:p>
    <w:p>
      <w:pPr>
        <w:spacing w:after="312" w:afterLines="100" w:line="276" w:lineRule="auto"/>
        <w:rPr>
          <w:rFonts w:ascii="Times New Roman" w:hAnsi="Times New Roman" w:eastAsia="等线" w:cs="Times New Roman"/>
        </w:rPr>
      </w:pPr>
      <w:r>
        <w:rPr>
          <w:rFonts w:ascii="Times New Roman" w:hAnsi="Times New Roman" w:eastAsia="等线" w:cs="Times New Roman"/>
        </w:rPr>
        <w:t>1. The balance of the margin account of an Account Opening Institution’s Client shall be calculated based on the Account Opening Institution’s margin requirements. An overseas Client may use foreign currency as margin. Such balance includes the amounts in RMB and foreign currency.</w:t>
      </w:r>
      <w:r>
        <w:rPr>
          <w:rFonts w:ascii="等线" w:hAnsi="等线" w:eastAsia="等线" w:cs="Times New Roman"/>
        </w:rPr>
        <w:t xml:space="preserve"> </w:t>
      </w:r>
      <w:r>
        <w:rPr>
          <w:rFonts w:ascii="Times New Roman" w:hAnsi="Times New Roman" w:eastAsia="等线" w:cs="Times New Roman"/>
        </w:rPr>
        <w:t>The available types of foreign currencies and discount rates for foreign currency funds shall be separately published by the Exchange.</w:t>
      </w:r>
    </w:p>
    <w:p>
      <w:pPr>
        <w:spacing w:after="312" w:afterLines="100" w:line="276" w:lineRule="auto"/>
        <w:rPr>
          <w:rFonts w:ascii="Times New Roman" w:hAnsi="Times New Roman" w:eastAsia="等线" w:cs="Times New Roman"/>
        </w:rPr>
      </w:pPr>
      <w:r>
        <w:rPr>
          <w:rFonts w:ascii="Times New Roman" w:hAnsi="Times New Roman" w:eastAsia="等线" w:cs="Times New Roman"/>
        </w:rPr>
        <w:t>The formula for conversion from foreign currency to RMB is as follows:</w:t>
      </w:r>
    </w:p>
    <w:p>
      <w:pPr>
        <w:spacing w:after="312" w:afterLines="100" w:line="276" w:lineRule="auto"/>
        <w:rPr>
          <w:rFonts w:ascii="Times New Roman" w:hAnsi="Times New Roman" w:eastAsia="等线" w:cs="Times New Roman"/>
        </w:rPr>
      </w:pPr>
      <w:r>
        <w:rPr>
          <w:rFonts w:ascii="Times New Roman" w:hAnsi="Times New Roman" w:eastAsia="等线" w:cs="Times New Roman"/>
        </w:rPr>
        <w:t>Amount of RMB converted = Amount of foreign currency funds × intraday foreign currency/RMB central parity rate published by China Foreign Exchange Trading System × discount rate for foreign currency funds.</w:t>
      </w:r>
    </w:p>
    <w:p>
      <w:pPr>
        <w:spacing w:after="312" w:afterLines="100" w:line="276" w:lineRule="auto"/>
        <w:rPr>
          <w:rFonts w:ascii="Times New Roman" w:hAnsi="Times New Roman" w:eastAsia="等线" w:cs="Times New Roman"/>
        </w:rPr>
      </w:pPr>
      <w:r>
        <w:rPr>
          <w:rFonts w:ascii="Times New Roman" w:hAnsi="Times New Roman" w:eastAsia="等线" w:cs="Times New Roman"/>
        </w:rPr>
        <w:t>2. Timeline requirements</w:t>
      </w:r>
    </w:p>
    <w:p>
      <w:pPr>
        <w:tabs>
          <w:tab w:val="left" w:pos="7513"/>
        </w:tabs>
        <w:spacing w:after="312" w:afterLines="100" w:line="276" w:lineRule="auto"/>
        <w:rPr>
          <w:rFonts w:ascii="Times New Roman" w:hAnsi="Times New Roman" w:eastAsia="等线" w:cs="Times New Roman"/>
        </w:rPr>
      </w:pPr>
      <w:r>
        <w:rPr>
          <w:rFonts w:ascii="Times New Roman" w:hAnsi="Times New Roman" w:eastAsia="等线" w:cs="Times New Roman"/>
        </w:rPr>
        <w:t>An FF Member who directly applies for a trading code or access on behalf of its Client shall confirm that, the Client’s balance of the margin account at the FF Member after daily clearing during the five (5) trading days prior to the day of application shall not be less than the amount required by the Exchange.</w:t>
      </w:r>
    </w:p>
    <w:p>
      <w:pPr>
        <w:spacing w:after="312" w:afterLines="100" w:line="276" w:lineRule="auto"/>
        <w:rPr>
          <w:rFonts w:ascii="Times New Roman" w:hAnsi="Times New Roman" w:eastAsia="等线" w:cs="Times New Roman"/>
        </w:rPr>
      </w:pPr>
      <w:r>
        <w:rPr>
          <w:rFonts w:ascii="Times New Roman" w:hAnsi="Times New Roman" w:eastAsia="等线" w:cs="Times New Roman"/>
        </w:rPr>
        <w:t>An OSBP or Overseas Intermediary who applies for a trading code or access on behalf of its Client shall confirm that, the Client’s balance of the margin account at the OSBP or Overseas Intermediary after daily clearing during the five (5) consecutive trading days prior to the day of application shall not be less than the amount required by the Exchange.</w:t>
      </w:r>
    </w:p>
    <w:p>
      <w:pPr>
        <w:spacing w:after="312" w:afterLines="100" w:line="276" w:lineRule="auto"/>
        <w:rPr>
          <w:rFonts w:ascii="Times New Roman" w:hAnsi="Times New Roman" w:eastAsia="等线" w:cs="Times New Roman"/>
          <w:b/>
        </w:rPr>
      </w:pPr>
      <w:r>
        <w:rPr>
          <w:rFonts w:ascii="Times New Roman" w:hAnsi="Times New Roman" w:eastAsia="等线" w:cs="Times New Roman"/>
          <w:b/>
        </w:rPr>
        <w:t>V. Compliance and Credit Requirements</w:t>
      </w:r>
    </w:p>
    <w:p>
      <w:pPr>
        <w:spacing w:after="312" w:afterLines="100" w:line="276" w:lineRule="auto"/>
        <w:rPr>
          <w:rFonts w:ascii="Times New Roman" w:hAnsi="Times New Roman" w:eastAsia="等线" w:cs="Times New Roman"/>
        </w:rPr>
      </w:pPr>
      <w:r>
        <w:rPr>
          <w:rFonts w:ascii="Times New Roman" w:hAnsi="Times New Roman" w:eastAsia="等线" w:cs="Times New Roman"/>
        </w:rPr>
        <w:t>1. An Account Opening Institution shall try to obtain its Client’s credit information through various channels and carry out an integrated assessment of the Client’s credit standing by using the relevant credit reference system of each relevant country</w:t>
      </w:r>
      <w:r>
        <w:rPr>
          <w:rFonts w:hint="eastAsia" w:ascii="Times New Roman" w:hAnsi="Times New Roman" w:eastAsia="等线" w:cs="Times New Roman"/>
        </w:rPr>
        <w:t xml:space="preserve"> or region</w:t>
      </w:r>
      <w:r>
        <w:rPr>
          <w:rFonts w:ascii="Times New Roman" w:hAnsi="Times New Roman" w:eastAsia="等线" w:cs="Times New Roman"/>
        </w:rPr>
        <w:t xml:space="preserve">. The Account Opening Institution shall clearly inform its Clients of </w:t>
      </w:r>
      <w:r>
        <w:rPr>
          <w:rFonts w:hint="eastAsia" w:ascii="Times New Roman" w:hAnsi="Times New Roman" w:eastAsia="等线" w:cs="Times New Roman"/>
        </w:rPr>
        <w:t xml:space="preserve">the </w:t>
      </w:r>
      <w:r>
        <w:rPr>
          <w:rFonts w:ascii="Times New Roman" w:hAnsi="Times New Roman" w:eastAsia="等线" w:cs="Times New Roman"/>
        </w:rPr>
        <w:t>rules and requirements for prohibitions or restrictions on futures trading.</w:t>
      </w:r>
    </w:p>
    <w:p>
      <w:pPr>
        <w:spacing w:after="312" w:afterLines="100" w:line="276" w:lineRule="auto"/>
        <w:rPr>
          <w:rFonts w:ascii="Times New Roman" w:hAnsi="Times New Roman" w:eastAsia="等线" w:cs="Times New Roman"/>
        </w:rPr>
      </w:pPr>
      <w:r>
        <w:rPr>
          <w:rFonts w:ascii="Times New Roman" w:hAnsi="Times New Roman" w:eastAsia="等线" w:cs="Times New Roman"/>
        </w:rPr>
        <w:t xml:space="preserve">2. An Account Opening Institution shall inquire about its Client’s credit standing through such means as the CSRC’s Securities and Futures Market Illegality and Dishonesty Record Inquiry Platform, the CFA’s Industry Information Management Platform, and the list of persons with serious dishonesty related to finance. Moreover, the Account Opening Institution may require its Client to provide an undertaking for its compliance and credit requirements in the </w:t>
      </w:r>
      <w:r>
        <w:rPr>
          <w:rFonts w:ascii="Times New Roman" w:hAnsi="Times New Roman" w:eastAsia="等线" w:cs="Times New Roman"/>
          <w:i/>
        </w:rPr>
        <w:t>Rules</w:t>
      </w:r>
      <w:r>
        <w:rPr>
          <w:rFonts w:ascii="Times New Roman" w:hAnsi="Times New Roman" w:eastAsia="等线" w:cs="Times New Roman"/>
        </w:rPr>
        <w:t xml:space="preserve"> and to be liable for any consequences resulting from the untruthfulness of such undertaking.</w:t>
      </w:r>
    </w:p>
    <w:p>
      <w:pPr>
        <w:spacing w:after="312" w:afterLines="100" w:line="276" w:lineRule="auto"/>
        <w:rPr>
          <w:rFonts w:ascii="Times New Roman" w:hAnsi="Times New Roman" w:eastAsia="等线" w:cs="Times New Roman"/>
          <w:b/>
        </w:rPr>
      </w:pPr>
      <w:r>
        <w:rPr>
          <w:rFonts w:ascii="Times New Roman" w:hAnsi="Times New Roman" w:eastAsia="等线" w:cs="Times New Roman"/>
          <w:b/>
        </w:rPr>
        <w:t>VI. Requirements for Institutional Clients</w:t>
      </w:r>
    </w:p>
    <w:p>
      <w:pPr>
        <w:spacing w:after="312" w:afterLines="100" w:line="276" w:lineRule="auto"/>
        <w:rPr>
          <w:rFonts w:ascii="Times New Roman" w:hAnsi="Times New Roman" w:eastAsia="等线" w:cs="Times New Roman"/>
        </w:rPr>
      </w:pPr>
      <w:r>
        <w:rPr>
          <w:rFonts w:ascii="Times New Roman" w:hAnsi="Times New Roman" w:eastAsia="等线" w:cs="Times New Roman"/>
        </w:rPr>
        <w:t>To apply for a trading code or access, an institutional Client shall have sound internal control rules, risk management rules, and other rules relating to the management of futures trading, including, but not limited to, rules or procedures for trading decision-making, order submission, funds transfer, and physical delivery and risk management.</w:t>
      </w:r>
    </w:p>
    <w:p>
      <w:pPr>
        <w:spacing w:after="312" w:afterLines="100" w:line="276" w:lineRule="auto"/>
        <w:rPr>
          <w:rFonts w:ascii="Times New Roman" w:hAnsi="Times New Roman" w:eastAsia="等线" w:cs="Times New Roman"/>
          <w:b/>
        </w:rPr>
      </w:pPr>
      <w:r>
        <w:rPr>
          <w:rFonts w:ascii="Times New Roman" w:hAnsi="Times New Roman" w:eastAsia="等线" w:cs="Times New Roman"/>
          <w:b/>
        </w:rPr>
        <w:t>VII. Exemptions from Eligibility Assessment in Part or in Whole</w:t>
      </w:r>
    </w:p>
    <w:p>
      <w:pPr>
        <w:spacing w:after="312" w:afterLines="100" w:line="276" w:lineRule="auto"/>
        <w:rPr>
          <w:rFonts w:ascii="Times New Roman" w:hAnsi="Times New Roman" w:eastAsia="等线" w:cs="Times New Roman"/>
        </w:rPr>
      </w:pPr>
      <w:r>
        <w:rPr>
          <w:rFonts w:ascii="Times New Roman" w:hAnsi="Times New Roman" w:eastAsia="等线" w:cs="Times New Roman"/>
        </w:rPr>
        <w:t xml:space="preserve">1. When conducting an eligibility assessment on its Client who meets the following requirements, </w:t>
      </w:r>
      <w:r>
        <w:rPr>
          <w:rFonts w:hint="eastAsia" w:ascii="Times New Roman" w:hAnsi="Times New Roman" w:eastAsia="等线" w:cs="Times New Roman"/>
        </w:rPr>
        <w:t xml:space="preserve">the </w:t>
      </w:r>
      <w:r>
        <w:rPr>
          <w:rFonts w:ascii="Times New Roman" w:hAnsi="Times New Roman" w:eastAsia="等线" w:cs="Times New Roman"/>
        </w:rPr>
        <w:t xml:space="preserve">Account Opening Institution may exempt the Client from the assessment of basic knowledge and trading experience requirements and, </w:t>
      </w:r>
      <w:r>
        <w:rPr>
          <w:rFonts w:hint="eastAsia" w:ascii="Times New Roman" w:hAnsi="Times New Roman" w:eastAsia="等线" w:cs="Times New Roman"/>
        </w:rPr>
        <w:t>I</w:t>
      </w:r>
      <w:r>
        <w:rPr>
          <w:rFonts w:ascii="Times New Roman" w:hAnsi="Times New Roman" w:eastAsia="等线" w:cs="Times New Roman"/>
        </w:rPr>
        <w:t xml:space="preserve">f the balance of the margin account requirements for listed products subject to eligibility rules </w:t>
      </w:r>
      <w:r>
        <w:rPr>
          <w:rFonts w:hint="eastAsia" w:ascii="Times New Roman" w:hAnsi="Times New Roman" w:eastAsia="等线" w:cs="Times New Roman"/>
        </w:rPr>
        <w:t>that</w:t>
      </w:r>
      <w:r>
        <w:rPr>
          <w:rFonts w:ascii="Times New Roman" w:hAnsi="Times New Roman" w:eastAsia="等线" w:cs="Times New Roman"/>
        </w:rPr>
        <w:t xml:space="preserve"> the Client has participated in </w:t>
      </w:r>
      <w:r>
        <w:rPr>
          <w:rFonts w:hint="eastAsia" w:ascii="Times New Roman" w:hAnsi="Times New Roman" w:eastAsia="等线" w:cs="Times New Roman"/>
        </w:rPr>
        <w:t xml:space="preserve">trading </w:t>
      </w:r>
      <w:r>
        <w:rPr>
          <w:rFonts w:ascii="Times New Roman" w:hAnsi="Times New Roman" w:eastAsia="等线" w:cs="Times New Roman"/>
        </w:rPr>
        <w:t xml:space="preserve">are not lower than those for products </w:t>
      </w:r>
      <w:r>
        <w:rPr>
          <w:rFonts w:hint="eastAsia" w:ascii="Times New Roman" w:hAnsi="Times New Roman" w:eastAsia="等线" w:cs="Times New Roman"/>
        </w:rPr>
        <w:t>that</w:t>
      </w:r>
      <w:r>
        <w:rPr>
          <w:rFonts w:ascii="Times New Roman" w:hAnsi="Times New Roman" w:eastAsia="等线" w:cs="Times New Roman"/>
        </w:rPr>
        <w:t xml:space="preserve"> the Client newly applies to participate in</w:t>
      </w:r>
      <w:r>
        <w:rPr>
          <w:rFonts w:hint="eastAsia" w:ascii="Times New Roman" w:hAnsi="Times New Roman" w:eastAsia="等线" w:cs="Times New Roman"/>
        </w:rPr>
        <w:t xml:space="preserve"> trading</w:t>
      </w:r>
      <w:r>
        <w:rPr>
          <w:rFonts w:ascii="Times New Roman" w:hAnsi="Times New Roman" w:eastAsia="等线" w:cs="Times New Roman"/>
        </w:rPr>
        <w:t xml:space="preserve">, </w:t>
      </w:r>
      <w:r>
        <w:rPr>
          <w:rFonts w:hint="eastAsia" w:ascii="Times New Roman" w:hAnsi="Times New Roman" w:eastAsia="等线" w:cs="Times New Roman"/>
        </w:rPr>
        <w:t xml:space="preserve">the Account Opening Institution </w:t>
      </w:r>
      <w:r>
        <w:rPr>
          <w:rFonts w:ascii="Times New Roman" w:hAnsi="Times New Roman" w:eastAsia="等线" w:cs="Times New Roman"/>
        </w:rPr>
        <w:t>may further exempt the Client from the assessment of balance of the margin account requirements.</w:t>
      </w:r>
    </w:p>
    <w:p>
      <w:pPr>
        <w:spacing w:after="312" w:afterLines="100" w:line="276" w:lineRule="auto"/>
        <w:rPr>
          <w:rFonts w:ascii="Times New Roman" w:hAnsi="Times New Roman" w:eastAsia="等线" w:cs="Times New Roman"/>
        </w:rPr>
      </w:pPr>
      <w:r>
        <w:rPr>
          <w:rFonts w:ascii="Times New Roman" w:hAnsi="Times New Roman" w:eastAsia="等线" w:cs="Times New Roman"/>
        </w:rPr>
        <w:t xml:space="preserve">(i) </w:t>
      </w:r>
      <w:r>
        <w:rPr>
          <w:rFonts w:hint="eastAsia" w:ascii="Times New Roman" w:hAnsi="Times New Roman" w:eastAsia="等线" w:cs="Times New Roman"/>
        </w:rPr>
        <w:t>The Client has</w:t>
      </w:r>
      <w:r>
        <w:rPr>
          <w:rFonts w:ascii="Times New Roman" w:hAnsi="Times New Roman" w:eastAsia="等线" w:cs="Times New Roman"/>
        </w:rPr>
        <w:t xml:space="preserve"> the trading access in products subject to eligibility rules listed on other domestic commodity futures exchanges;</w:t>
      </w:r>
    </w:p>
    <w:p>
      <w:pPr>
        <w:spacing w:after="312" w:afterLines="100" w:line="276" w:lineRule="auto"/>
        <w:rPr>
          <w:rFonts w:ascii="Times New Roman" w:hAnsi="Times New Roman" w:eastAsia="等线" w:cs="Times New Roman"/>
        </w:rPr>
      </w:pPr>
      <w:r>
        <w:rPr>
          <w:rFonts w:ascii="Times New Roman" w:hAnsi="Times New Roman" w:eastAsia="等线" w:cs="Times New Roman"/>
        </w:rPr>
        <w:t xml:space="preserve">(ii) </w:t>
      </w:r>
      <w:r>
        <w:rPr>
          <w:rFonts w:hint="eastAsia" w:ascii="Times New Roman" w:hAnsi="Times New Roman" w:eastAsia="等线" w:cs="Times New Roman"/>
        </w:rPr>
        <w:t xml:space="preserve">The Client has </w:t>
      </w:r>
      <w:r>
        <w:rPr>
          <w:rFonts w:ascii="Times New Roman" w:hAnsi="Times New Roman" w:eastAsia="等线" w:cs="Times New Roman"/>
        </w:rPr>
        <w:t>a trading code for trading in financial futures;</w:t>
      </w:r>
    </w:p>
    <w:p>
      <w:pPr>
        <w:spacing w:after="312" w:afterLines="100" w:line="276" w:lineRule="auto"/>
        <w:rPr>
          <w:rFonts w:ascii="Times New Roman" w:hAnsi="Times New Roman" w:eastAsia="等线" w:cs="Times New Roman"/>
        </w:rPr>
      </w:pPr>
      <w:r>
        <w:rPr>
          <w:rFonts w:ascii="Times New Roman" w:hAnsi="Times New Roman" w:eastAsia="等线" w:cs="Times New Roman"/>
        </w:rPr>
        <w:t xml:space="preserve">(iii) </w:t>
      </w:r>
      <w:r>
        <w:rPr>
          <w:rFonts w:hint="eastAsia" w:ascii="Times New Roman" w:hAnsi="Times New Roman" w:eastAsia="等线" w:cs="Times New Roman"/>
        </w:rPr>
        <w:t>The Client has</w:t>
      </w:r>
      <w:r>
        <w:rPr>
          <w:rFonts w:ascii="Times New Roman" w:hAnsi="Times New Roman" w:eastAsia="等线" w:cs="Times New Roman"/>
        </w:rPr>
        <w:t xml:space="preserve"> the trading access in options on domestic stock exchanges; and</w:t>
      </w:r>
    </w:p>
    <w:p>
      <w:pPr>
        <w:spacing w:after="312" w:afterLines="100" w:line="276" w:lineRule="auto"/>
        <w:rPr>
          <w:rFonts w:ascii="Times New Roman" w:hAnsi="Times New Roman" w:eastAsia="等线" w:cs="Times New Roman"/>
        </w:rPr>
      </w:pPr>
      <w:r>
        <w:rPr>
          <w:rFonts w:ascii="Times New Roman" w:hAnsi="Times New Roman" w:eastAsia="等线" w:cs="Times New Roman"/>
        </w:rPr>
        <w:t xml:space="preserve">(iv) </w:t>
      </w:r>
      <w:r>
        <w:rPr>
          <w:rFonts w:hint="eastAsia" w:ascii="Times New Roman" w:hAnsi="Times New Roman" w:eastAsia="等线" w:cs="Times New Roman"/>
        </w:rPr>
        <w:t>The Client has</w:t>
      </w:r>
      <w:r>
        <w:rPr>
          <w:rFonts w:ascii="Times New Roman" w:hAnsi="Times New Roman" w:eastAsia="等线" w:cs="Times New Roman"/>
        </w:rPr>
        <w:t xml:space="preserve"> obtained a trading code from the Exchange, held the trading access in products subject to eligibility rules and listed on the Exchange, and applied for the trading access in other products listed on the Exchange.</w:t>
      </w:r>
    </w:p>
    <w:p>
      <w:pPr>
        <w:spacing w:after="312" w:afterLines="100" w:line="276" w:lineRule="auto"/>
        <w:rPr>
          <w:rFonts w:ascii="Times New Roman" w:hAnsi="Times New Roman" w:eastAsia="等线" w:cs="Times New Roman"/>
        </w:rPr>
      </w:pPr>
      <w:r>
        <w:rPr>
          <w:rFonts w:ascii="Times New Roman" w:hAnsi="Times New Roman" w:eastAsia="等线" w:cs="Times New Roman"/>
        </w:rPr>
        <w:t>The Client shall provide supporting materials for such qualifications.</w:t>
      </w:r>
    </w:p>
    <w:p>
      <w:pPr>
        <w:spacing w:after="312" w:afterLines="100" w:line="276" w:lineRule="auto"/>
        <w:rPr>
          <w:rFonts w:ascii="Times New Roman" w:hAnsi="Times New Roman" w:eastAsia="等线" w:cs="Times New Roman"/>
        </w:rPr>
      </w:pPr>
      <w:r>
        <w:rPr>
          <w:rFonts w:ascii="Times New Roman" w:hAnsi="Times New Roman" w:eastAsia="等线" w:cs="Times New Roman"/>
        </w:rPr>
        <w:t xml:space="preserve">2. When performing an eligibility review of its Client, an Account Opening Institution shall make full use of the acquired information and the available assessment results, may allow the Client’s items already assessed not to be subject to an eligibility assessment again, and may not repeatedly require supporting materials from the Client . </w:t>
      </w:r>
    </w:p>
    <w:p>
      <w:pPr>
        <w:spacing w:after="312" w:afterLines="100" w:line="276" w:lineRule="auto"/>
        <w:rPr>
          <w:rFonts w:ascii="Times New Roman" w:hAnsi="Times New Roman" w:eastAsia="等线" w:cs="Times New Roman"/>
        </w:rPr>
      </w:pPr>
      <w:r>
        <w:rPr>
          <w:rFonts w:ascii="Times New Roman" w:hAnsi="Times New Roman" w:eastAsia="等线" w:cs="Times New Roman"/>
        </w:rPr>
        <w:t>If an Account Opening Institution’s Client has, after applying for the trading access in different products listed on the Exchange through the</w:t>
      </w:r>
      <w:r>
        <w:rPr>
          <w:rFonts w:ascii="等线" w:hAnsi="等线" w:eastAsia="等线" w:cs="Times New Roman"/>
        </w:rPr>
        <w:t xml:space="preserve"> </w:t>
      </w:r>
      <w:r>
        <w:rPr>
          <w:rFonts w:ascii="Times New Roman" w:hAnsi="Times New Roman" w:eastAsia="等线" w:cs="Times New Roman"/>
        </w:rPr>
        <w:t>Account Opening Institution, obtained the trading access in a listed product for which higher</w:t>
      </w:r>
      <w:r>
        <w:rPr>
          <w:rFonts w:hint="eastAsia" w:ascii="Times New Roman" w:hAnsi="Times New Roman" w:eastAsia="等线" w:cs="Times New Roman"/>
        </w:rPr>
        <w:t xml:space="preserve"> </w:t>
      </w:r>
      <w:r>
        <w:rPr>
          <w:rFonts w:ascii="Times New Roman" w:hAnsi="Times New Roman" w:eastAsia="等线" w:cs="Times New Roman"/>
        </w:rPr>
        <w:t>balance of the margin account requirements are imposed, the Client may automatically obtain the trading access in other listed products for which the same or lower balance of the margin account requirements are applied.</w:t>
      </w:r>
    </w:p>
    <w:p>
      <w:pPr>
        <w:spacing w:after="312" w:afterLines="100" w:line="276" w:lineRule="auto"/>
        <w:rPr>
          <w:rFonts w:ascii="Times New Roman" w:hAnsi="Times New Roman" w:eastAsia="等线" w:cs="Times New Roman"/>
        </w:rPr>
      </w:pPr>
      <w:r>
        <w:rPr>
          <w:rFonts w:ascii="Times New Roman" w:hAnsi="Times New Roman" w:eastAsia="等线" w:cs="Times New Roman"/>
        </w:rPr>
        <w:t>3. When applying for a trading code for or the trading access in listed products subject to eligibility rules on</w:t>
      </w:r>
      <w:r>
        <w:rPr>
          <w:rFonts w:hint="eastAsia" w:ascii="Times New Roman" w:hAnsi="Times New Roman" w:eastAsia="等线" w:cs="Times New Roman"/>
        </w:rPr>
        <w:t xml:space="preserve"> </w:t>
      </w:r>
      <w:r>
        <w:rPr>
          <w:rFonts w:ascii="Times New Roman" w:hAnsi="Times New Roman" w:eastAsia="等线" w:cs="Times New Roman"/>
        </w:rPr>
        <w:t>behalf of any of its following Clients, an Account Opening Institution may exempt the Client from the assessment of basic knowledge, trading experience and balance of the margin account requirements:</w:t>
      </w:r>
    </w:p>
    <w:p>
      <w:pPr>
        <w:spacing w:after="312" w:afterLines="100" w:line="276" w:lineRule="auto"/>
        <w:rPr>
          <w:rFonts w:ascii="Times New Roman" w:hAnsi="Times New Roman" w:eastAsia="等线" w:cs="Times New Roman"/>
        </w:rPr>
      </w:pPr>
      <w:r>
        <w:rPr>
          <w:rFonts w:ascii="Times New Roman" w:hAnsi="Times New Roman" w:eastAsia="等线" w:cs="Times New Roman"/>
        </w:rPr>
        <w:t>(i) professional investors as defined in the Measures for Eligibility Management of Securities and Futures Investors;</w:t>
      </w:r>
    </w:p>
    <w:p>
      <w:pPr>
        <w:spacing w:after="312" w:afterLines="100" w:line="276" w:lineRule="auto"/>
        <w:rPr>
          <w:rFonts w:ascii="Times New Roman" w:hAnsi="Times New Roman" w:eastAsia="等线" w:cs="Times New Roman"/>
        </w:rPr>
      </w:pPr>
      <w:r>
        <w:rPr>
          <w:rFonts w:ascii="Times New Roman" w:hAnsi="Times New Roman" w:eastAsia="等线" w:cs="Times New Roman"/>
        </w:rPr>
        <w:t xml:space="preserve">(ii) Clients </w:t>
      </w:r>
      <w:r>
        <w:rPr>
          <w:rFonts w:hint="eastAsia" w:ascii="Times New Roman" w:hAnsi="Times New Roman" w:eastAsia="等线" w:cs="Times New Roman"/>
        </w:rPr>
        <w:t xml:space="preserve">having </w:t>
      </w:r>
      <w:r>
        <w:rPr>
          <w:rFonts w:ascii="Times New Roman" w:hAnsi="Times New Roman" w:eastAsia="等线" w:cs="Times New Roman"/>
        </w:rPr>
        <w:t>obtain</w:t>
      </w:r>
      <w:r>
        <w:rPr>
          <w:rFonts w:hint="eastAsia" w:ascii="Times New Roman" w:hAnsi="Times New Roman" w:eastAsia="等线" w:cs="Times New Roman"/>
        </w:rPr>
        <w:t>ed</w:t>
      </w:r>
      <w:r>
        <w:rPr>
          <w:rFonts w:ascii="Times New Roman" w:hAnsi="Times New Roman" w:eastAsia="等线" w:cs="Times New Roman"/>
        </w:rPr>
        <w:t xml:space="preserve"> the trading access of any listed products that these Eligibility Rules apply to, and applying for trading access of the same product through a different Account Opening Institution</w:t>
      </w:r>
      <w:r>
        <w:rPr>
          <w:rFonts w:hint="eastAsia" w:ascii="Times New Roman" w:hAnsi="Times New Roman" w:eastAsia="等线" w:cs="Times New Roman"/>
        </w:rPr>
        <w:t xml:space="preserve">, </w:t>
      </w:r>
      <w:r>
        <w:rPr>
          <w:rFonts w:hint="eastAsia" w:ascii="Times New Roman" w:hAnsi="Times New Roman"/>
          <w:sz w:val="22"/>
        </w:rPr>
        <w:t>The Client shall provide supporting materials for such qualifications</w:t>
      </w:r>
      <w:r>
        <w:rPr>
          <w:rFonts w:ascii="Times New Roman" w:hAnsi="Times New Roman" w:eastAsia="等线" w:cs="Times New Roman"/>
        </w:rPr>
        <w:t>;</w:t>
      </w:r>
      <w:r>
        <w:rPr>
          <w:rFonts w:hint="eastAsia" w:ascii="Times New Roman" w:hAnsi="Times New Roman" w:eastAsia="等线" w:cs="Times New Roman"/>
        </w:rPr>
        <w:t xml:space="preserve"> </w:t>
      </w:r>
    </w:p>
    <w:p>
      <w:pPr>
        <w:spacing w:after="312" w:afterLines="100" w:line="276" w:lineRule="auto"/>
        <w:rPr>
          <w:rFonts w:ascii="Times New Roman" w:hAnsi="Times New Roman" w:eastAsia="等线" w:cs="Times New Roman"/>
        </w:rPr>
      </w:pPr>
      <w:r>
        <w:rPr>
          <w:rFonts w:ascii="Times New Roman" w:hAnsi="Times New Roman" w:eastAsia="等线" w:cs="Times New Roman"/>
        </w:rPr>
        <w:t>(iii) Clients having records in futures or options trading, or in trading of any centralized cleared derivatives, for no less than fifty (50) trading days within the past one (1) year on any of the domestic trading venues, or with Recognized Overseas Trading Records in futures or options trading, or in trading of any centralized cleared derivatives, for no less than fifty (50) trading days within the past one (1) year. Such Client shall provide trading records, settlement statements, or other documents, proving that such trades have been executed; and</w:t>
      </w:r>
    </w:p>
    <w:p>
      <w:pPr>
        <w:spacing w:after="312" w:afterLines="100" w:line="276" w:lineRule="auto"/>
        <w:rPr>
          <w:rFonts w:ascii="Times New Roman" w:hAnsi="Times New Roman" w:eastAsia="等线" w:cs="Times New Roman"/>
        </w:rPr>
      </w:pPr>
      <w:r>
        <w:rPr>
          <w:rFonts w:ascii="Times New Roman" w:hAnsi="Times New Roman" w:eastAsia="等线" w:cs="Times New Roman"/>
        </w:rPr>
        <w:t>(iv) market-maker, Special Institutional Client and other traders as recognized by the Exchange</w:t>
      </w:r>
      <w:r>
        <w:rPr>
          <w:rFonts w:hint="eastAsia" w:ascii="Times New Roman" w:hAnsi="Times New Roman" w:eastAsia="等线" w:cs="Times New Roman"/>
        </w:rPr>
        <w:t>.</w:t>
      </w:r>
    </w:p>
    <w:p>
      <w:pPr>
        <w:spacing w:after="312" w:afterLines="100" w:line="276" w:lineRule="auto"/>
        <w:rPr>
          <w:rFonts w:ascii="Times New Roman" w:hAnsi="Times New Roman" w:eastAsia="等线" w:cs="Times New Roman"/>
        </w:rPr>
      </w:pPr>
      <w:r>
        <w:rPr>
          <w:rFonts w:ascii="Times New Roman" w:hAnsi="Times New Roman" w:eastAsia="等线" w:cs="Times New Roman"/>
        </w:rPr>
        <w:t>Special Institutional Clients refers to institutional Clients who are required to manage assets under segregated accounts in accordance with laws, administrative regulations and rules, including, but not limited to, futures firms, securities companies, funds management companies, trust companies and other financial institutions as well as social security funds and Qualified Foreign Institutional Investors.</w:t>
      </w:r>
    </w:p>
    <w:p>
      <w:pPr>
        <w:spacing w:after="312" w:afterLines="100" w:line="276" w:lineRule="auto"/>
        <w:rPr>
          <w:rFonts w:ascii="Times New Roman" w:hAnsi="Times New Roman" w:eastAsia="等线" w:cs="Times New Roman"/>
          <w:b/>
        </w:rPr>
      </w:pPr>
      <w:r>
        <w:rPr>
          <w:rFonts w:ascii="Times New Roman" w:hAnsi="Times New Roman" w:eastAsia="等线" w:cs="Times New Roman"/>
          <w:b/>
        </w:rPr>
        <w:t>VIII. Other Requirements</w:t>
      </w:r>
    </w:p>
    <w:p>
      <w:pPr>
        <w:spacing w:after="312" w:afterLines="100" w:line="276" w:lineRule="auto"/>
        <w:rPr>
          <w:rFonts w:ascii="Times New Roman" w:hAnsi="Times New Roman" w:eastAsia="等线" w:cs="Times New Roman"/>
        </w:rPr>
      </w:pPr>
      <w:r>
        <w:rPr>
          <w:rFonts w:ascii="Times New Roman" w:hAnsi="Times New Roman" w:eastAsia="等线" w:cs="Times New Roman"/>
        </w:rPr>
        <w:t>1. The requirements for application materials of trading codes shall be also applicable to those of trading access. An Account Opening Institution shall keep its Clients’ documents, such as the supporting materials for basic knowledge, trading experience, balance</w:t>
      </w:r>
      <w:r>
        <w:rPr>
          <w:rFonts w:hint="eastAsia" w:ascii="Times New Roman" w:hAnsi="Times New Roman" w:eastAsia="等线" w:cs="Times New Roman"/>
        </w:rPr>
        <w:t xml:space="preserve"> </w:t>
      </w:r>
      <w:r>
        <w:rPr>
          <w:rFonts w:ascii="Times New Roman" w:hAnsi="Times New Roman" w:eastAsia="等线" w:cs="Times New Roman"/>
        </w:rPr>
        <w:t>of the margin account</w:t>
      </w:r>
      <w:r>
        <w:rPr>
          <w:rFonts w:hint="eastAsia" w:ascii="Times New Roman" w:hAnsi="Times New Roman" w:eastAsia="等线" w:cs="Times New Roman"/>
        </w:rPr>
        <w:t>,</w:t>
      </w:r>
      <w:r>
        <w:rPr>
          <w:rFonts w:ascii="Times New Roman" w:hAnsi="Times New Roman" w:eastAsia="等线" w:cs="Times New Roman"/>
        </w:rPr>
        <w:t xml:space="preserve"> and compliance and credit requirements under the eligibility rules</w:t>
      </w:r>
      <w:r>
        <w:rPr>
          <w:rFonts w:hint="eastAsia" w:ascii="Times New Roman" w:hAnsi="Times New Roman" w:eastAsia="等线" w:cs="Times New Roman"/>
        </w:rPr>
        <w:t>, as well as</w:t>
      </w:r>
      <w:r>
        <w:rPr>
          <w:rFonts w:ascii="Times New Roman" w:hAnsi="Times New Roman" w:eastAsia="等线" w:cs="Times New Roman"/>
        </w:rPr>
        <w:t xml:space="preserve"> their trading access applications, as account opening materials.</w:t>
      </w:r>
    </w:p>
    <w:p>
      <w:pPr>
        <w:spacing w:after="312" w:afterLines="100" w:line="276" w:lineRule="auto"/>
        <w:rPr>
          <w:rFonts w:ascii="Times New Roman" w:hAnsi="Times New Roman" w:eastAsia="等线" w:cs="Times New Roman"/>
        </w:rPr>
      </w:pPr>
      <w:r>
        <w:rPr>
          <w:rFonts w:ascii="Times New Roman" w:hAnsi="Times New Roman" w:eastAsia="等线" w:cs="Times New Roman"/>
        </w:rPr>
        <w:t>The Clients may not provide any declaration, representation, explanation, or statement which are false or misleading, or omit any material facts.</w:t>
      </w:r>
    </w:p>
    <w:p>
      <w:pPr>
        <w:spacing w:after="312" w:afterLines="100" w:line="276" w:lineRule="auto"/>
        <w:rPr>
          <w:rFonts w:ascii="Times New Roman" w:hAnsi="Times New Roman" w:eastAsia="等线" w:cs="Times New Roman"/>
        </w:rPr>
      </w:pPr>
      <w:r>
        <w:rPr>
          <w:rFonts w:ascii="Times New Roman" w:hAnsi="Times New Roman" w:eastAsia="等线" w:cs="Times New Roman"/>
        </w:rPr>
        <w:t>2. An Account Opening Institution shall, within three (3) trading days after its Client has obtained the trading access in a listed product subject to eligibility rules, file with the Exchange the trading code associated with such trading access. If the account of the Client has been canceled or if the Client applies to terminate a trading access, the Account Opening Institution shall cancel the filing of such trading access within three (3) trading days.</w:t>
      </w:r>
    </w:p>
    <w:p>
      <w:pPr>
        <w:spacing w:after="312" w:afterLines="100" w:line="276" w:lineRule="auto"/>
        <w:rPr>
          <w:rFonts w:ascii="Times New Roman" w:hAnsi="Times New Roman" w:eastAsia="等线" w:cs="Times New Roman"/>
        </w:rPr>
      </w:pPr>
      <w:r>
        <w:rPr>
          <w:rFonts w:ascii="Times New Roman" w:hAnsi="Times New Roman" w:eastAsia="等线" w:cs="Times New Roman"/>
        </w:rPr>
        <w:t xml:space="preserve">3. If information available to an Account Opening Institution shows that its Client has relevant execution record, the Account Opening Institution may exempt such Client from providing relevant supporting materials. </w:t>
      </w:r>
    </w:p>
    <w:p>
      <w:pPr>
        <w:spacing w:after="312" w:afterLines="100" w:line="276" w:lineRule="auto"/>
        <w:rPr>
          <w:rFonts w:ascii="Times New Roman" w:hAnsi="Times New Roman" w:eastAsia="等线" w:cs="Times New Roman"/>
        </w:rPr>
      </w:pPr>
      <w:r>
        <w:rPr>
          <w:rFonts w:ascii="Times New Roman" w:hAnsi="Times New Roman" w:eastAsia="等线" w:cs="Times New Roman"/>
        </w:rPr>
        <w:t>Upon the request of its Client, an Account Opening Institution shall, where appropriate, issue supporting materials such as those for the Client’s trading experience and trading access.</w:t>
      </w:r>
    </w:p>
    <w:p>
      <w:pPr>
        <w:spacing w:after="312" w:afterLines="100" w:line="276" w:lineRule="auto"/>
        <w:rPr>
          <w:rFonts w:ascii="Times New Roman" w:hAnsi="Times New Roman" w:eastAsia="等线" w:cs="Times New Roman"/>
          <w:b/>
        </w:rPr>
      </w:pPr>
      <w:r>
        <w:rPr>
          <w:rFonts w:ascii="Times New Roman" w:hAnsi="Times New Roman" w:eastAsia="等线" w:cs="Times New Roman"/>
          <w:b/>
        </w:rPr>
        <w:t>IX. Supplemental Provisions</w:t>
      </w:r>
    </w:p>
    <w:p>
      <w:pPr>
        <w:pStyle w:val="30"/>
        <w:numPr>
          <w:ilvl w:val="0"/>
          <w:numId w:val="1"/>
        </w:numPr>
        <w:spacing w:after="312" w:afterLines="100" w:line="276" w:lineRule="auto"/>
        <w:rPr>
          <w:rFonts w:ascii="Times New Roman" w:hAnsi="Times New Roman" w:eastAsia="等线" w:cs="Times New Roman"/>
        </w:rPr>
      </w:pPr>
      <w:r>
        <w:rPr>
          <w:rFonts w:ascii="Times New Roman" w:hAnsi="Times New Roman" w:eastAsia="等线" w:cs="Times New Roman"/>
        </w:rPr>
        <w:t xml:space="preserve">The Exchange reserves the right to interpret these </w:t>
      </w:r>
      <w:r>
        <w:rPr>
          <w:rFonts w:ascii="Times New Roman" w:hAnsi="Times New Roman" w:eastAsia="等线" w:cs="Times New Roman"/>
          <w:i/>
        </w:rPr>
        <w:t>Guidelines</w:t>
      </w:r>
      <w:r>
        <w:rPr>
          <w:rFonts w:ascii="Times New Roman" w:hAnsi="Times New Roman" w:eastAsia="等线" w:cs="Times New Roman"/>
        </w:rPr>
        <w:t>.</w:t>
      </w:r>
    </w:p>
    <w:p>
      <w:pPr>
        <w:pStyle w:val="30"/>
        <w:numPr>
          <w:ilvl w:val="0"/>
          <w:numId w:val="1"/>
        </w:numPr>
        <w:spacing w:after="312" w:afterLines="100" w:line="276" w:lineRule="auto"/>
        <w:rPr>
          <w:rFonts w:ascii="Times New Roman" w:hAnsi="Times New Roman" w:eastAsia="等线" w:cs="Times New Roman"/>
        </w:rPr>
      </w:pPr>
      <w:r>
        <w:rPr>
          <w:rFonts w:ascii="Times New Roman" w:hAnsi="Times New Roman" w:eastAsia="等线" w:cs="Times New Roman"/>
        </w:rPr>
        <w:t xml:space="preserve">These </w:t>
      </w:r>
      <w:r>
        <w:rPr>
          <w:rFonts w:ascii="Times New Roman" w:hAnsi="Times New Roman" w:eastAsia="等线" w:cs="Times New Roman"/>
          <w:i/>
        </w:rPr>
        <w:t>Guidelines</w:t>
      </w:r>
      <w:r>
        <w:rPr>
          <w:rFonts w:ascii="Times New Roman" w:hAnsi="Times New Roman" w:eastAsia="等线" w:cs="Times New Roman"/>
        </w:rPr>
        <w:t xml:space="preserve"> shall take effect as of the date of </w:t>
      </w:r>
      <w:r>
        <w:rPr>
          <w:rFonts w:hint="eastAsia" w:ascii="Times New Roman" w:hAnsi="Times New Roman" w:eastAsia="等线" w:cs="Times New Roman"/>
        </w:rPr>
        <w:t>release</w:t>
      </w:r>
      <w:r>
        <w:rPr>
          <w:rFonts w:ascii="Times New Roman" w:hAnsi="Times New Roman" w:eastAsia="等线" w:cs="Times New Roman"/>
        </w:rPr>
        <w:t xml:space="preserve">. The </w:t>
      </w:r>
      <w:r>
        <w:rPr>
          <w:rFonts w:hint="eastAsia" w:ascii="Times New Roman" w:hAnsi="Times New Roman" w:eastAsia="等线" w:cs="Times New Roman"/>
          <w:i/>
          <w:iCs/>
        </w:rPr>
        <w:t>O</w:t>
      </w:r>
      <w:r>
        <w:rPr>
          <w:rFonts w:ascii="Times New Roman" w:hAnsi="Times New Roman" w:eastAsia="等线" w:cs="Times New Roman"/>
          <w:i/>
          <w:iCs/>
        </w:rPr>
        <w:t xml:space="preserve">perational </w:t>
      </w:r>
      <w:r>
        <w:rPr>
          <w:rFonts w:hint="eastAsia" w:ascii="Times New Roman" w:hAnsi="Times New Roman" w:eastAsia="等线" w:cs="Times New Roman"/>
          <w:i/>
          <w:iCs/>
        </w:rPr>
        <w:t>G</w:t>
      </w:r>
      <w:r>
        <w:rPr>
          <w:rFonts w:ascii="Times New Roman" w:hAnsi="Times New Roman" w:eastAsia="等线" w:cs="Times New Roman"/>
          <w:i/>
          <w:iCs/>
        </w:rPr>
        <w:t xml:space="preserve">uidelines for the Futures Trader Eligibility Rules of the Shanghai </w:t>
      </w:r>
      <w:r>
        <w:rPr>
          <w:rFonts w:hint="eastAsia" w:ascii="Times New Roman" w:hAnsi="Times New Roman" w:eastAsia="等线" w:cs="Times New Roman"/>
          <w:i/>
          <w:iCs/>
        </w:rPr>
        <w:t>Futures</w:t>
      </w:r>
      <w:r>
        <w:rPr>
          <w:rFonts w:ascii="Times New Roman" w:hAnsi="Times New Roman" w:eastAsia="等线" w:cs="Times New Roman"/>
          <w:i/>
          <w:iCs/>
        </w:rPr>
        <w:t xml:space="preserve"> Exchange (interim)</w:t>
      </w:r>
      <w:r>
        <w:rPr>
          <w:rFonts w:ascii="Times New Roman" w:hAnsi="Times New Roman" w:eastAsia="等线" w:cs="Times New Roman"/>
        </w:rPr>
        <w:t xml:space="preserve"> shall be repealed simultaneously</w:t>
      </w:r>
      <w:r>
        <w:rPr>
          <w:rFonts w:ascii="等线" w:hAnsi="等线" w:eastAsia="等线" w:cs="Times New Roman"/>
          <w:szCs w:val="21"/>
        </w:rPr>
        <w:t>.</w:t>
      </w:r>
    </w:p>
    <w:p>
      <w:pPr>
        <w:spacing w:after="312" w:afterLines="100" w:line="276" w:lineRule="auto"/>
        <w:rPr>
          <w:rFonts w:ascii="Times New Roman" w:hAnsi="Times New Roman" w:eastAsia="等线" w:cs="Times New Roman"/>
          <w:sz w:val="22"/>
        </w:rPr>
      </w:pPr>
    </w:p>
    <w:p>
      <w:pPr>
        <w:spacing w:after="160" w:line="276" w:lineRule="auto"/>
        <w:rPr>
          <w:rFonts w:hint="eastAsia" w:ascii="等线" w:hAnsi="等线" w:eastAsia="等线" w:cs="Times New Roman"/>
          <w:sz w:val="22"/>
          <w:szCs w:val="24"/>
          <w14:ligatures w14:val="standardContextual"/>
        </w:rPr>
      </w:pPr>
    </w:p>
    <w:p>
      <w:pPr>
        <w:spacing w:before="240" w:line="600" w:lineRule="exact"/>
        <w:rPr>
          <w:rFonts w:hint="eastAsia" w:eastAsia="方正仿宋简体"/>
          <w:kern w:val="0"/>
          <w:sz w:val="30"/>
          <w:szCs w:val="30"/>
        </w:rPr>
      </w:pPr>
    </w:p>
    <w:p>
      <w:pPr>
        <w:spacing w:before="240" w:line="600" w:lineRule="exact"/>
        <w:rPr>
          <w:rFonts w:hint="eastAsia" w:eastAsia="方正仿宋简体"/>
          <w:kern w:val="0"/>
          <w:sz w:val="30"/>
          <w:szCs w:val="30"/>
        </w:rPr>
      </w:pPr>
    </w:p>
    <w:p>
      <w:pPr>
        <w:spacing w:before="240" w:line="600" w:lineRule="exact"/>
        <w:rPr>
          <w:rFonts w:hint="eastAsia" w:eastAsia="方正仿宋简体"/>
          <w:kern w:val="0"/>
          <w:sz w:val="30"/>
          <w:szCs w:val="30"/>
        </w:rPr>
      </w:pPr>
    </w:p>
    <w:p>
      <w:pPr>
        <w:spacing w:before="240" w:line="600" w:lineRule="exact"/>
        <w:rPr>
          <w:rFonts w:hint="eastAsia" w:eastAsia="方正仿宋简体"/>
          <w:kern w:val="0"/>
          <w:sz w:val="30"/>
          <w:szCs w:val="30"/>
        </w:rPr>
      </w:pPr>
    </w:p>
    <w:p>
      <w:pPr>
        <w:spacing w:before="240" w:line="600" w:lineRule="exact"/>
        <w:rPr>
          <w:rFonts w:hint="eastAsia" w:eastAsia="方正仿宋简体"/>
          <w:kern w:val="0"/>
          <w:sz w:val="30"/>
          <w:szCs w:val="30"/>
        </w:rPr>
      </w:pPr>
    </w:p>
    <w:p>
      <w:pPr>
        <w:spacing w:before="240" w:line="600" w:lineRule="exact"/>
        <w:rPr>
          <w:rFonts w:hint="eastAsia" w:eastAsia="方正仿宋简体"/>
          <w:kern w:val="0"/>
          <w:sz w:val="30"/>
          <w:szCs w:val="30"/>
        </w:rPr>
      </w:pPr>
    </w:p>
    <w:p>
      <w:pPr>
        <w:spacing w:before="240" w:line="600" w:lineRule="exact"/>
        <w:rPr>
          <w:rFonts w:hint="eastAsia" w:eastAsia="方正仿宋简体"/>
          <w:kern w:val="0"/>
          <w:sz w:val="30"/>
          <w:szCs w:val="30"/>
        </w:rPr>
      </w:pPr>
    </w:p>
    <w:p>
      <w:pPr>
        <w:spacing w:before="240" w:line="600" w:lineRule="exact"/>
        <w:rPr>
          <w:rFonts w:hint="eastAsia" w:eastAsia="方正仿宋简体"/>
          <w:kern w:val="0"/>
          <w:sz w:val="30"/>
          <w:szCs w:val="30"/>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等线">
    <w:altName w:val="华文中宋"/>
    <w:panose1 w:val="00000000000000000000"/>
    <w:charset w:val="86"/>
    <w:family w:val="auto"/>
    <w:pitch w:val="default"/>
    <w:sig w:usb0="00000000" w:usb1="00000000" w:usb2="00000000" w:usb3="00000000" w:csb0="00000000" w:csb1="00000000"/>
  </w:font>
  <w:font w:name="等线">
    <w:altName w:val="华文中宋"/>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仿宋简体">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9B2FD3"/>
    <w:multiLevelType w:val="multilevel"/>
    <w:tmpl w:val="6D9B2FD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F17"/>
    <w:rsid w:val="00002F17"/>
    <w:rsid w:val="00090707"/>
    <w:rsid w:val="000D29CC"/>
    <w:rsid w:val="000E36AB"/>
    <w:rsid w:val="002A1CAE"/>
    <w:rsid w:val="002F7C98"/>
    <w:rsid w:val="003746F7"/>
    <w:rsid w:val="004775C4"/>
    <w:rsid w:val="0052400C"/>
    <w:rsid w:val="005C657C"/>
    <w:rsid w:val="00697318"/>
    <w:rsid w:val="006F40F1"/>
    <w:rsid w:val="00746B9E"/>
    <w:rsid w:val="007621F9"/>
    <w:rsid w:val="00811E04"/>
    <w:rsid w:val="00AF69C9"/>
    <w:rsid w:val="00B318DA"/>
    <w:rsid w:val="00BA2B1C"/>
    <w:rsid w:val="00BF56ED"/>
    <w:rsid w:val="00C06D74"/>
    <w:rsid w:val="00C345D5"/>
    <w:rsid w:val="00CB67CE"/>
    <w:rsid w:val="00D64DF8"/>
    <w:rsid w:val="00E26ADB"/>
    <w:rsid w:val="00E846B3"/>
    <w:rsid w:val="00E95A51"/>
    <w:rsid w:val="00EB269F"/>
    <w:rsid w:val="00EC49E6"/>
    <w:rsid w:val="00F121A5"/>
    <w:rsid w:val="00FE549D"/>
    <w:rsid w:val="7DAF65BF"/>
    <w:rsid w:val="7DE4CC47"/>
    <w:rsid w:val="A5DE13F8"/>
    <w:rsid w:val="B76B7C24"/>
    <w:rsid w:val="BFFFEF05"/>
    <w:rsid w:val="F6BA484B"/>
    <w:rsid w:val="F6ED2383"/>
    <w:rsid w:val="F8FC3BCF"/>
    <w:rsid w:val="FF7DF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paragraph" w:customStyle="1" w:styleId="37">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8">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2075</Words>
  <Characters>11828</Characters>
  <Lines>98</Lines>
  <Paragraphs>27</Paragraphs>
  <TotalTime>5</TotalTime>
  <ScaleCrop>false</ScaleCrop>
  <LinksUpToDate>false</LinksUpToDate>
  <CharactersWithSpaces>13876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2026-02-27T00:54:00Z</dcterms:created>
  <dc:creator>光懿 戴</dc:creator>
  <cp:lastModifiedBy>luo.yulian</cp:lastModifiedBy>
  <dcterms:modified xsi:type="dcterms:W3CDTF">2026-03-20T10:55:27Z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5B8E7AA43FAF848374C8AF6953F89579</vt:lpwstr>
  </property>
</Properties>
</file>