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06EBC">
      <w:pPr>
        <w:snapToGrid w:val="0"/>
        <w:spacing w:afterLines="100" w:line="276" w:lineRule="auto"/>
        <w:jc w:val="left"/>
        <w:rPr>
          <w:rFonts w:hint="eastAsia" w:ascii="Times New Roman" w:hAnsi="Times New Roman" w:eastAsia="宋体"/>
          <w:b/>
          <w:bCs/>
          <w:sz w:val="36"/>
          <w:szCs w:val="36"/>
          <w:lang w:val="en-US" w:eastAsia="zh-CN"/>
        </w:rPr>
      </w:pPr>
      <w:bookmarkStart w:id="1" w:name="_GoBack"/>
      <w:bookmarkEnd w:id="1"/>
      <w:r>
        <w:rPr>
          <w:rFonts w:hint="eastAsia" w:ascii="Times New Roman" w:hAnsi="Times New Roman"/>
          <w:b/>
          <w:bCs/>
          <w:sz w:val="36"/>
          <w:szCs w:val="36"/>
        </w:rPr>
        <w:t xml:space="preserve">Appendix </w:t>
      </w:r>
      <w:r>
        <w:rPr>
          <w:rFonts w:hint="eastAsia"/>
          <w:b/>
          <w:bCs/>
          <w:sz w:val="36"/>
          <w:szCs w:val="36"/>
          <w:lang w:val="en-US" w:eastAsia="zh-CN"/>
        </w:rPr>
        <w:t>2</w:t>
      </w:r>
    </w:p>
    <w:p w14:paraId="019124D1">
      <w:pPr>
        <w:pStyle w:val="2"/>
        <w:keepNext w:val="0"/>
        <w:keepLines w:val="0"/>
        <w:widowControl/>
        <w:suppressLineNumbers w:val="0"/>
        <w:spacing w:after="312" w:afterAutospacing="0"/>
        <w:jc w:val="center"/>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RISK MANAGEMENT RULES OF THE SHANGHAI FUTURES EXCHANGE</w:t>
      </w:r>
    </w:p>
    <w:p w14:paraId="7DBCA2A5">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kern w:val="2"/>
          <w:sz w:val="28"/>
          <w:szCs w:val="28"/>
        </w:rPr>
      </w:pPr>
      <w:r>
        <w:rPr>
          <w:rFonts w:hint="default" w:ascii="Times New Roman" w:hAnsi="Times New Roman" w:eastAsia="宋体" w:cs="Times New Roman"/>
          <w:b/>
          <w:bCs/>
          <w:kern w:val="2"/>
          <w:sz w:val="28"/>
          <w:szCs w:val="28"/>
        </w:rPr>
        <w:t>(revised)</w:t>
      </w:r>
    </w:p>
    <w:p w14:paraId="1448C366">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kern w:val="2"/>
          <w:sz w:val="24"/>
          <w:szCs w:val="24"/>
        </w:rPr>
      </w:pPr>
      <w:r>
        <w:rPr>
          <w:rFonts w:hint="default" w:ascii="Times New Roman" w:hAnsi="Times New Roman" w:eastAsia="宋体" w:cs="Times New Roman"/>
          <w:b/>
          <w:bCs/>
          <w:color w:val="auto"/>
          <w:kern w:val="2"/>
          <w:sz w:val="24"/>
          <w:szCs w:val="24"/>
          <w:lang w:val="en-US" w:eastAsia="zh-CN" w:bidi="ar"/>
        </w:rPr>
        <w:t>CHAPTER 1</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b/>
          <w:bCs/>
          <w:color w:val="auto"/>
          <w:kern w:val="2"/>
          <w:sz w:val="24"/>
          <w:szCs w:val="24"/>
          <w:lang w:val="en-US" w:eastAsia="zh-CN" w:bidi="ar"/>
        </w:rPr>
        <w:t>GENERAL PROVISIONS</w:t>
      </w:r>
    </w:p>
    <w:p w14:paraId="460FC8B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1</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are made, in accordance with the</w:t>
      </w:r>
      <w:r>
        <w:rPr>
          <w:rFonts w:hint="default" w:ascii="Times New Roman" w:hAnsi="Times New Roman" w:eastAsia="华文中宋" w:cs="Times New Roman"/>
          <w:bCs/>
          <w:i/>
          <w:iCs/>
          <w:color w:val="auto"/>
          <w:kern w:val="2"/>
          <w:sz w:val="24"/>
          <w:szCs w:val="24"/>
          <w:lang w:val="en-US" w:eastAsia="zh-CN" w:bidi="ar"/>
        </w:rPr>
        <w:t xml:space="preserve"> General Exchange Rules of the Shanghai Futures Exchange</w:t>
      </w:r>
      <w:r>
        <w:rPr>
          <w:rFonts w:hint="default" w:ascii="Times New Roman" w:hAnsi="Times New Roman" w:eastAsia="华文中宋" w:cs="Times New Roman"/>
          <w:bCs/>
          <w:color w:val="auto"/>
          <w:kern w:val="2"/>
          <w:sz w:val="24"/>
          <w:szCs w:val="24"/>
          <w:lang w:val="en-US" w:eastAsia="zh-CN" w:bidi="ar"/>
        </w:rPr>
        <w:t>, to strengthen the risk management of futures trading, safeguard the lawful rights and interests of the futures market participants and guarantee the futures trading activities on or through the Shanghai Futures Exchange, or the Exchange.</w:t>
      </w:r>
    </w:p>
    <w:p w14:paraId="5321111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2</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 risk management regimes adopted by the Exchange include the Margin Requirement, the Price Limit, the </w:t>
      </w:r>
      <w:r>
        <w:rPr>
          <w:rFonts w:hint="default" w:ascii="Times New Roman" w:hAnsi="Times New Roman" w:eastAsia="方正仿宋简体" w:cs="Times New Roman"/>
          <w:color w:val="auto"/>
          <w:kern w:val="2"/>
          <w:sz w:val="24"/>
          <w:szCs w:val="24"/>
          <w:lang w:val="en-US" w:eastAsia="zh-CN" w:bidi="ar"/>
        </w:rPr>
        <w:t xml:space="preserve">Position Limit, the Trading Limit, </w:t>
      </w:r>
      <w:r>
        <w:rPr>
          <w:rFonts w:hint="default" w:ascii="Times New Roman" w:hAnsi="Times New Roman" w:eastAsia="华文中宋" w:cs="Times New Roman"/>
          <w:bCs/>
          <w:color w:val="auto"/>
          <w:kern w:val="2"/>
          <w:sz w:val="24"/>
          <w:szCs w:val="24"/>
          <w:lang w:val="en-US" w:eastAsia="zh-CN" w:bidi="ar"/>
        </w:rPr>
        <w:t xml:space="preserve">the Large Trader </w:t>
      </w:r>
      <w:r>
        <w:rPr>
          <w:rFonts w:hint="default" w:ascii="Times New Roman" w:hAnsi="Times New Roman" w:eastAsia="华文中宋" w:cs="Times New Roman"/>
          <w:color w:val="auto"/>
          <w:kern w:val="2"/>
          <w:sz w:val="24"/>
          <w:szCs w:val="24"/>
          <w:lang w:val="en-US" w:eastAsia="zh-CN" w:bidi="ar"/>
        </w:rPr>
        <w:t>Position</w:t>
      </w:r>
      <w:r>
        <w:rPr>
          <w:rFonts w:hint="default" w:ascii="Times New Roman" w:hAnsi="Times New Roman" w:eastAsia="华文中宋" w:cs="Times New Roman"/>
          <w:bCs/>
          <w:color w:val="auto"/>
          <w:kern w:val="2"/>
          <w:sz w:val="24"/>
          <w:szCs w:val="24"/>
          <w:lang w:val="en-US" w:eastAsia="zh-CN" w:bidi="ar"/>
        </w:rPr>
        <w:t xml:space="preserve"> Reporting, the Forced Position Liquidation, and the Risk Warning, etc.</w:t>
      </w:r>
    </w:p>
    <w:p w14:paraId="25DD8A8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3</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are binding on the Exchange, Members, </w:t>
      </w:r>
      <w:r>
        <w:rPr>
          <w:rFonts w:hint="default" w:ascii="Times New Roman" w:hAnsi="Times New Roman" w:eastAsia="华文中宋" w:cs="Times New Roman"/>
          <w:color w:val="auto"/>
          <w:kern w:val="2"/>
          <w:sz w:val="24"/>
          <w:szCs w:val="24"/>
          <w:lang w:val="en-US" w:eastAsia="zh-CN" w:bidi="ar"/>
        </w:rPr>
        <w:t>Overseas Special Participants (“OSPs”), Overseas Intermediaries,</w:t>
      </w:r>
      <w:r>
        <w:rPr>
          <w:rFonts w:hint="default" w:ascii="Times New Roman" w:hAnsi="Times New Roman" w:eastAsia="华文中宋" w:cs="Times New Roman"/>
          <w:bCs/>
          <w:color w:val="auto"/>
          <w:kern w:val="2"/>
          <w:sz w:val="24"/>
          <w:szCs w:val="24"/>
          <w:lang w:val="en-US" w:eastAsia="zh-CN" w:bidi="ar"/>
        </w:rPr>
        <w:t xml:space="preserve"> and Clients.</w:t>
      </w:r>
    </w:p>
    <w:p w14:paraId="5FF35154">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2</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MARGIN REQUIREMENT</w:t>
      </w:r>
    </w:p>
    <w:p w14:paraId="147B8A9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华文中宋" w:cs="Times New Roman"/>
          <w:b/>
          <w:bCs w:val="0"/>
          <w:color w:val="auto"/>
          <w:kern w:val="2"/>
          <w:sz w:val="24"/>
          <w:szCs w:val="24"/>
          <w:lang w:val="en-US" w:eastAsia="zh-CN" w:bidi="ar"/>
        </w:rPr>
        <w:t>Article 4</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applies </w:t>
      </w:r>
      <w:r>
        <w:rPr>
          <w:rFonts w:hint="default" w:ascii="Times New Roman" w:hAnsi="Times New Roman" w:eastAsia="宋体" w:cs="Times New Roman"/>
          <w:bCs/>
          <w:color w:val="auto"/>
          <w:kern w:val="2"/>
          <w:sz w:val="24"/>
          <w:szCs w:val="24"/>
          <w:lang w:val="en-US" w:eastAsia="zh-CN" w:bidi="ar"/>
        </w:rPr>
        <w:t>Margin Requirement.</w:t>
      </w:r>
    </w:p>
    <w:p w14:paraId="2D196A2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When the following conditions occur in the process of trading a futures contract, the Exchange may, in view of market risk conditions, adjust the trading margin of a contract:</w:t>
      </w:r>
    </w:p>
    <w:p w14:paraId="2ABF38C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(1)</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open interest reaches a certain level;</w:t>
      </w:r>
    </w:p>
    <w:p w14:paraId="2373DA4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(2)</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delivery period approaches;</w:t>
      </w:r>
    </w:p>
    <w:p w14:paraId="205AB98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price change of a contract amounts to a certain rate after a consecutive number of trading days;</w:t>
      </w:r>
    </w:p>
    <w:p w14:paraId="3663471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a futures contract reaches the Price Limit for consecutive trading days; </w:t>
      </w:r>
    </w:p>
    <w:p w14:paraId="4AFB7A5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a long public holiday is approaching; </w:t>
      </w:r>
    </w:p>
    <w:p w14:paraId="787D091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(6)</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 Exchange, at its discretion, decides that the risk of the market is increasing; and </w:t>
      </w:r>
    </w:p>
    <w:p w14:paraId="0352A36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(7)</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other events or conditions the Exchange deems necessary to adjust the trading margin of a contract.</w:t>
      </w:r>
    </w:p>
    <w:p w14:paraId="0AAE96D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 xml:space="preserve">The Exchange shall make a public announcement and report to the </w:t>
      </w:r>
      <w:r>
        <w:rPr>
          <w:rFonts w:hint="default" w:ascii="Times New Roman" w:hAnsi="Times New Roman" w:eastAsia="华文中宋" w:cs="Times New Roman"/>
          <w:color w:val="auto"/>
          <w:kern w:val="2"/>
          <w:sz w:val="24"/>
          <w:szCs w:val="24"/>
          <w:lang w:val="en-US" w:eastAsia="zh-CN" w:bidi="ar"/>
        </w:rPr>
        <w:t>China Securities Regulatory Commission (</w:t>
      </w:r>
      <w:r>
        <w:rPr>
          <w:rFonts w:hint="default" w:ascii="Times New Roman" w:hAnsi="Times New Roman" w:eastAsia="华文中宋" w:cs="Times New Roman"/>
          <w:bCs/>
          <w:color w:val="auto"/>
          <w:kern w:val="2"/>
          <w:sz w:val="24"/>
          <w:szCs w:val="24"/>
          <w:lang w:val="en-US" w:eastAsia="zh-CN" w:bidi="ar"/>
        </w:rPr>
        <w:t>“CSRC”</w:t>
      </w:r>
      <w:r>
        <w:rPr>
          <w:rFonts w:hint="default" w:ascii="Times New Roman" w:hAnsi="Times New Roman" w:eastAsia="华文中宋" w:cs="Times New Roman"/>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of its decision to adjust the trading margin.</w:t>
      </w:r>
    </w:p>
    <w:p w14:paraId="49F19AB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strike w:val="0"/>
          <w:dstrike/>
          <w:kern w:val="2"/>
          <w:sz w:val="24"/>
          <w:szCs w:val="24"/>
        </w:rPr>
      </w:pPr>
      <w:r>
        <w:rPr>
          <w:rFonts w:hint="default" w:ascii="Times New Roman" w:hAnsi="Times New Roman" w:eastAsia="华文中宋" w:cs="Times New Roman"/>
          <w:b/>
          <w:bCs w:val="0"/>
          <w:color w:val="auto"/>
          <w:kern w:val="2"/>
          <w:sz w:val="24"/>
          <w:szCs w:val="24"/>
          <w:lang w:val="en-US" w:eastAsia="zh-CN" w:bidi="ar"/>
        </w:rPr>
        <w:t>Article 5</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The Exchange applies different rates of trading margin for a futures contract based on the stage of its lifecycle (i.e., from the listing day to the last trading day)</w:t>
      </w:r>
      <w:r>
        <w:rPr>
          <w:rFonts w:hint="default" w:ascii="Times New Roman" w:hAnsi="Times New Roman" w:eastAsia="华文中宋" w:cs="Times New Roman"/>
          <w:color w:val="auto"/>
          <w:kern w:val="2"/>
          <w:sz w:val="24"/>
          <w:szCs w:val="24"/>
          <w:lang w:val="en-US" w:eastAsia="zh-CN" w:bidi="ar"/>
        </w:rPr>
        <w:t>. Specific rates are governed by the futures rules for the particular products.</w:t>
      </w:r>
    </w:p>
    <w:p w14:paraId="1B5AD1C2">
      <w:pPr>
        <w:keepNext w:val="0"/>
        <w:keepLines w:val="0"/>
        <w:widowControl/>
        <w:suppressLineNumbers w:val="0"/>
        <w:adjustRightInd w:val="0"/>
        <w:snapToGrid w:val="0"/>
        <w:spacing w:before="312" w:beforeLines="10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When a futures contract approaches a stage of trading that requires a trading margin adjustment, the Exchange shall, at daily clearing on the trading day prior to the day that such adjustment shall take effect, settle existing positions at the new rate of trading margin. Anyone with insufficient margin balance shall deposit additional funds to meet the Margin Requirement by market-open of the next trading day.</w:t>
      </w:r>
    </w:p>
    <w:p w14:paraId="7B00B58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During the delivery month, a seller may post standard warrants as a performance security for the corresponding size of open positions in the delivery month, in which case the trading Margin Requirement for those positions will be waived.</w:t>
      </w:r>
    </w:p>
    <w:p w14:paraId="4D09A8B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following is an example of the period of trading of the futures contract, Cu0305, from its listing to its last trading day: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2"/>
        <w:gridCol w:w="3940"/>
      </w:tblGrid>
      <w:tr w14:paraId="5B353689">
        <w:tc>
          <w:tcPr>
            <w:tcW w:w="4855" w:type="dxa"/>
            <w:tcBorders>
              <w:top w:val="single" w:color="auto" w:sz="4" w:space="0"/>
              <w:left w:val="single" w:color="auto" w:sz="4" w:space="0"/>
              <w:bottom w:val="single" w:color="auto" w:sz="4" w:space="0"/>
              <w:right w:val="single" w:color="auto" w:sz="4" w:space="0"/>
            </w:tcBorders>
            <w:noWrap w:val="0"/>
            <w:vAlign w:val="top"/>
          </w:tcPr>
          <w:p w14:paraId="7680B34C">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Period of trading</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67B16774">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From May 16, 2002 to May 15, 2003</w:t>
            </w:r>
          </w:p>
        </w:tc>
      </w:tr>
      <w:tr w14:paraId="702A0250">
        <w:tc>
          <w:tcPr>
            <w:tcW w:w="4855" w:type="dxa"/>
            <w:tcBorders>
              <w:top w:val="single" w:color="auto" w:sz="4" w:space="0"/>
              <w:left w:val="single" w:color="auto" w:sz="4" w:space="0"/>
              <w:bottom w:val="single" w:color="auto" w:sz="4" w:space="0"/>
              <w:right w:val="single" w:color="auto" w:sz="4" w:space="0"/>
            </w:tcBorders>
            <w:noWrap w:val="0"/>
            <w:vAlign w:val="top"/>
          </w:tcPr>
          <w:p w14:paraId="63A41AEF">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Date of listing</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1A8E857C">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16, 2002</w:t>
            </w:r>
          </w:p>
        </w:tc>
      </w:tr>
      <w:tr w14:paraId="1BF36819">
        <w:tc>
          <w:tcPr>
            <w:tcW w:w="4855" w:type="dxa"/>
            <w:tcBorders>
              <w:top w:val="single" w:color="auto" w:sz="4" w:space="0"/>
              <w:left w:val="single" w:color="auto" w:sz="4" w:space="0"/>
              <w:bottom w:val="single" w:color="auto" w:sz="4" w:space="0"/>
              <w:right w:val="single" w:color="auto" w:sz="4" w:space="0"/>
            </w:tcBorders>
            <w:noWrap w:val="0"/>
            <w:vAlign w:val="top"/>
          </w:tcPr>
          <w:p w14:paraId="3E413D26">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5AAF8DFD">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15, 2003</w:t>
            </w:r>
          </w:p>
        </w:tc>
      </w:tr>
      <w:tr w14:paraId="6E93F85E">
        <w:tc>
          <w:tcPr>
            <w:tcW w:w="4855" w:type="dxa"/>
            <w:tcBorders>
              <w:top w:val="single" w:color="auto" w:sz="4" w:space="0"/>
              <w:left w:val="single" w:color="auto" w:sz="4" w:space="0"/>
              <w:bottom w:val="single" w:color="auto" w:sz="4" w:space="0"/>
              <w:right w:val="single" w:color="auto" w:sz="4" w:space="0"/>
            </w:tcBorders>
            <w:noWrap w:val="0"/>
            <w:vAlign w:val="top"/>
          </w:tcPr>
          <w:p w14:paraId="21048CB3">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Trading day prior to the 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3C4F6E7C">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14, 2003</w:t>
            </w:r>
          </w:p>
        </w:tc>
      </w:tr>
      <w:tr w14:paraId="619C05E3">
        <w:tc>
          <w:tcPr>
            <w:tcW w:w="4855" w:type="dxa"/>
            <w:tcBorders>
              <w:top w:val="single" w:color="auto" w:sz="4" w:space="0"/>
              <w:left w:val="single" w:color="auto" w:sz="4" w:space="0"/>
              <w:bottom w:val="single" w:color="auto" w:sz="4" w:space="0"/>
              <w:right w:val="single" w:color="auto" w:sz="4" w:space="0"/>
            </w:tcBorders>
            <w:noWrap w:val="0"/>
            <w:vAlign w:val="top"/>
          </w:tcPr>
          <w:p w14:paraId="1F4586B7">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Second trading day prior to the last trading day</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2F5F56A7">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13, 2003</w:t>
            </w:r>
          </w:p>
        </w:tc>
      </w:tr>
      <w:tr w14:paraId="1BE3C424">
        <w:tc>
          <w:tcPr>
            <w:tcW w:w="4855" w:type="dxa"/>
            <w:tcBorders>
              <w:top w:val="single" w:color="auto" w:sz="4" w:space="0"/>
              <w:left w:val="single" w:color="auto" w:sz="4" w:space="0"/>
              <w:bottom w:val="single" w:color="auto" w:sz="4" w:space="0"/>
              <w:right w:val="single" w:color="auto" w:sz="4" w:space="0"/>
            </w:tcBorders>
            <w:noWrap w:val="0"/>
            <w:vAlign w:val="top"/>
          </w:tcPr>
          <w:p w14:paraId="0201835E">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0EAC007C">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May 2003</w:t>
            </w:r>
          </w:p>
        </w:tc>
      </w:tr>
      <w:tr w14:paraId="57E0EB25">
        <w:tc>
          <w:tcPr>
            <w:tcW w:w="4855" w:type="dxa"/>
            <w:tcBorders>
              <w:top w:val="single" w:color="auto" w:sz="4" w:space="0"/>
              <w:left w:val="single" w:color="auto" w:sz="4" w:space="0"/>
              <w:bottom w:val="single" w:color="auto" w:sz="4" w:space="0"/>
              <w:right w:val="single" w:color="auto" w:sz="4" w:space="0"/>
            </w:tcBorders>
            <w:noWrap w:val="0"/>
            <w:vAlign w:val="top"/>
          </w:tcPr>
          <w:p w14:paraId="6BE20AB6">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36B394F3">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April 2003</w:t>
            </w:r>
          </w:p>
        </w:tc>
      </w:tr>
      <w:tr w14:paraId="4EC69373">
        <w:tc>
          <w:tcPr>
            <w:tcW w:w="4855" w:type="dxa"/>
            <w:tcBorders>
              <w:top w:val="single" w:color="auto" w:sz="4" w:space="0"/>
              <w:left w:val="single" w:color="auto" w:sz="4" w:space="0"/>
              <w:bottom w:val="single" w:color="auto" w:sz="4" w:space="0"/>
              <w:right w:val="single" w:color="auto" w:sz="4" w:space="0"/>
            </w:tcBorders>
            <w:noWrap w:val="0"/>
            <w:vAlign w:val="top"/>
          </w:tcPr>
          <w:p w14:paraId="25DA0460">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Second 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5BA6A265">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March 2003</w:t>
            </w:r>
          </w:p>
        </w:tc>
      </w:tr>
      <w:tr w14:paraId="005E5075">
        <w:tc>
          <w:tcPr>
            <w:tcW w:w="4855" w:type="dxa"/>
            <w:tcBorders>
              <w:top w:val="single" w:color="auto" w:sz="4" w:space="0"/>
              <w:left w:val="single" w:color="auto" w:sz="4" w:space="0"/>
              <w:bottom w:val="single" w:color="auto" w:sz="4" w:space="0"/>
              <w:right w:val="single" w:color="auto" w:sz="4" w:space="0"/>
            </w:tcBorders>
            <w:noWrap w:val="0"/>
            <w:vAlign w:val="top"/>
          </w:tcPr>
          <w:p w14:paraId="5391145F">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Third month prior to the delivery month</w:t>
            </w:r>
          </w:p>
        </w:tc>
        <w:tc>
          <w:tcPr>
            <w:tcW w:w="4161" w:type="dxa"/>
            <w:tcBorders>
              <w:top w:val="single" w:color="auto" w:sz="4" w:space="0"/>
              <w:left w:val="single" w:color="auto" w:sz="4" w:space="0"/>
              <w:bottom w:val="single" w:color="auto" w:sz="4" w:space="0"/>
              <w:right w:val="single" w:color="auto" w:sz="4" w:space="0"/>
            </w:tcBorders>
            <w:noWrap w:val="0"/>
            <w:vAlign w:val="top"/>
          </w:tcPr>
          <w:p w14:paraId="4D194A57">
            <w:pPr>
              <w:keepNext w:val="0"/>
              <w:keepLines w:val="0"/>
              <w:widowControl/>
              <w:suppressLineNumbers w:val="0"/>
              <w:adjustRightInd w:val="0"/>
              <w:snapToGrid w:val="0"/>
              <w:spacing w:before="60" w:beforeAutospacing="0" w:after="60" w:afterAutospacing="0" w:line="256" w:lineRule="auto"/>
              <w:ind w:left="0" w:right="0"/>
              <w:jc w:val="left"/>
              <w:rPr>
                <w:rFonts w:hint="default" w:ascii="Times New Roman" w:hAnsi="Times New Roman" w:eastAsia="华文中宋" w:cs="Times New Roman"/>
                <w:bCs/>
                <w:kern w:val="0"/>
                <w:sz w:val="24"/>
                <w:szCs w:val="24"/>
              </w:rPr>
            </w:pPr>
            <w:r>
              <w:rPr>
                <w:rFonts w:hint="default" w:ascii="Times New Roman" w:hAnsi="Times New Roman" w:eastAsia="华文中宋" w:cs="Times New Roman"/>
                <w:bCs/>
                <w:color w:val="auto"/>
                <w:kern w:val="0"/>
                <w:sz w:val="24"/>
                <w:szCs w:val="24"/>
                <w:lang w:val="en-US" w:eastAsia="zh-CN" w:bidi="ar"/>
              </w:rPr>
              <w:t>February 2003</w:t>
            </w:r>
          </w:p>
        </w:tc>
      </w:tr>
    </w:tbl>
    <w:p w14:paraId="243BB9A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宋体" w:cs="Times New Roman"/>
          <w:color w:val="auto"/>
          <w:kern w:val="2"/>
          <w:sz w:val="24"/>
          <w:szCs w:val="24"/>
          <w:lang w:val="en-US" w:eastAsia="zh-CN" w:bidi="ar"/>
        </w:rPr>
        <w:fldChar w:fldCharType="begin"/>
      </w:r>
      <w:r>
        <w:rPr>
          <w:rFonts w:hint="default" w:ascii="Times New Roman" w:hAnsi="Times New Roman" w:eastAsia="宋体" w:cs="Times New Roman"/>
          <w:color w:val="auto"/>
          <w:kern w:val="2"/>
          <w:sz w:val="24"/>
          <w:szCs w:val="24"/>
          <w:lang w:val="en-US" w:eastAsia="zh-CN" w:bidi="ar"/>
        </w:rPr>
        <w:instrText xml:space="preserve">INCLUDEPICTURE \d "/tmp/wps-ye.yong/ksohtml/wpsjkY2Xv.png" \* MERGEFORMATINET </w:instrText>
      </w:r>
      <w:r>
        <w:rPr>
          <w:rFonts w:hint="default" w:ascii="Times New Roman" w:hAnsi="Times New Roman" w:eastAsia="宋体" w:cs="Times New Roman"/>
          <w:color w:val="auto"/>
          <w:kern w:val="2"/>
          <w:sz w:val="24"/>
          <w:szCs w:val="24"/>
          <w:lang w:val="en-US" w:eastAsia="zh-CN" w:bidi="ar"/>
        </w:rPr>
        <w:fldChar w:fldCharType="separate"/>
      </w:r>
      <w:r>
        <w:rPr>
          <w:rFonts w:hint="default" w:ascii="Times New Roman" w:hAnsi="Times New Roman" w:eastAsia="宋体" w:cs="Times New Roman"/>
          <w:color w:val="auto"/>
          <w:kern w:val="2"/>
          <w:sz w:val="24"/>
          <w:szCs w:val="24"/>
          <w:lang w:val="en-US" w:eastAsia="zh-CN" w:bidi="ar"/>
        </w:rPr>
        <w:drawing>
          <wp:inline distT="0" distB="0" distL="114300" distR="114300">
            <wp:extent cx="5886450" cy="1724025"/>
            <wp:effectExtent l="0" t="0" r="6350"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6"/>
                    <a:stretch>
                      <a:fillRect/>
                    </a:stretch>
                  </pic:blipFill>
                  <pic:spPr>
                    <a:xfrm>
                      <a:off x="0" y="0"/>
                      <a:ext cx="5886450" cy="1724025"/>
                    </a:xfrm>
                    <a:prstGeom prst="rect">
                      <a:avLst/>
                    </a:prstGeom>
                    <a:noFill/>
                    <a:ln>
                      <a:noFill/>
                    </a:ln>
                  </pic:spPr>
                </pic:pic>
              </a:graphicData>
            </a:graphic>
          </wp:inline>
        </w:drawing>
      </w:r>
      <w:r>
        <w:rPr>
          <w:rFonts w:hint="default" w:ascii="Times New Roman" w:hAnsi="Times New Roman" w:eastAsia="宋体" w:cs="Times New Roman"/>
          <w:color w:val="auto"/>
          <w:kern w:val="2"/>
          <w:sz w:val="24"/>
          <w:szCs w:val="24"/>
          <w:lang w:val="en-US" w:eastAsia="zh-CN" w:bidi="ar"/>
        </w:rPr>
        <w:fldChar w:fldCharType="end"/>
      </w:r>
    </w:p>
    <w:p w14:paraId="3ED621F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 xml:space="preserve">This paragraph exemplifies the division of time periods of a futures contract referred to in 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w:t>
      </w:r>
    </w:p>
    <w:p w14:paraId="12B4123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
          <w:bCs w:val="0"/>
          <w:color w:val="auto"/>
          <w:kern w:val="2"/>
          <w:sz w:val="24"/>
          <w:szCs w:val="24"/>
          <w:lang w:val="en-US" w:eastAsia="zh-CN" w:bidi="ar"/>
        </w:rPr>
        <w:t>Article 6</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In the event that trading in a futures contract reaches a Price Limit, the Margin Requirements set forth in Chapter 3 of these </w:t>
      </w:r>
      <w:r>
        <w:rPr>
          <w:rFonts w:hint="default" w:ascii="Times New Roman" w:hAnsi="Times New Roman" w:eastAsia="华文中宋" w:cs="Times New Roman"/>
          <w:bCs/>
          <w:i/>
          <w:iCs/>
          <w:color w:val="auto"/>
          <w:kern w:val="2"/>
          <w:sz w:val="24"/>
          <w:szCs w:val="24"/>
          <w:lang w:val="en-US" w:eastAsia="zh-CN" w:bidi="ar"/>
        </w:rPr>
        <w:t>Risk Management Rules</w:t>
      </w:r>
      <w:r>
        <w:rPr>
          <w:rFonts w:hint="default" w:ascii="Times New Roman" w:hAnsi="Times New Roman" w:eastAsia="华文中宋" w:cs="Times New Roman"/>
          <w:bCs/>
          <w:color w:val="auto"/>
          <w:kern w:val="2"/>
          <w:sz w:val="24"/>
          <w:szCs w:val="24"/>
          <w:lang w:val="en-US" w:eastAsia="zh-CN" w:bidi="ar"/>
        </w:rPr>
        <w:t xml:space="preserve"> shall apply.</w:t>
      </w:r>
    </w:p>
    <w:p w14:paraId="1634B5F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
          <w:bCs w:val="0"/>
          <w:kern w:val="2"/>
          <w:sz w:val="24"/>
          <w:szCs w:val="24"/>
        </w:rPr>
      </w:pPr>
      <w:r>
        <w:rPr>
          <w:rFonts w:hint="default" w:ascii="Times New Roman" w:hAnsi="Times New Roman" w:eastAsia="华文中宋" w:cs="Times New Roman"/>
          <w:b/>
          <w:bCs w:val="0"/>
          <w:color w:val="auto"/>
          <w:kern w:val="2"/>
          <w:sz w:val="24"/>
          <w:szCs w:val="24"/>
          <w:lang w:val="en-US" w:eastAsia="zh-CN" w:bidi="ar"/>
        </w:rPr>
        <w:t>Article 7</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For </w:t>
      </w:r>
      <w:r>
        <w:rPr>
          <w:rFonts w:hint="default" w:ascii="Times New Roman" w:hAnsi="Times New Roman" w:eastAsia="华文中宋" w:cs="Times New Roman"/>
          <w:color w:val="auto"/>
          <w:kern w:val="2"/>
          <w:sz w:val="24"/>
          <w:szCs w:val="24"/>
          <w:lang w:val="en-US" w:eastAsia="zh-CN" w:bidi="ar"/>
        </w:rPr>
        <w:t xml:space="preserve">a </w:t>
      </w:r>
      <w:r>
        <w:rPr>
          <w:rFonts w:hint="default" w:ascii="Times New Roman" w:hAnsi="Times New Roman" w:eastAsia="华文中宋" w:cs="Times New Roman"/>
          <w:bCs/>
          <w:color w:val="auto"/>
          <w:kern w:val="2"/>
          <w:sz w:val="24"/>
          <w:szCs w:val="24"/>
          <w:lang w:val="en-US" w:eastAsia="zh-CN" w:bidi="ar"/>
        </w:rPr>
        <w:t xml:space="preserve">futures contract: </w:t>
      </w:r>
    </w:p>
    <w:p w14:paraId="6F6CBA8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(a)</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 xml:space="preserve">1.5 times the normal Price Limit of the contract </w:t>
      </w:r>
      <w:r>
        <w:rPr>
          <w:rFonts w:hint="default" w:ascii="Times New Roman" w:hAnsi="Times New Roman" w:eastAsia="华文中宋" w:cs="Times New Roman"/>
          <w:bCs/>
          <w:color w:val="auto"/>
          <w:kern w:val="2"/>
          <w:sz w:val="24"/>
          <w:szCs w:val="24"/>
          <w:lang w:val="en-US" w:eastAsia="zh-CN" w:bidi="ar"/>
        </w:rPr>
        <w:t>for three (3) consecutive trading days (denoted as D1-D3) or</w:t>
      </w:r>
    </w:p>
    <w:p w14:paraId="01FDC5E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(b)</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four (4) consecutive trading days (denoted as D1-D4) or</w:t>
      </w:r>
    </w:p>
    <w:p w14:paraId="05501B7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(c)</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2.5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five (5) consecutive trading days (denoted as D1-D5),</w:t>
      </w:r>
    </w:p>
    <w:p w14:paraId="31DEFFE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Exchange may, in view of market conditions, take</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one or a combination of the following measures</w:t>
      </w:r>
      <w:r>
        <w:rPr>
          <w:rFonts w:hint="default" w:ascii="Times New Roman" w:hAnsi="Times New Roman" w:eastAsia="华文中宋" w:cs="Times New Roman"/>
          <w:color w:val="auto"/>
          <w:kern w:val="2"/>
          <w:sz w:val="24"/>
          <w:szCs w:val="24"/>
          <w:lang w:val="en-US" w:eastAsia="zh-CN" w:bidi="ar"/>
        </w:rPr>
        <w:t xml:space="preserve"> with a prior report to the CSRC</w:t>
      </w:r>
      <w:r>
        <w:rPr>
          <w:rFonts w:hint="default" w:ascii="Times New Roman" w:hAnsi="Times New Roman" w:eastAsia="华文中宋" w:cs="Times New Roman"/>
          <w:bCs/>
          <w:color w:val="auto"/>
          <w:kern w:val="2"/>
          <w:sz w:val="24"/>
          <w:szCs w:val="24"/>
          <w:lang w:val="en-US" w:eastAsia="zh-CN" w:bidi="ar"/>
        </w:rPr>
        <w:t>:</w:t>
      </w:r>
    </w:p>
    <w:p w14:paraId="1D3D964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require additional trading margin from the long or short positions or both, at the same or different rates, and from some or all of the Members and/or OSPs;</w:t>
      </w:r>
    </w:p>
    <w:p w14:paraId="20E37F1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limit the withdrawal of funds by some or all of the Members;</w:t>
      </w:r>
    </w:p>
    <w:p w14:paraId="3B595CA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suspend the opening of new positions by some or all of the Members and/or OSPs;</w:t>
      </w:r>
    </w:p>
    <w:p w14:paraId="03909A8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(iv)</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 xml:space="preserve">adjust the Price Limit; </w:t>
      </w:r>
    </w:p>
    <w:p w14:paraId="20C7C1E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order the liquidation of positions by a prescribed deadline; or</w:t>
      </w:r>
    </w:p>
    <w:p w14:paraId="540CCF2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exercise Forced Position Liquidation; and/or</w:t>
      </w:r>
    </w:p>
    <w:p w14:paraId="5C51120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(vii)</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take</w:t>
      </w:r>
      <w:r>
        <w:rPr>
          <w:rFonts w:hint="default" w:ascii="Times New Roman" w:hAnsi="Times New Roman"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other measures the Exchange deems necessary.</w:t>
      </w:r>
    </w:p>
    <w:p w14:paraId="488E9B0B">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 is calculated using the following formula:</w:t>
      </w:r>
    </w:p>
    <w:p w14:paraId="52D1AD0D">
      <w:pPr>
        <w:keepNext w:val="0"/>
        <w:keepLines w:val="0"/>
        <w:widowControl/>
        <w:suppressLineNumbers w:val="0"/>
        <w:adjustRightInd w:val="0"/>
        <w:snapToGrid w:val="0"/>
        <w:spacing w:before="0" w:beforeAutospacing="0" w:after="312" w:afterLines="100" w:afterAutospacing="0" w:line="256" w:lineRule="auto"/>
        <w:ind w:left="708" w:leftChars="337" w:right="0"/>
        <w:jc w:val="both"/>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"/tmp/wps-ye.yong/ksohtml/wpsnN5RC5.jpg"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1417320" cy="306705"/>
            <wp:effectExtent l="0" t="0" r="0"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7"/>
                    <a:srcRect l="20000" t="-15000"/>
                    <a:stretch>
                      <a:fillRect/>
                    </a:stretch>
                  </pic:blipFill>
                  <pic:spPr>
                    <a:xfrm>
                      <a:off x="0" y="0"/>
                      <a:ext cx="1417320" cy="30670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eastAsia"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 = 3,4,5</w:t>
      </w:r>
    </w:p>
    <w:p w14:paraId="2720B1FC">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0</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prior to D1;</w:t>
      </w:r>
    </w:p>
    <w:p w14:paraId="144A4EA0">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t</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“t” and t = 3, 4, 5; </w:t>
      </w:r>
    </w:p>
    <w:p w14:paraId="4F9EE2AC">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is the settlement price of D3;</w:t>
      </w:r>
    </w:p>
    <w:p w14:paraId="3C1F4041">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4</w:t>
      </w:r>
      <w:r>
        <w:rPr>
          <w:rFonts w:hint="default" w:ascii="Times New Roman" w:hAnsi="Times New Roman" w:eastAsia="方正仿宋简体" w:cs="Times New Roman"/>
          <w:bCs/>
          <w:color w:val="auto"/>
          <w:kern w:val="2"/>
          <w:sz w:val="24"/>
          <w:szCs w:val="24"/>
          <w:lang w:val="en-US" w:eastAsia="zh-CN" w:bidi="ar"/>
        </w:rPr>
        <w:t xml:space="preserve"> is the settlement price of D4;</w:t>
      </w:r>
    </w:p>
    <w:p w14:paraId="68CBD2B8">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is the settlement price of D5.</w:t>
      </w:r>
    </w:p>
    <w:p w14:paraId="53FC29F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8</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In the event that two or more trading margins are applicable as prescribed in this Chapter 2, the higher or the highest shall be applied as the trading margin.</w:t>
      </w:r>
    </w:p>
    <w:p w14:paraId="59266B8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color w:val="auto"/>
          <w:kern w:val="2"/>
          <w:sz w:val="24"/>
          <w:szCs w:val="24"/>
          <w:lang w:val="en-US" w:eastAsia="zh-CN" w:bidi="ar"/>
        </w:rPr>
        <w:t>Article 9</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Clearing deposit is managed in accordance with the </w:t>
      </w:r>
      <w:r>
        <w:rPr>
          <w:rFonts w:hint="default" w:ascii="Times New Roman" w:hAnsi="Times New Roman" w:eastAsia="方正仿宋简体" w:cs="Times New Roman"/>
          <w:bCs/>
          <w:i/>
          <w:iCs/>
          <w:color w:val="auto"/>
          <w:kern w:val="2"/>
          <w:sz w:val="24"/>
          <w:szCs w:val="24"/>
          <w:lang w:val="en-US" w:eastAsia="zh-CN" w:bidi="ar"/>
        </w:rPr>
        <w:t>Clearing Rules of the Shanghai Futures Exchange</w:t>
      </w:r>
      <w:r>
        <w:rPr>
          <w:rFonts w:hint="default" w:ascii="Times New Roman" w:hAnsi="Times New Roman" w:eastAsia="方正仿宋简体" w:cs="Times New Roman"/>
          <w:bCs/>
          <w:color w:val="auto"/>
          <w:kern w:val="2"/>
          <w:sz w:val="24"/>
          <w:szCs w:val="24"/>
          <w:lang w:val="en-US" w:eastAsia="zh-CN" w:bidi="ar"/>
        </w:rPr>
        <w:t>.</w:t>
      </w:r>
    </w:p>
    <w:p w14:paraId="16747E74">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3</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PRICE LIMIT</w:t>
      </w:r>
    </w:p>
    <w:p w14:paraId="4FB706F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10</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applies the Price Limit which sets the maximum price change for each futures contract during a trading day.</w:t>
      </w:r>
    </w:p>
    <w:p w14:paraId="2C0D962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Exchange will, at its sole discretion, adjust the Price Limit of a futures contract when any of the following events or conditions occurs: </w:t>
      </w:r>
    </w:p>
    <w:p w14:paraId="65BB05E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same direction limit-locked market exists in the trading of a futures contract; </w:t>
      </w:r>
    </w:p>
    <w:p w14:paraId="7EE6829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a long public holiday is approaching; </w:t>
      </w:r>
    </w:p>
    <w:p w14:paraId="71B4C0A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the Exchange, at its discretion, decides that the risk of the market is increasing; and </w:t>
      </w:r>
    </w:p>
    <w:p w14:paraId="6B541A1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other </w:t>
      </w:r>
      <w:r>
        <w:rPr>
          <w:rFonts w:hint="default" w:ascii="Times New Roman" w:hAnsi="Times New Roman" w:eastAsia="方正仿宋简体" w:cs="Times New Roman"/>
          <w:bCs/>
          <w:color w:val="auto"/>
          <w:kern w:val="2"/>
          <w:sz w:val="24"/>
          <w:szCs w:val="24"/>
          <w:lang w:val="en-US" w:eastAsia="zh-CN" w:bidi="ar"/>
        </w:rPr>
        <w:t>events or conditions the Exchange deems necessary to adjust the Price Limit.</w:t>
      </w:r>
    </w:p>
    <w:p w14:paraId="34E93C5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Exchange shall make a public announcement and report to the CSRC of its decision to adjust the Price Limit.</w:t>
      </w:r>
    </w:p>
    <w:p w14:paraId="0814AC7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two or more limit prices are applicable as prescribed in this Chapter 3, the higher or the highest shall be applied as the Price Limit. </w:t>
      </w:r>
    </w:p>
    <w:p w14:paraId="4E16ACD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When a futures contract hits the Price Limit, trades shall be matched with priority given to the bids or the asks which facilitate the close-out of the open interest, except for new positions opened on the current day, and based on the time priority rule.</w:t>
      </w:r>
    </w:p>
    <w:p w14:paraId="7BBE53D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12</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term “limit-locked market” means the situation in which within the five (5) minutes prior to the close of a trading day, there are only bids (asks) but no asks (bids) at the limit price, or any asks (bids) are instantly filled while the limit price still exists, with the current price equaling the limit price. </w:t>
      </w:r>
    </w:p>
    <w:p w14:paraId="4DB24E9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term “same direction limit-locked market” means the situation in which the limit-locked market exists for two (2) consecutive trading days. The term “reverse direction limit-locked market” means the situation in which on the trading day following a limit-locked market, the limit-locked market goes to the opposite direction.</w:t>
      </w:r>
    </w:p>
    <w:p w14:paraId="4020346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In the event that a limit-locked market occurs to a futures contract on a trading day (denoted as D1 whereas the previous trading day is D0 and the successive five (5) trading days are D2-D6), the Price Limit and trading margin of the contract for D2 shall be adjusted as follows:</w:t>
      </w:r>
    </w:p>
    <w:p w14:paraId="57A6377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Price Limit shall be increased by three percent (3%) on top of that for D1; and</w:t>
      </w:r>
    </w:p>
    <w:p w14:paraId="7B203E3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trading margin shall be increased by two percent (2%) on top of the Price Limit for D2. If the trading margin as adjusted is smaller than what is applied on D0 to the daily clearing, the same trading margin as applied on D0 will be used as the trading margin for that contract.</w:t>
      </w:r>
    </w:p>
    <w:p w14:paraId="76FC455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D1 is the first trading day for a newly listed contract, the contract’s trading margin for D1 shall be used as the trading margin applied to the daily clearing of D0.</w:t>
      </w:r>
    </w:p>
    <w:p w14:paraId="4AEE996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14</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D2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the Price Limit and trading margin for D3 will return to the regular level.</w:t>
      </w:r>
    </w:p>
    <w:p w14:paraId="3E773F2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D2 shall trigger a new round of a limit-locked market, i.e. D2 shall become D1 for the new round of limit-locked market, and the margin rate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D2</w:t>
      </w:r>
      <w:r>
        <w:rPr>
          <w:rFonts w:hint="eastAsia" w:eastAsia="方正仿宋简体" w:cs="Times New Roman"/>
          <w:bCs/>
          <w:color w:val="auto"/>
          <w:kern w:val="2"/>
          <w:sz w:val="24"/>
          <w:szCs w:val="24"/>
          <w:lang w:val="en-US" w:eastAsia="zh-CN" w:bidi="ar"/>
        </w:rPr>
        <w:t xml:space="preserve">)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b/>
          <w:bCs w:val="0"/>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14:paraId="6565C68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same direction limit-locked market exists on D2, the Price Limit and trading margin of the contract for D3 shall be adjusted as follows:</w:t>
      </w:r>
    </w:p>
    <w:p w14:paraId="1B81B2C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Price Limit shall be increased by five percent (5%) on top of the Price Limit for D1; and</w:t>
      </w:r>
    </w:p>
    <w:p w14:paraId="13640F6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trading margin shall be increased by two percent (2%) on top of the Price Limit for D3. If the adjusted trading margin is smaller than what is applied on D0 to the daily clearing, the trading margin on D0 will be applied to meet the Margin Requirements for that contract. </w:t>
      </w:r>
    </w:p>
    <w:p w14:paraId="3B5966E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D3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the Price Limit and trading margin for D4 will return to the regular level. </w:t>
      </w:r>
    </w:p>
    <w:p w14:paraId="4FF0B0F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D3 shall trigger a new round of a limit-locked market, i.e. D3 shall be regarded as D1 for the new round of limit-locked market, and the trading margin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w:t>
      </w:r>
      <w:r>
        <w:rPr>
          <w:rFonts w:hint="eastAsia" w:eastAsia="方正仿宋简体" w:cs="Times New Roman"/>
          <w:bCs/>
          <w:color w:val="auto"/>
          <w:kern w:val="2"/>
          <w:sz w:val="24"/>
          <w:szCs w:val="24"/>
          <w:lang w:val="en-US" w:eastAsia="zh-CN" w:bidi="ar"/>
        </w:rPr>
        <w:t xml:space="preserve">3)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14:paraId="6068F8E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a same direction limit-locked market occurs on D3, which means, for three (3) consecutive trading days, the market has been locked in Price Limit, the Exchange may, at the daily clearing, suspend the withdrawal of funds by some or all of its Members and take the following measures:</w:t>
      </w:r>
    </w:p>
    <w:p w14:paraId="0974404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D3 is the last trading day of the contract, the contract shall move into its settlement and physical delivery phase on the next trading day; </w:t>
      </w:r>
    </w:p>
    <w:p w14:paraId="05B303C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D4 is the last trading day, the Price Limit and trading margin for D3 will be extended to D4 and the contract shall move into its settlement and physical delivery phase on the next trading day; or </w:t>
      </w:r>
    </w:p>
    <w:p w14:paraId="1242EF3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neither D3 nor D4 is the last trading day, the Exchange may, the Exchange may, according to market conditions, take the actions provided in Article 1</w:t>
      </w:r>
      <w:r>
        <w:rPr>
          <w:rFonts w:hint="default" w:ascii="Times New Roman" w:hAnsi="Times New Roman" w:eastAsia="方正仿宋简体" w:cs="Times New Roman"/>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7</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after the close of D3. </w:t>
      </w:r>
    </w:p>
    <w:p w14:paraId="18EFE3B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16</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make a public announcement after the close of D3 that the futures contract will be traded on D4 and take one or more of the following measures:</w:t>
      </w:r>
    </w:p>
    <w:p w14:paraId="15EC7F0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adjust the Price Limit; </w:t>
      </w:r>
    </w:p>
    <w:p w14:paraId="0988F15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 xml:space="preserve">; </w:t>
      </w:r>
    </w:p>
    <w:p w14:paraId="11AE8A8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suspend the opening of new positions by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w:t>
      </w:r>
    </w:p>
    <w:p w14:paraId="557C088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limit the withdrawal of funds; </w:t>
      </w:r>
    </w:p>
    <w:p w14:paraId="0EF70A3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order the liquidation of positions by a prescribed deadline;</w:t>
      </w:r>
    </w:p>
    <w:p w14:paraId="06F92E5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14:paraId="63E3FD5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14:paraId="11195DB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D5 as follows:</w:t>
      </w:r>
    </w:p>
    <w:p w14:paraId="7049B5B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D4, the Price Limit and trading margin for D5 will return to their regular level;</w:t>
      </w:r>
    </w:p>
    <w:p w14:paraId="66C971B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D4 shall trigger a new round of a limit-locked market, i.e. D4 shall be regarded as D1 for the new round of limit-locked market, and the trading margin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w:t>
      </w:r>
      <w:r>
        <w:rPr>
          <w:rFonts w:hint="eastAsia" w:eastAsia="方正仿宋简体" w:cs="Times New Roman"/>
          <w:bCs/>
          <w:color w:val="auto"/>
          <w:kern w:val="2"/>
          <w:sz w:val="24"/>
          <w:szCs w:val="24"/>
          <w:lang w:val="en-US" w:eastAsia="zh-CN" w:bidi="ar"/>
        </w:rPr>
        <w:t xml:space="preserve">4)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and</w:t>
      </w:r>
    </w:p>
    <w:p w14:paraId="185DE35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same direction limit-locked market occurs on D4, the Exchange may declare it as an abnormal condition and take risk management measures as provided in the applicable rules.</w:t>
      </w:r>
    </w:p>
    <w:p w14:paraId="56453C0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17</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make a public announcement after the close of D3 that the futures contract will be suspended from trading on D4, </w:t>
      </w:r>
      <w:r>
        <w:rPr>
          <w:rFonts w:hint="default" w:ascii="Times New Roman" w:hAnsi="Times New Roman" w:eastAsia="方正仿宋简体" w:cs="Times New Roman"/>
          <w:color w:val="auto"/>
          <w:kern w:val="2"/>
          <w:sz w:val="24"/>
          <w:szCs w:val="24"/>
          <w:lang w:val="en-US" w:eastAsia="zh-CN" w:bidi="ar"/>
        </w:rPr>
        <w:t xml:space="preserve">and </w:t>
      </w:r>
      <w:r>
        <w:rPr>
          <w:rFonts w:hint="default" w:ascii="Times New Roman" w:hAnsi="Times New Roman" w:eastAsia="方正仿宋简体" w:cs="Times New Roman"/>
          <w:bCs/>
          <w:color w:val="auto"/>
          <w:kern w:val="2"/>
          <w:sz w:val="24"/>
          <w:szCs w:val="24"/>
          <w:lang w:val="en-US" w:eastAsia="zh-CN" w:bidi="ar"/>
        </w:rPr>
        <w:t>further announce</w:t>
      </w:r>
      <w:r>
        <w:rPr>
          <w:rFonts w:hint="default" w:ascii="Times New Roman" w:hAnsi="Times New Roman" w:eastAsia="方正仿宋简体" w:cs="Times New Roman"/>
          <w:color w:val="auto"/>
          <w:kern w:val="2"/>
          <w:sz w:val="24"/>
          <w:szCs w:val="24"/>
          <w:lang w:val="en-US" w:eastAsia="zh-CN" w:bidi="ar"/>
        </w:rPr>
        <w:t xml:space="preserve"> on D4 or after the close of D4</w:t>
      </w:r>
      <w:r>
        <w:rPr>
          <w:rFonts w:hint="default" w:ascii="Times New Roman" w:hAnsi="Times New Roman" w:eastAsia="方正仿宋简体" w:cs="Times New Roman"/>
          <w:bCs/>
          <w:color w:val="auto"/>
          <w:kern w:val="2"/>
          <w:sz w:val="24"/>
          <w:szCs w:val="24"/>
          <w:lang w:val="en-US" w:eastAsia="zh-CN" w:bidi="ar"/>
        </w:rPr>
        <w:t xml:space="preserve"> that it will take any actions under Article 1</w:t>
      </w:r>
      <w:r>
        <w:rPr>
          <w:rFonts w:hint="default" w:ascii="Times New Roman" w:hAnsi="Times New Roman" w:eastAsia="方正仿宋简体" w:cs="Times New Roman"/>
          <w:color w:val="auto"/>
          <w:kern w:val="2"/>
          <w:sz w:val="24"/>
          <w:szCs w:val="24"/>
          <w:lang w:val="en-US" w:eastAsia="zh-CN" w:bidi="ar"/>
        </w:rPr>
        <w:t>8</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9</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 xml:space="preserve">Risk Management Rules </w:t>
      </w:r>
      <w:r>
        <w:rPr>
          <w:rFonts w:hint="default" w:ascii="Times New Roman" w:hAnsi="Times New Roman" w:eastAsia="方正仿宋简体" w:cs="Times New Roman"/>
          <w:color w:val="auto"/>
          <w:kern w:val="2"/>
          <w:sz w:val="24"/>
          <w:szCs w:val="24"/>
          <w:lang w:val="en-US" w:eastAsia="zh-CN" w:bidi="ar"/>
        </w:rPr>
        <w:t>based on market conditions</w:t>
      </w:r>
      <w:r>
        <w:rPr>
          <w:rFonts w:hint="default" w:ascii="Times New Roman" w:hAnsi="Times New Roman" w:eastAsia="方正仿宋简体" w:cs="Times New Roman"/>
          <w:bCs/>
          <w:color w:val="auto"/>
          <w:kern w:val="2"/>
          <w:sz w:val="24"/>
          <w:szCs w:val="24"/>
          <w:lang w:val="en-US" w:eastAsia="zh-CN" w:bidi="ar"/>
        </w:rPr>
        <w:t>.</w:t>
      </w:r>
    </w:p>
    <w:p w14:paraId="17002ED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18</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Article 1</w:t>
      </w:r>
      <w:r>
        <w:rPr>
          <w:rFonts w:hint="default" w:ascii="Times New Roman" w:hAnsi="Times New Roman" w:eastAsia="方正仿宋简体" w:cs="Times New Roman"/>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xml:space="preserve">, decide that a futures contract under Article </w:t>
      </w:r>
      <w:r>
        <w:rPr>
          <w:rFonts w:hint="default" w:ascii="Times New Roman" w:hAnsi="Times New Roman" w:eastAsia="方正仿宋简体" w:cs="Times New Roman"/>
          <w:color w:val="auto"/>
          <w:kern w:val="2"/>
          <w:sz w:val="24"/>
          <w:szCs w:val="24"/>
          <w:lang w:val="en-US" w:eastAsia="zh-CN" w:bidi="ar"/>
        </w:rPr>
        <w:t>13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w:t>
      </w:r>
      <w:r>
        <w:rPr>
          <w:rFonts w:hint="default" w:ascii="Times New Roman" w:hAnsi="Times New Roman" w:eastAsia="方正仿宋简体" w:cs="Times New Roman"/>
          <w:bCs/>
          <w:color w:val="auto"/>
          <w:kern w:val="2"/>
          <w:sz w:val="24"/>
          <w:szCs w:val="24"/>
          <w:lang w:val="en-US" w:eastAsia="zh-CN" w:bidi="ar"/>
        </w:rPr>
        <w:t xml:space="preserve"> shall be traded on D5 and take one or more of the following actions: </w:t>
      </w:r>
    </w:p>
    <w:p w14:paraId="5EBD1DA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adjust the Price Limit; </w:t>
      </w:r>
    </w:p>
    <w:p w14:paraId="1E3EBF2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and/or OSPs</w:t>
      </w:r>
      <w:r>
        <w:rPr>
          <w:rFonts w:hint="default" w:ascii="Times New Roman" w:hAnsi="Times New Roman" w:eastAsia="华文中宋" w:cs="Times New Roman"/>
          <w:bCs/>
          <w:color w:val="auto"/>
          <w:kern w:val="2"/>
          <w:sz w:val="24"/>
          <w:szCs w:val="24"/>
          <w:lang w:val="en-US" w:eastAsia="zh-CN" w:bidi="ar"/>
        </w:rPr>
        <w:t xml:space="preserve">; </w:t>
      </w:r>
    </w:p>
    <w:p w14:paraId="0C0C5A5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suspend the opening of new positions by </w:t>
      </w:r>
      <w:r>
        <w:rPr>
          <w:rFonts w:hint="default" w:ascii="Times New Roman" w:hAnsi="Times New Roman" w:eastAsia="方正仿宋简体" w:cs="Times New Roman"/>
          <w:bCs/>
          <w:color w:val="auto"/>
          <w:kern w:val="2"/>
          <w:sz w:val="24"/>
          <w:szCs w:val="24"/>
          <w:lang w:val="en-US" w:eastAsia="zh-CN" w:bidi="ar"/>
        </w:rPr>
        <w:t xml:space="preserve">some or all </w:t>
      </w:r>
      <w:r>
        <w:rPr>
          <w:rFonts w:hint="default" w:ascii="Times New Roman" w:hAnsi="Times New Roman" w:eastAsia="华文中宋" w:cs="Times New Roman"/>
          <w:bCs/>
          <w:color w:val="auto"/>
          <w:kern w:val="2"/>
          <w:sz w:val="24"/>
          <w:szCs w:val="24"/>
          <w:lang w:val="en-US" w:eastAsia="zh-CN" w:bidi="ar"/>
        </w:rPr>
        <w:t>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华文中宋" w:cs="Times New Roman"/>
          <w:bCs/>
          <w:color w:val="auto"/>
          <w:kern w:val="2"/>
          <w:sz w:val="24"/>
          <w:szCs w:val="24"/>
          <w:lang w:val="en-US" w:eastAsia="zh-CN" w:bidi="ar"/>
        </w:rPr>
        <w:t>;</w:t>
      </w:r>
    </w:p>
    <w:p w14:paraId="1C84137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limit the withdrawal of funds; </w:t>
      </w:r>
    </w:p>
    <w:p w14:paraId="32F92BE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orde</w:t>
      </w:r>
      <w:r>
        <w:rPr>
          <w:rFonts w:hint="default" w:ascii="Times New Roman" w:hAnsi="Times New Roman" w:eastAsia="方正仿宋简体" w:cs="Times New Roman"/>
          <w:bCs/>
          <w:color w:val="auto"/>
          <w:kern w:val="2"/>
          <w:sz w:val="24"/>
          <w:szCs w:val="24"/>
          <w:lang w:val="en-US" w:eastAsia="zh-CN" w:bidi="ar"/>
        </w:rPr>
        <w:t>r the liquidation of positions by a prescribed deadline;</w:t>
      </w:r>
    </w:p>
    <w:p w14:paraId="6ADB3F7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14:paraId="18454BF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14:paraId="75BF225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D6 as follows:</w:t>
      </w:r>
    </w:p>
    <w:p w14:paraId="53C68E1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D5, the Price Limit and trading margin for D6 will return to the regular level.</w:t>
      </w:r>
    </w:p>
    <w:p w14:paraId="26DC932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D5 shall trigger a new round of a limit-locked market, i.e. D5 shall be regarded as D1 for the new round of limit-locked market, and the trading margin and the Price Limit for the following trading day shall </w:t>
      </w:r>
      <w:r>
        <w:rPr>
          <w:rFonts w:hint="eastAsia" w:eastAsia="方正仿宋简体" w:cs="Times New Roman"/>
          <w:bCs/>
          <w:color w:val="auto"/>
          <w:kern w:val="2"/>
          <w:sz w:val="24"/>
          <w:szCs w:val="24"/>
          <w:lang w:val="en-US" w:eastAsia="zh-CN" w:bidi="ar"/>
        </w:rPr>
        <w:t>be i</w:t>
      </w:r>
      <w:r>
        <w:rPr>
          <w:rFonts w:hint="default" w:ascii="Times New Roman" w:hAnsi="Times New Roman" w:eastAsia="方正仿宋简体" w:cs="Times New Roman"/>
          <w:bCs/>
          <w:color w:val="auto"/>
          <w:kern w:val="2"/>
          <w:sz w:val="24"/>
          <w:szCs w:val="24"/>
          <w:lang w:val="en-US" w:eastAsia="zh-CN" w:bidi="ar"/>
        </w:rPr>
        <w:t>ncrease</w:t>
      </w:r>
      <w:r>
        <w:rPr>
          <w:rFonts w:hint="eastAsia" w:eastAsia="方正仿宋简体" w:cs="Times New Roman"/>
          <w:bCs/>
          <w:color w:val="auto"/>
          <w:kern w:val="2"/>
          <w:sz w:val="24"/>
          <w:szCs w:val="24"/>
          <w:lang w:val="en-US" w:eastAsia="zh-CN" w:bidi="ar"/>
        </w:rPr>
        <w:t>d</w:t>
      </w:r>
      <w:r>
        <w:rPr>
          <w:rFonts w:hint="default" w:ascii="Times New Roman" w:hAnsi="Times New Roman" w:eastAsia="方正仿宋简体" w:cs="Times New Roman"/>
          <w:bCs/>
          <w:color w:val="auto"/>
          <w:kern w:val="2"/>
          <w:sz w:val="24"/>
          <w:szCs w:val="24"/>
          <w:lang w:val="en-US" w:eastAsia="zh-CN" w:bidi="ar"/>
        </w:rPr>
        <w:t xml:space="preserve"> on the basis of the current day</w:t>
      </w:r>
      <w:r>
        <w:rPr>
          <w:rFonts w:hint="eastAsia" w:eastAsia="方正仿宋简体" w:cs="Times New Roman"/>
          <w:bCs/>
          <w:color w:val="auto"/>
          <w:kern w:val="2"/>
          <w:sz w:val="24"/>
          <w:szCs w:val="24"/>
          <w:lang w:val="en-US" w:eastAsia="zh-CN" w:bidi="ar"/>
        </w:rPr>
        <w:t>(</w:t>
      </w:r>
      <w:r>
        <w:rPr>
          <w:rFonts w:hint="default" w:ascii="Times New Roman" w:hAnsi="Times New Roman" w:eastAsia="方正仿宋简体" w:cs="Times New Roman"/>
          <w:bCs/>
          <w:color w:val="auto"/>
          <w:kern w:val="2"/>
          <w:sz w:val="24"/>
          <w:szCs w:val="24"/>
          <w:lang w:val="en-US" w:eastAsia="zh-CN" w:bidi="ar"/>
        </w:rPr>
        <w:t>D</w:t>
      </w:r>
      <w:r>
        <w:rPr>
          <w:rFonts w:hint="eastAsia" w:eastAsia="方正仿宋简体" w:cs="Times New Roman"/>
          <w:bCs/>
          <w:color w:val="auto"/>
          <w:kern w:val="2"/>
          <w:sz w:val="24"/>
          <w:szCs w:val="24"/>
          <w:lang w:val="en-US" w:eastAsia="zh-CN" w:bidi="ar"/>
        </w:rPr>
        <w:t xml:space="preserve">5)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and</w:t>
      </w:r>
    </w:p>
    <w:p w14:paraId="5CD62DA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
          <w:bCs w:val="0"/>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same direction limit-locked market occurs on D5, the Exchange may declare it as an abnormal condition and take risk management measures as provided in the applicable rules.</w:t>
      </w:r>
    </w:p>
    <w:p w14:paraId="071DC7D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19</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Exchange</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makes a forced position reduction, it shall specify the base date and the affected contracts. The base date shall be the last trading day on which a limit-locked market occurs and the forced position reduction is performed.</w:t>
      </w:r>
    </w:p>
    <w:p w14:paraId="27A8712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When performing a forced position reduction, the Exchange shall automatically match all unfilled orders that are placed by the close of the base date at the limit price with the open positions held by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(referring here and hereinafter to a Client</w:t>
      </w:r>
      <w:r>
        <w:rPr>
          <w:rFonts w:hint="default" w:ascii="Times New Roman" w:hAnsi="Times New Roman" w:eastAsia="方正仿宋简体" w:cs="Times New Roman"/>
          <w:bCs/>
          <w:color w:val="auto"/>
          <w:kern w:val="2"/>
          <w:sz w:val="24"/>
          <w:szCs w:val="24"/>
          <w:lang w:val="en-US" w:eastAsia="zh-CN" w:bidi="ar"/>
        </w:rPr>
        <w:t>, Non-FF Member</w:t>
      </w:r>
      <w:r>
        <w:rPr>
          <w:rFonts w:hint="default" w:ascii="Times New Roman" w:hAnsi="Times New Roman" w:eastAsia="方正仿宋简体" w:cs="Times New Roman"/>
          <w:color w:val="auto"/>
          <w:kern w:val="2"/>
          <w:sz w:val="24"/>
          <w:szCs w:val="24"/>
          <w:lang w:val="en-US" w:eastAsia="zh-CN" w:bidi="ar"/>
        </w:rPr>
        <w:t>, or Overseas Special Non-Brokerage Participant (“OSNBP”))</w:t>
      </w:r>
      <w:r>
        <w:rPr>
          <w:rFonts w:hint="default" w:ascii="Times New Roman" w:hAnsi="Times New Roman" w:eastAsia="方正仿宋简体" w:cs="Times New Roman"/>
          <w:bCs/>
          <w:color w:val="auto"/>
          <w:kern w:val="2"/>
          <w:sz w:val="24"/>
          <w:szCs w:val="24"/>
          <w:lang w:val="en-US" w:eastAsia="zh-CN" w:bidi="ar"/>
        </w:rPr>
        <w:t xml:space="preserve"> that records gains on its net positions, on a pro rata basis at that limit price. If that</w:t>
      </w:r>
      <w:r>
        <w:rPr>
          <w:rFonts w:hint="default" w:ascii="Times New Roman" w:hAnsi="Times New Roman" w:eastAsia="方正仿宋简体" w:cs="Times New Roman"/>
          <w:color w:val="auto"/>
          <w:kern w:val="2"/>
          <w:sz w:val="24"/>
          <w:szCs w:val="24"/>
          <w:lang w:val="en-US" w:eastAsia="zh-CN" w:bidi="ar"/>
        </w:rPr>
        <w:t xml:space="preserve"> Trader</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has both long and short positions, these positions will be matched and settled before being matched with those rest orders. The procedure is as follows: </w:t>
      </w:r>
    </w:p>
    <w:p w14:paraId="7316B52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Determination of the amount of the unfilled orders subject to the order fill: </w:t>
      </w:r>
    </w:p>
    <w:p w14:paraId="27CFB38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term “amount of unfilled orders subject to the order fill” means the total amount of all the unfilled orders submitted after the close of the base date at the limit price into the central order book by each Client who has incurred losses on net positions in the contract of an average level of no less than </w:t>
      </w:r>
      <w:r>
        <w:rPr>
          <w:rFonts w:hint="default" w:ascii="Times New Roman" w:hAnsi="Times New Roman" w:eastAsia="方正仿宋简体" w:cs="Times New Roman"/>
          <w:color w:val="auto"/>
          <w:kern w:val="2"/>
          <w:sz w:val="24"/>
          <w:szCs w:val="24"/>
          <w:lang w:val="en-US" w:eastAsia="zh-CN" w:bidi="ar"/>
        </w:rPr>
        <w:t>R1</w:t>
      </w:r>
      <w:r>
        <w:rPr>
          <w:rFonts w:hint="default" w:ascii="Times New Roman" w:hAnsi="Times New Roman" w:eastAsia="方正仿宋简体" w:cs="Times New Roman"/>
          <w:bCs/>
          <w:color w:val="auto"/>
          <w:kern w:val="2"/>
          <w:sz w:val="24"/>
          <w:szCs w:val="24"/>
          <w:lang w:val="en-US" w:eastAsia="zh-CN" w:bidi="ar"/>
        </w:rPr>
        <w:t xml:space="preserve"> of the settlement price of the base date. The Client unwilling to be subjected to this method may cancel the orders before the close of the market on the base date, to avoid having the orders filled. </w:t>
      </w:r>
    </w:p>
    <w:p w14:paraId="6E298D4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Calculation of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’s average gains or losses on net positions</w:t>
      </w:r>
    </w:p>
    <w:p w14:paraId="18DEDBB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"/tmp/wps-ye.yong/ksohtml/wpsH2tvcF.jpg"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5267325" cy="504825"/>
            <wp:effectExtent l="0" t="0" r="15875" b="3175"/>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8"/>
                    <a:stretch>
                      <a:fillRect/>
                    </a:stretch>
                  </pic:blipFill>
                  <pic:spPr>
                    <a:xfrm>
                      <a:off x="0" y="0"/>
                      <a:ext cx="5267325" cy="50482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default" w:ascii="Times New Roman" w:hAnsi="Times New Roman" w:eastAsia="方正仿宋简体" w:cs="Times New Roman"/>
          <w:bCs/>
          <w:color w:val="auto"/>
          <w:kern w:val="2"/>
          <w:sz w:val="24"/>
          <w:szCs w:val="24"/>
          <w:lang w:val="en-US" w:eastAsia="zh-CN" w:bidi="ar"/>
        </w:rPr>
        <w:t xml:space="preserve"> </w:t>
      </w:r>
    </w:p>
    <w:p w14:paraId="44DCE350">
      <w:pPr>
        <w:keepNext w:val="0"/>
        <w:keepLines w:val="0"/>
        <w:widowControl/>
        <w:suppressLineNumbers w:val="0"/>
        <w:autoSpaceDE w:val="0"/>
        <w:autoSpaceDN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仿宋" w:cs="Times New Roman"/>
          <w:color w:val="auto"/>
          <w:kern w:val="0"/>
          <w:sz w:val="24"/>
          <w:szCs w:val="24"/>
          <w:lang w:val="en-US" w:eastAsia="zh-CN" w:bidi="ar"/>
        </w:rPr>
        <w:t xml:space="preserve">A </w:t>
      </w:r>
      <w:r>
        <w:rPr>
          <w:rFonts w:hint="default" w:ascii="Times New Roman" w:hAnsi="Times New Roman" w:eastAsia="仿宋" w:cs="Times New Roman"/>
          <w:bCs/>
          <w:color w:val="auto"/>
          <w:kern w:val="0"/>
          <w:sz w:val="24"/>
          <w:szCs w:val="24"/>
          <w:lang w:val="en-US" w:eastAsia="zh-CN" w:bidi="ar"/>
        </w:rPr>
        <w:t>trader</w:t>
      </w:r>
      <w:r>
        <w:rPr>
          <w:rFonts w:hint="default" w:ascii="Times New Roman" w:hAnsi="Times New Roman" w:eastAsia="仿宋" w:cs="Times New Roman"/>
          <w:color w:val="auto"/>
          <w:kern w:val="0"/>
          <w:sz w:val="24"/>
          <w:szCs w:val="24"/>
          <w:lang w:val="en-US" w:eastAsia="zh-CN" w:bidi="ar"/>
        </w:rPr>
        <w:t xml:space="preserve"> net gains or losses on the affected futures contract shall equal the sum of the differences between the daily settlement price on the current day and the actual execution price of contracts where the cumulative amount of the historical transaction positions match the amount of net positions of the current day by tracing back the historical transactions. </w:t>
      </w:r>
    </w:p>
    <w:p w14:paraId="2453C0C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Determination of positions eligible to fill the unfilled orders </w:t>
      </w:r>
    </w:p>
    <w:p w14:paraId="01FB8492">
      <w:pPr>
        <w:keepNext w:val="0"/>
        <w:keepLines w:val="0"/>
        <w:widowControl/>
        <w:suppressLineNumbers w:val="0"/>
        <w:autoSpaceDE w:val="0"/>
        <w:autoSpaceDN w:val="0"/>
        <w:adjustRightInd w:val="0"/>
        <w:snapToGrid w:val="0"/>
        <w:spacing w:before="0" w:beforeAutospacing="0" w:after="312" w:afterLines="100" w:afterAutospacing="0" w:line="256" w:lineRule="auto"/>
        <w:ind w:left="0" w:right="0"/>
        <w:jc w:val="left"/>
        <w:rPr>
          <w:rFonts w:hint="default" w:ascii="Times New Roman" w:hAnsi="Times New Roman" w:eastAsia="仿宋" w:cs="Times New Roman"/>
          <w:kern w:val="0"/>
          <w:sz w:val="24"/>
          <w:szCs w:val="24"/>
        </w:rPr>
      </w:pPr>
      <w:r>
        <w:rPr>
          <w:rFonts w:hint="default" w:ascii="Times New Roman" w:hAnsi="Times New Roman" w:eastAsia="方正仿宋简体" w:cs="Times New Roman"/>
          <w:bCs/>
          <w:color w:val="auto"/>
          <w:kern w:val="2"/>
          <w:sz w:val="24"/>
          <w:szCs w:val="24"/>
          <w:lang w:val="en-US" w:eastAsia="zh-CN" w:bidi="ar"/>
        </w:rPr>
        <w:t>The positions eligible to fill the unfilled orders include the net positions, on which the Trader, as calculated using the above formula, records average gains for general purposes or for hedging</w:t>
      </w:r>
      <w:r>
        <w:rPr>
          <w:rFonts w:hint="default" w:ascii="Times New Roman" w:hAnsi="Times New Roman" w:eastAsia="方正仿宋简体" w:cs="Times New Roman"/>
          <w:b/>
          <w:bCs w:val="0"/>
          <w:color w:val="C00000"/>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purposes at no less than </w:t>
      </w:r>
      <w:r>
        <w:rPr>
          <w:rFonts w:hint="default" w:ascii="Times New Roman" w:hAnsi="Times New Roman" w:eastAsia="方正仿宋简体" w:cs="Times New Roman"/>
          <w:color w:val="auto"/>
          <w:kern w:val="2"/>
          <w:sz w:val="24"/>
          <w:szCs w:val="24"/>
          <w:lang w:val="en-US" w:eastAsia="zh-CN" w:bidi="ar"/>
        </w:rPr>
        <w:t>R1 of the settlement price of the base date</w:t>
      </w:r>
      <w:r>
        <w:rPr>
          <w:rFonts w:hint="default" w:ascii="Times New Roman" w:hAnsi="Times New Roman" w:eastAsia="方正仿宋简体" w:cs="Times New Roman"/>
          <w:bCs/>
          <w:color w:val="auto"/>
          <w:kern w:val="2"/>
          <w:sz w:val="24"/>
          <w:szCs w:val="24"/>
          <w:lang w:val="en-US" w:eastAsia="zh-CN" w:bidi="ar"/>
        </w:rPr>
        <w:t>.</w:t>
      </w:r>
    </w:p>
    <w:p w14:paraId="7271760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Principles and methods for the order fill of unfilled orders </w:t>
      </w:r>
    </w:p>
    <w:p w14:paraId="680A51C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(a)</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Principles</w:t>
      </w:r>
    </w:p>
    <w:p w14:paraId="70CDE181">
      <w:pPr>
        <w:keepNext w:val="0"/>
        <w:keepLines w:val="0"/>
        <w:widowControl/>
        <w:suppressLineNumbers w:val="0"/>
        <w:adjustRightInd w:val="0"/>
        <w:snapToGrid w:val="0"/>
        <w:spacing w:before="0" w:beforeAutospacing="0" w:after="312" w:afterLines="100" w:afterAutospacing="0" w:line="256" w:lineRule="auto"/>
        <w:ind w:left="708" w:leftChars="337" w:right="0" w:firstLine="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order fill of unfilled orders shall take place in the order of the following four levels with regard to the amount of gains and whether such positions are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hedging</w:t>
      </w:r>
      <w:r>
        <w:rPr>
          <w:rFonts w:hint="default" w:ascii="Times New Roman" w:hAnsi="Times New Roman" w:eastAsia="方正仿宋简体" w:cs="Times New Roman"/>
          <w:color w:val="auto"/>
          <w:kern w:val="2"/>
          <w:sz w:val="24"/>
          <w:szCs w:val="24"/>
          <w:lang w:val="en-US" w:eastAsia="zh-CN" w:bidi="ar"/>
        </w:rPr>
        <w:t xml:space="preserve"> or otherwise</w:t>
      </w:r>
      <w:r>
        <w:rPr>
          <w:rFonts w:hint="default" w:ascii="Times New Roman" w:hAnsi="Times New Roman" w:eastAsia="方正仿宋简体" w:cs="Times New Roman"/>
          <w:bCs/>
          <w:color w:val="auto"/>
          <w:kern w:val="2"/>
          <w:sz w:val="24"/>
          <w:szCs w:val="24"/>
          <w:lang w:val="en-US" w:eastAsia="zh-CN" w:bidi="ar"/>
        </w:rPr>
        <w:t>:</w:t>
      </w:r>
    </w:p>
    <w:p w14:paraId="197A4265">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1: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any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w:t>
      </w:r>
      <w:r>
        <w:rPr>
          <w:rFonts w:hint="default" w:ascii="Times New Roman" w:hAnsi="Times New Roman" w:eastAsia="方正仿宋简体" w:cs="Times New Roman"/>
          <w:color w:val="auto"/>
          <w:kern w:val="2"/>
          <w:sz w:val="24"/>
          <w:szCs w:val="24"/>
          <w:lang w:val="en-US" w:eastAsia="zh-CN" w:bidi="ar"/>
        </w:rPr>
        <w:t>R1</w:t>
      </w:r>
      <w:r>
        <w:rPr>
          <w:rFonts w:hint="default" w:ascii="Times New Roman" w:hAnsi="Times New Roman" w:eastAsia="方正仿宋简体" w:cs="Times New Roman"/>
          <w:bCs/>
          <w:color w:val="auto"/>
          <w:kern w:val="2"/>
          <w:sz w:val="24"/>
          <w:szCs w:val="24"/>
          <w:lang w:val="en-US" w:eastAsia="zh-CN" w:bidi="ar"/>
        </w:rPr>
        <w:t xml:space="preserve">; </w:t>
      </w:r>
    </w:p>
    <w:p w14:paraId="27402B21">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2: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any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R2 but no more than R1 of the settlement price on the base date; </w:t>
      </w:r>
    </w:p>
    <w:p w14:paraId="10A5EDD4">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3: Unfilled orders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eligible to fill the unfilled orders of a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more than R2 of the settlement price on the base date; and </w:t>
      </w:r>
    </w:p>
    <w:p w14:paraId="1D728E8A">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Level 4: Unfilled orders shall be filled with the hedging positions eligible to fill the unfilled orders of a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with average gains on net positions of no less than R1 of the settlement price on the base date. </w:t>
      </w:r>
    </w:p>
    <w:p w14:paraId="133595D9">
      <w:pPr>
        <w:keepNext w:val="0"/>
        <w:keepLines w:val="0"/>
        <w:widowControl/>
        <w:suppressLineNumbers w:val="0"/>
        <w:adjustRightInd w:val="0"/>
        <w:snapToGrid w:val="0"/>
        <w:spacing w:before="0" w:beforeAutospacing="0" w:after="312" w:afterLines="100" w:afterAutospacing="0" w:line="256" w:lineRule="auto"/>
        <w:ind w:left="708" w:leftChars="337" w:right="0" w:firstLine="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(ii)</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In each level, the order fill shall be made pro rata to the amount of the positions available to fill the unfilled orders, compared to the amount of the unfilled orders, or the residual unfilled orders.</w:t>
      </w:r>
    </w:p>
    <w:p w14:paraId="4AD76A3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(b)</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Methods and procedures can be found in the Appendix</w:t>
      </w:r>
    </w:p>
    <w:p w14:paraId="7D37FBF8">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is greater than or equal to that of the unfilled orders, the unfilled orders shall be filled pro rata to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w:t>
      </w:r>
    </w:p>
    <w:p w14:paraId="13491046">
      <w:pPr>
        <w:keepNext w:val="0"/>
        <w:keepLines w:val="0"/>
        <w:widowControl/>
        <w:suppressLineNumbers w:val="0"/>
        <w:adjustRightInd w:val="0"/>
        <w:snapToGrid w:val="0"/>
        <w:spacing w:before="0" w:beforeAutospacing="0" w:after="312" w:afterLines="100" w:afterAutospacing="0" w:line="256" w:lineRule="auto"/>
        <w:ind w:left="708" w:leftChars="337"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If the amount of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is smaller than that of the unfilled orders,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R1 shall be filled pro rata to the amount of the unfilled orders. The residual unfilled orders, if any, shall be filled with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 xml:space="preserve">Positions with Gains of Over R2 in the same manner as the foregoing, and if there are still orders remaining, the outstanding unfilled orders shall be filled to the </w:t>
      </w:r>
      <w:r>
        <w:rPr>
          <w:rFonts w:hint="default" w:ascii="Times New Roman" w:hAnsi="Times New Roman" w:eastAsia="方正仿宋简体" w:cs="Times New Roman"/>
          <w:color w:val="auto"/>
          <w:kern w:val="2"/>
          <w:sz w:val="24"/>
          <w:szCs w:val="24"/>
          <w:lang w:val="en-US" w:eastAsia="zh-CN" w:bidi="ar"/>
        </w:rPr>
        <w:t xml:space="preserve">General </w:t>
      </w:r>
      <w:r>
        <w:rPr>
          <w:rFonts w:hint="default" w:ascii="Times New Roman" w:hAnsi="Times New Roman" w:eastAsia="方正仿宋简体" w:cs="Times New Roman"/>
          <w:bCs/>
          <w:color w:val="auto"/>
          <w:kern w:val="2"/>
          <w:sz w:val="24"/>
          <w:szCs w:val="24"/>
          <w:lang w:val="en-US" w:eastAsia="zh-CN" w:bidi="ar"/>
        </w:rPr>
        <w:t>Positions with Gains of Below R2, and so to the Hedging Positions with Gains of Over R1. Unfilled orders which eventually remain after all the order fills described above, if any, shall not be filled at all.</w:t>
      </w:r>
    </w:p>
    <w:p w14:paraId="3FB16D1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Decimals of the Unfilled Orders</w:t>
      </w:r>
    </w:p>
    <w:p w14:paraId="6043F2D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Positions are filled to the unfilled orders posted to the central order book under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In the first step, the integral portion of the total size of unfilled orders posted under each </w:t>
      </w:r>
      <w:r>
        <w:rPr>
          <w:rFonts w:hint="default" w:ascii="Times New Roman" w:hAnsi="Times New Roman" w:eastAsia="方正仿宋简体" w:cs="Times New Roman"/>
          <w:color w:val="auto"/>
          <w:kern w:val="2"/>
          <w:sz w:val="24"/>
          <w:szCs w:val="24"/>
          <w:lang w:val="en-US" w:eastAsia="zh-CN" w:bidi="ar"/>
        </w:rPr>
        <w:t xml:space="preserve">trading </w:t>
      </w:r>
      <w:r>
        <w:rPr>
          <w:rFonts w:hint="default" w:ascii="Times New Roman" w:hAnsi="Times New Roman" w:eastAsia="方正仿宋简体" w:cs="Times New Roman"/>
          <w:bCs/>
          <w:color w:val="auto"/>
          <w:kern w:val="2"/>
          <w:sz w:val="24"/>
          <w:szCs w:val="24"/>
          <w:lang w:val="en-US" w:eastAsia="zh-CN" w:bidi="ar"/>
        </w:rPr>
        <w:t xml:space="preserve">code shall be filled. In the second step, the remaining unfilled portion, i.e. the portion in decimal number posted under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shall be filled according to the ranking of the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codes from highest to lowest decimal with each </w:t>
      </w:r>
      <w:r>
        <w:rPr>
          <w:rFonts w:hint="default" w:ascii="Times New Roman" w:hAnsi="Times New Roman" w:eastAsia="方正仿宋简体" w:cs="Times New Roman"/>
          <w:color w:val="auto"/>
          <w:kern w:val="2"/>
          <w:sz w:val="24"/>
          <w:szCs w:val="24"/>
          <w:lang w:val="en-US" w:eastAsia="zh-CN" w:bidi="ar"/>
        </w:rPr>
        <w:t>trading</w:t>
      </w:r>
      <w:r>
        <w:rPr>
          <w:rFonts w:hint="default" w:ascii="Times New Roman" w:hAnsi="Times New Roman" w:eastAsia="方正仿宋简体" w:cs="Times New Roman"/>
          <w:bCs/>
          <w:color w:val="auto"/>
          <w:kern w:val="2"/>
          <w:sz w:val="24"/>
          <w:szCs w:val="24"/>
          <w:lang w:val="en-US" w:eastAsia="zh-CN" w:bidi="ar"/>
        </w:rPr>
        <w:t xml:space="preserve"> code being filled with one (1) lot, except that if there are two or more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color w:val="auto"/>
          <w:kern w:val="0"/>
          <w:sz w:val="24"/>
          <w:szCs w:val="24"/>
          <w:lang w:val="en-US" w:eastAsia="zh-CN" w:bidi="ar"/>
        </w:rPr>
        <w:t>s</w:t>
      </w:r>
      <w:r>
        <w:rPr>
          <w:rFonts w:hint="default" w:ascii="Times New Roman" w:hAnsi="Times New Roman" w:eastAsia="方正仿宋简体" w:cs="Times New Roman"/>
          <w:bCs/>
          <w:color w:val="auto"/>
          <w:kern w:val="2"/>
          <w:sz w:val="24"/>
          <w:szCs w:val="24"/>
          <w:lang w:val="en-US" w:eastAsia="zh-CN" w:bidi="ar"/>
        </w:rPr>
        <w:t xml:space="preserve"> with equal decimals that could be included in the fill, such fill shall be done on a random basis if there are no enough positions to fill the orders.</w:t>
      </w:r>
    </w:p>
    <w:p w14:paraId="3617DE0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market risk is mitigated after the above measures are implemented, the Price Limit and the trading margin will return to their regular levels on the next trading day; otherwise, the Exchange shall take additional risk management measures.</w:t>
      </w:r>
    </w:p>
    <w:p w14:paraId="65D255E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Financial losses incurred as a result of the implementation of the above measures shall be borne by the Member</w:t>
      </w:r>
      <w:r>
        <w:rPr>
          <w:rFonts w:hint="default" w:ascii="Times New Roman" w:hAnsi="Times New Roman" w:eastAsia="方正仿宋简体" w:cs="Times New Roman"/>
          <w:color w:val="auto"/>
          <w:kern w:val="2"/>
          <w:sz w:val="24"/>
          <w:szCs w:val="24"/>
          <w:lang w:val="en-US" w:eastAsia="zh-CN" w:bidi="ar"/>
        </w:rPr>
        <w:t>, OSP, Overseas Intermediary</w:t>
      </w:r>
      <w:r>
        <w:rPr>
          <w:rFonts w:hint="default" w:ascii="Times New Roman" w:hAnsi="Times New Roman" w:eastAsia="方正仿宋简体" w:cs="Times New Roman"/>
          <w:bCs/>
          <w:color w:val="auto"/>
          <w:kern w:val="2"/>
          <w:sz w:val="24"/>
          <w:szCs w:val="24"/>
          <w:lang w:val="en-US" w:eastAsia="zh-CN" w:bidi="ar"/>
        </w:rPr>
        <w:t xml:space="preserve"> and </w:t>
      </w:r>
      <w:r>
        <w:rPr>
          <w:rFonts w:hint="default" w:ascii="Times New Roman" w:hAnsi="Times New Roman" w:eastAsia="方正仿宋简体" w:cs="Times New Roman"/>
          <w:color w:val="auto"/>
          <w:kern w:val="2"/>
          <w:sz w:val="24"/>
          <w:szCs w:val="24"/>
          <w:lang w:val="en-US" w:eastAsia="zh-CN" w:bidi="ar"/>
        </w:rPr>
        <w:t>their</w:t>
      </w:r>
      <w:r>
        <w:rPr>
          <w:rFonts w:hint="default" w:ascii="Times New Roman" w:hAnsi="Times New Roman" w:eastAsia="方正仿宋简体" w:cs="Times New Roman"/>
          <w:bCs/>
          <w:color w:val="auto"/>
          <w:kern w:val="2"/>
          <w:sz w:val="24"/>
          <w:szCs w:val="24"/>
          <w:lang w:val="en-US" w:eastAsia="zh-CN" w:bidi="ar"/>
        </w:rPr>
        <w:t xml:space="preserve"> Clients.</w:t>
      </w:r>
    </w:p>
    <w:p w14:paraId="7CE1EDE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color w:val="auto"/>
          <w:kern w:val="2"/>
          <w:sz w:val="24"/>
          <w:szCs w:val="24"/>
          <w:lang w:val="en-US" w:eastAsia="zh-CN" w:bidi="ar"/>
        </w:rPr>
        <w:t>The specific value of parameters R1 and R2 shall be governed by the futures rules for the particular products.</w:t>
      </w:r>
    </w:p>
    <w:p w14:paraId="6A45504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20</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the Exchange declares an abnormal condition pursuant to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it may take such emergency actions as adjusting the time of market opening and closing, suspending trading, adjusting the Price Limit, raising the Margin Requirement, ordering the liquidation of positions by a prescribed deadline, exercising Forced Position Liquidation, limiting the withdrawal of funds, making forced position reduction, and restricting trading, etc.</w:t>
      </w:r>
    </w:p>
    <w:p w14:paraId="681F2CCB">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4</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POSITION LIMIT</w:t>
      </w:r>
    </w:p>
    <w:p w14:paraId="60CA60B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Exchange applies the Position Limit. </w:t>
      </w:r>
    </w:p>
    <w:p w14:paraId="734ECC8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term “Position Limit” means the maximum size of long or short positions each Member</w:t>
      </w:r>
      <w:r>
        <w:rPr>
          <w:rFonts w:hint="default" w:ascii="Times New Roman" w:hAnsi="Times New Roman" w:eastAsia="方正仿宋简体" w:cs="Times New Roman"/>
          <w:color w:val="auto"/>
          <w:kern w:val="2"/>
          <w:sz w:val="24"/>
          <w:szCs w:val="24"/>
          <w:lang w:val="en-US" w:eastAsia="zh-CN" w:bidi="ar"/>
        </w:rPr>
        <w:t xml:space="preserve">, OSP, Overseas Intermediary, </w:t>
      </w:r>
      <w:r>
        <w:rPr>
          <w:rFonts w:hint="default" w:ascii="Times New Roman" w:hAnsi="Times New Roman" w:eastAsia="方正仿宋简体" w:cs="Times New Roman"/>
          <w:bCs/>
          <w:color w:val="auto"/>
          <w:kern w:val="2"/>
          <w:sz w:val="24"/>
          <w:szCs w:val="24"/>
          <w:lang w:val="en-US" w:eastAsia="zh-CN" w:bidi="ar"/>
        </w:rPr>
        <w:t>or Client may hold in a futures contract as prescribed by the Exchange.</w:t>
      </w:r>
      <w:r>
        <w:rPr>
          <w:rFonts w:hint="default" w:ascii="Times New Roman" w:hAnsi="Times New Roman" w:eastAsia="方正仿宋简体" w:cs="Times New Roman"/>
          <w:color w:val="auto"/>
          <w:kern w:val="2"/>
          <w:sz w:val="24"/>
          <w:szCs w:val="24"/>
          <w:lang w:val="en-US" w:eastAsia="zh-CN" w:bidi="ar"/>
        </w:rPr>
        <w:t xml:space="preserve"> A Non-FF Member, OSNBP, or Client may increase its Position Limit by applying for arbitrage</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position quota.</w:t>
      </w:r>
    </w:p>
    <w:p w14:paraId="2E9F18C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Notwithstanding the preceding paragraph, hedging</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position </w:t>
      </w:r>
      <w:r>
        <w:rPr>
          <w:rFonts w:hint="default" w:ascii="Times New Roman" w:hAnsi="Times New Roman" w:eastAsia="方正仿宋简体" w:cs="Times New Roman"/>
          <w:color w:val="auto"/>
          <w:kern w:val="2"/>
          <w:sz w:val="24"/>
          <w:szCs w:val="24"/>
          <w:lang w:val="en-US" w:eastAsia="zh-CN" w:bidi="ar"/>
        </w:rPr>
        <w:t>quotas</w:t>
      </w:r>
      <w:r>
        <w:rPr>
          <w:rFonts w:hint="default" w:ascii="Times New Roman" w:hAnsi="Times New Roman" w:eastAsia="方正仿宋简体" w:cs="Times New Roman"/>
          <w:bCs/>
          <w:color w:val="auto"/>
          <w:kern w:val="2"/>
          <w:sz w:val="24"/>
          <w:szCs w:val="24"/>
          <w:lang w:val="en-US" w:eastAsia="zh-CN" w:bidi="ar"/>
        </w:rPr>
        <w:t xml:space="preserve"> shall be subject to the approval of the Exchange.</w:t>
      </w:r>
    </w:p>
    <w:p w14:paraId="668F94A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following fundamental rules shall govern the Position Limit: </w:t>
      </w:r>
    </w:p>
    <w:p w14:paraId="568C7B6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specific Position Limit is set for each product and its futures contract, based on its particular conditions; </w:t>
      </w:r>
    </w:p>
    <w:p w14:paraId="469D8B7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different Position Limits are applicable to different stages of trading of a contract, and the Exchange shall exercise stringent control over the Position Limit in the delivery month of the contract; </w:t>
      </w:r>
    </w:p>
    <w:p w14:paraId="79BD27B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a Position Limit,</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the specific level of which is to be</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separately determined by the Exchange,</w:t>
      </w:r>
      <w:r>
        <w:rPr>
          <w:rFonts w:hint="eastAsia" w:ascii="Times New Roman" w:hAnsi="Times New Roman"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is imposed on FF Members, Overseas Special Brokerage Participants (</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OSBPs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 and Overseas Intermediaries in accordance with rules, and both a percentage-based and a fixed-amount Position Limit are imposed on Non-FF Members, OSNBPs, and Clients.</w:t>
      </w:r>
    </w:p>
    <w:p w14:paraId="39D81E7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23</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For a</w:t>
      </w:r>
      <w:r>
        <w:rPr>
          <w:rFonts w:hint="default"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Client with multiple trading codes opened through one or more FF Members</w:t>
      </w:r>
      <w:r>
        <w:rPr>
          <w:rFonts w:hint="default" w:ascii="Times New Roman" w:hAnsi="Times New Roman" w:eastAsia="方正仿宋简体" w:cs="Times New Roman"/>
          <w:color w:val="auto"/>
          <w:kern w:val="2"/>
          <w:sz w:val="24"/>
          <w:szCs w:val="24"/>
          <w:lang w:val="en-US" w:eastAsia="zh-CN" w:bidi="ar"/>
        </w:rPr>
        <w:t>, OSBPs, or Overseas Intermediaries</w:t>
      </w:r>
      <w:r>
        <w:rPr>
          <w:rFonts w:hint="default" w:ascii="Times New Roman" w:hAnsi="Times New Roman" w:eastAsia="方正仿宋简体" w:cs="Times New Roman"/>
          <w:bCs/>
          <w:color w:val="auto"/>
          <w:kern w:val="2"/>
          <w:sz w:val="24"/>
          <w:szCs w:val="24"/>
          <w:lang w:val="en-US" w:eastAsia="zh-CN" w:bidi="ar"/>
        </w:rPr>
        <w:t>, the aggregate amount of all the open positions of all the futures contracts held by the Client under each trading code shall not exceed the Client’s Position Limit prescribed by the Exchange.</w:t>
      </w:r>
    </w:p>
    <w:p w14:paraId="2868B02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By the close of the last trading day of the month prior to the delivery month, each </w:t>
      </w:r>
      <w:r>
        <w:rPr>
          <w:rFonts w:hint="default" w:ascii="Times New Roman" w:hAnsi="Times New Roman" w:eastAsia="方正仿宋简体" w:cs="Times New Roman"/>
          <w:color w:val="auto"/>
          <w:kern w:val="2"/>
          <w:sz w:val="24"/>
          <w:szCs w:val="24"/>
          <w:lang w:val="en-US" w:eastAsia="zh-CN" w:bidi="ar"/>
        </w:rPr>
        <w:t>trader</w:t>
      </w:r>
      <w:r>
        <w:rPr>
          <w:rFonts w:hint="default" w:ascii="Times New Roman" w:hAnsi="Times New Roman" w:eastAsia="方正仿宋简体" w:cs="Times New Roman"/>
          <w:bCs/>
          <w:color w:val="auto"/>
          <w:kern w:val="2"/>
          <w:sz w:val="24"/>
          <w:szCs w:val="24"/>
          <w:lang w:val="en-US" w:eastAsia="zh-CN" w:bidi="ar"/>
        </w:rPr>
        <w:t xml:space="preserve"> shall adjust </w:t>
      </w:r>
      <w:r>
        <w:rPr>
          <w:rFonts w:hint="default" w:ascii="Times New Roman" w:hAnsi="Times New Roman" w:eastAsia="方正仿宋简体" w:cs="Times New Roman"/>
          <w:color w:val="auto"/>
          <w:kern w:val="2"/>
          <w:sz w:val="24"/>
          <w:szCs w:val="24"/>
          <w:lang w:val="en-US" w:eastAsia="zh-CN" w:bidi="ar"/>
        </w:rPr>
        <w:t>its general</w:t>
      </w:r>
      <w:r>
        <w:rPr>
          <w:rFonts w:hint="default" w:ascii="Times New Roman" w:hAnsi="Times New Roman" w:eastAsia="方正仿宋简体" w:cs="Times New Roman"/>
          <w:bCs/>
          <w:color w:val="auto"/>
          <w:kern w:val="2"/>
          <w:sz w:val="24"/>
          <w:szCs w:val="24"/>
          <w:lang w:val="en-US" w:eastAsia="zh-CN" w:bidi="ar"/>
        </w:rPr>
        <w:t xml:space="preserve"> positions</w:t>
      </w:r>
      <w:r>
        <w:rPr>
          <w:rFonts w:hint="default" w:ascii="Times New Roman" w:hAnsi="Times New Roman" w:eastAsia="方正仿宋简体" w:cs="Times New Roman"/>
          <w:color w:val="auto"/>
          <w:kern w:val="2"/>
          <w:sz w:val="24"/>
          <w:szCs w:val="24"/>
          <w:lang w:val="en-US" w:eastAsia="zh-CN" w:bidi="ar"/>
        </w:rPr>
        <w:t xml:space="preserve"> in a futures contract</w:t>
      </w:r>
      <w:r>
        <w:rPr>
          <w:rFonts w:hint="default" w:ascii="Times New Roman" w:hAnsi="Times New Roman" w:eastAsia="方正仿宋简体" w:cs="Times New Roman"/>
          <w:bCs/>
          <w:color w:val="auto"/>
          <w:kern w:val="2"/>
          <w:sz w:val="24"/>
          <w:szCs w:val="24"/>
          <w:lang w:val="en-US" w:eastAsia="zh-CN" w:bidi="ar"/>
        </w:rPr>
        <w:t xml:space="preserve"> held</w:t>
      </w:r>
      <w:r>
        <w:rPr>
          <w:rFonts w:hint="default" w:ascii="Times New Roman" w:hAnsi="Times New Roman" w:eastAsia="方正仿宋简体" w:cs="Times New Roman"/>
          <w:color w:val="auto"/>
          <w:kern w:val="2"/>
          <w:sz w:val="24"/>
          <w:szCs w:val="24"/>
          <w:lang w:val="en-US" w:eastAsia="zh-CN" w:bidi="ar"/>
        </w:rPr>
        <w:t xml:space="preserve"> under its trading code</w:t>
      </w:r>
      <w:r>
        <w:rPr>
          <w:rFonts w:hint="default" w:ascii="Times New Roman" w:hAnsi="Times New Roman" w:eastAsia="方正仿宋简体" w:cs="Times New Roman"/>
          <w:bCs/>
          <w:color w:val="auto"/>
          <w:kern w:val="2"/>
          <w:sz w:val="24"/>
          <w:szCs w:val="24"/>
          <w:lang w:val="en-US" w:eastAsia="zh-CN" w:bidi="ar"/>
        </w:rPr>
        <w:t xml:space="preserve"> to multiples of </w:t>
      </w:r>
      <w:r>
        <w:rPr>
          <w:rFonts w:hint="default" w:ascii="Times New Roman" w:hAnsi="Times New Roman" w:eastAsia="方正仿宋简体" w:cs="Times New Roman"/>
          <w:color w:val="auto"/>
          <w:kern w:val="2"/>
          <w:sz w:val="24"/>
          <w:szCs w:val="24"/>
          <w:lang w:val="en-US" w:eastAsia="zh-CN" w:bidi="ar"/>
        </w:rPr>
        <w:t xml:space="preserve">the number of lots of the delivery unit </w:t>
      </w:r>
      <w:r>
        <w:rPr>
          <w:rFonts w:hint="default" w:ascii="Times New Roman" w:hAnsi="Times New Roman" w:eastAsia="方正仿宋简体" w:cs="Times New Roman"/>
          <w:bCs/>
          <w:color w:val="auto"/>
          <w:kern w:val="2"/>
          <w:sz w:val="24"/>
          <w:szCs w:val="24"/>
          <w:lang w:val="en-US" w:eastAsia="zh-CN" w:bidi="ar"/>
        </w:rPr>
        <w:t xml:space="preserve">(a one-day extension is permitted in special market conditions); in the delivery month, the </w:t>
      </w:r>
      <w:r>
        <w:rPr>
          <w:rFonts w:hint="default" w:ascii="Times New Roman" w:hAnsi="Times New Roman" w:eastAsia="方正仿宋简体" w:cs="Times New Roman"/>
          <w:color w:val="auto"/>
          <w:kern w:val="2"/>
          <w:sz w:val="24"/>
          <w:szCs w:val="24"/>
          <w:lang w:val="en-US" w:eastAsia="zh-CN" w:bidi="ar"/>
        </w:rPr>
        <w:t>general</w:t>
      </w:r>
      <w:r>
        <w:rPr>
          <w:rFonts w:hint="default" w:ascii="Times New Roman" w:hAnsi="Times New Roman" w:eastAsia="方正仿宋简体" w:cs="Times New Roman"/>
          <w:bCs/>
          <w:color w:val="auto"/>
          <w:kern w:val="2"/>
          <w:sz w:val="24"/>
          <w:szCs w:val="24"/>
          <w:lang w:val="en-US" w:eastAsia="zh-CN" w:bidi="ar"/>
        </w:rPr>
        <w:t xml:space="preserve"> positions as well as newly opened and closed-out positions shall be held in multiples of </w:t>
      </w:r>
      <w:r>
        <w:rPr>
          <w:rFonts w:hint="default" w:ascii="Times New Roman" w:hAnsi="Times New Roman" w:eastAsia="方正仿宋简体" w:cs="Times New Roman"/>
          <w:color w:val="auto"/>
          <w:kern w:val="2"/>
          <w:sz w:val="24"/>
          <w:szCs w:val="24"/>
          <w:lang w:val="en-US" w:eastAsia="zh-CN" w:bidi="ar"/>
        </w:rPr>
        <w:t>the number of lots of the delivery unit</w:t>
      </w:r>
      <w:r>
        <w:rPr>
          <w:rFonts w:hint="default" w:ascii="Times New Roman" w:hAnsi="Times New Roman" w:eastAsia="方正仿宋简体" w:cs="Times New Roman"/>
          <w:bCs/>
          <w:color w:val="auto"/>
          <w:kern w:val="2"/>
          <w:sz w:val="24"/>
          <w:szCs w:val="24"/>
          <w:lang w:val="en-US" w:eastAsia="zh-CN" w:bidi="ar"/>
        </w:rPr>
        <w:t>.</w:t>
      </w:r>
    </w:p>
    <w:p w14:paraId="327284B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rounding of the size of hedging positions in the futures contracts enumerated in the preceding paragraphs to multiples of a certain number of lots </w:t>
      </w:r>
      <w:r>
        <w:rPr>
          <w:rFonts w:hint="default" w:ascii="Times New Roman" w:hAnsi="Times New Roman" w:eastAsia="方正仿宋简体" w:cs="Times New Roman"/>
          <w:color w:val="auto"/>
          <w:kern w:val="2"/>
          <w:sz w:val="24"/>
          <w:szCs w:val="24"/>
          <w:lang w:val="en-US" w:eastAsia="zh-CN" w:bidi="ar"/>
        </w:rPr>
        <w:t>is made by reference to the foregoing</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paragraph</w:t>
      </w:r>
      <w:r>
        <w:rPr>
          <w:rFonts w:hint="default" w:ascii="Times New Roman" w:hAnsi="Times New Roman" w:eastAsia="方正仿宋简体" w:cs="Times New Roman"/>
          <w:bCs/>
          <w:color w:val="auto"/>
          <w:kern w:val="2"/>
          <w:sz w:val="24"/>
          <w:szCs w:val="24"/>
          <w:lang w:val="en-US" w:eastAsia="zh-CN" w:bidi="ar"/>
        </w:rPr>
        <w:t>.</w:t>
      </w:r>
    </w:p>
    <w:p w14:paraId="53CDDC3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等线" w:cs="Times New Roman"/>
          <w:bCs/>
          <w:color w:val="auto"/>
          <w:kern w:val="22"/>
          <w:sz w:val="24"/>
          <w:szCs w:val="24"/>
          <w:lang w:val="en-US" w:eastAsia="zh-CN" w:bidi="ar"/>
        </w:rPr>
        <w:t xml:space="preserve">To the extent of any inconsistency between these </w:t>
      </w:r>
      <w:r>
        <w:rPr>
          <w:rFonts w:hint="default" w:ascii="Times New Roman" w:hAnsi="Times New Roman" w:eastAsia="等线" w:cs="Times New Roman"/>
          <w:bCs/>
          <w:i/>
          <w:iCs/>
          <w:color w:val="auto"/>
          <w:kern w:val="22"/>
          <w:sz w:val="24"/>
          <w:szCs w:val="24"/>
          <w:lang w:val="en-US" w:eastAsia="zh-CN" w:bidi="ar"/>
        </w:rPr>
        <w:t>Risk Management Rules</w:t>
      </w:r>
      <w:r>
        <w:rPr>
          <w:rFonts w:hint="default" w:ascii="Times New Roman" w:hAnsi="Times New Roman" w:eastAsia="等线" w:cs="Times New Roman"/>
          <w:bCs/>
          <w:color w:val="auto"/>
          <w:kern w:val="22"/>
          <w:sz w:val="24"/>
          <w:szCs w:val="24"/>
          <w:lang w:val="en-US" w:eastAsia="zh-CN" w:bidi="ar"/>
        </w:rPr>
        <w:t xml:space="preserve"> and the futures rules for the particular products, the product rules shall prevail.</w:t>
      </w:r>
    </w:p>
    <w:p w14:paraId="41A420F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24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仿宋" w:cs="Times New Roman"/>
          <w:bCs/>
          <w:color w:val="auto"/>
          <w:kern w:val="2"/>
          <w:sz w:val="24"/>
          <w:szCs w:val="24"/>
          <w:lang w:val="en-US" w:eastAsia="zh-CN" w:bidi="ar"/>
        </w:rPr>
        <w:t xml:space="preserve">Percentage-based position and </w:t>
      </w:r>
      <w:r>
        <w:rPr>
          <w:rFonts w:hint="default" w:ascii="Times New Roman" w:hAnsi="Times New Roman" w:eastAsia="宋体" w:cs="Times New Roman"/>
          <w:color w:val="auto"/>
          <w:kern w:val="2"/>
          <w:sz w:val="24"/>
          <w:szCs w:val="24"/>
          <w:lang w:val="en-US" w:eastAsia="zh-CN" w:bidi="ar"/>
        </w:rPr>
        <w:t>fixed-amount Position Limit</w:t>
      </w:r>
      <w:r>
        <w:rPr>
          <w:rFonts w:hint="default" w:ascii="Times New Roman" w:hAnsi="Times New Roman" w:eastAsia="方正仿宋简体" w:cs="Times New Roman"/>
          <w:bCs/>
          <w:color w:val="auto"/>
          <w:kern w:val="2"/>
          <w:sz w:val="24"/>
          <w:szCs w:val="24"/>
          <w:lang w:val="en-US" w:eastAsia="zh-CN" w:bidi="ar"/>
        </w:rPr>
        <w:t xml:space="preserve"> for each futures contract at different stages of trading for </w:t>
      </w:r>
      <w:r>
        <w:rPr>
          <w:rFonts w:hint="default" w:ascii="Times New Roman" w:hAnsi="Times New Roman" w:eastAsia="方正仿宋简体" w:cs="Times New Roman"/>
          <w:color w:val="auto"/>
          <w:kern w:val="2"/>
          <w:sz w:val="24"/>
          <w:szCs w:val="24"/>
          <w:lang w:val="en-US" w:eastAsia="zh-CN" w:bidi="ar"/>
        </w:rPr>
        <w:t>a</w:t>
      </w:r>
      <w:r>
        <w:rPr>
          <w:rFonts w:hint="default" w:ascii="Times New Roman" w:hAnsi="Times New Roman" w:eastAsia="方正仿宋简体" w:cs="Times New Roman"/>
          <w:bCs/>
          <w:color w:val="auto"/>
          <w:kern w:val="2"/>
          <w:sz w:val="24"/>
          <w:szCs w:val="24"/>
          <w:lang w:val="en-US" w:eastAsia="zh-CN" w:bidi="ar"/>
        </w:rPr>
        <w:t xml:space="preserve"> Member</w:t>
      </w:r>
      <w:r>
        <w:rPr>
          <w:rFonts w:hint="default" w:ascii="Times New Roman" w:hAnsi="Times New Roman" w:eastAsia="方正仿宋简体" w:cs="Times New Roman"/>
          <w:color w:val="auto"/>
          <w:kern w:val="2"/>
          <w:sz w:val="24"/>
          <w:szCs w:val="24"/>
          <w:lang w:val="en-US" w:eastAsia="zh-CN" w:bidi="ar"/>
        </w:rPr>
        <w:t>, OSP, Overseas Intermediary,</w:t>
      </w:r>
      <w:r>
        <w:rPr>
          <w:rFonts w:hint="default" w:ascii="Times New Roman" w:hAnsi="Times New Roman" w:eastAsia="方正仿宋简体" w:cs="Times New Roman"/>
          <w:bCs/>
          <w:color w:val="auto"/>
          <w:kern w:val="2"/>
          <w:sz w:val="24"/>
          <w:szCs w:val="24"/>
          <w:lang w:val="en-US" w:eastAsia="zh-CN" w:bidi="ar"/>
        </w:rPr>
        <w:t xml:space="preserve"> and Client are </w:t>
      </w:r>
      <w:r>
        <w:rPr>
          <w:rFonts w:hint="default" w:ascii="Times New Roman" w:hAnsi="Times New Roman" w:eastAsia="方正仿宋简体" w:cs="Times New Roman"/>
          <w:color w:val="auto"/>
          <w:kern w:val="2"/>
          <w:sz w:val="24"/>
          <w:szCs w:val="24"/>
          <w:lang w:val="en-US" w:eastAsia="zh-CN" w:bidi="ar"/>
        </w:rPr>
        <w:t>governed by the futures rules for the particular products.</w:t>
      </w:r>
    </w:p>
    <w:p w14:paraId="4B7DE3D4">
      <w:pPr>
        <w:keepNext w:val="0"/>
        <w:keepLines w:val="0"/>
        <w:widowControl/>
        <w:suppressLineNumbers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b w:val="0"/>
          <w:bCs w:val="0"/>
          <w:color w:val="auto"/>
          <w:kern w:val="2"/>
          <w:sz w:val="24"/>
          <w:szCs w:val="24"/>
        </w:rPr>
      </w:pPr>
      <w:r>
        <w:rPr>
          <w:rFonts w:hint="default" w:ascii="Times New Roman" w:hAnsi="Times New Roman" w:eastAsia="方正仿宋简体" w:cs="Times New Roman"/>
          <w:b/>
          <w:bCs/>
          <w:color w:val="auto"/>
          <w:kern w:val="2"/>
          <w:sz w:val="24"/>
          <w:szCs w:val="24"/>
          <w:lang w:val="en-US" w:eastAsia="zh-CN" w:bidi="ar"/>
        </w:rPr>
        <w:t>Article 25</w:t>
      </w:r>
      <w:r>
        <w:rPr>
          <w:rFonts w:hint="eastAsia" w:eastAsia="方正仿宋简体" w:cs="Times New Roman"/>
          <w:b/>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The Exchange may adjust the Position Limit of an FF Member</w:t>
      </w:r>
      <w:r>
        <w:rPr>
          <w:rFonts w:hint="default" w:ascii="Times New Roman" w:hAnsi="Times New Roman" w:eastAsia="宋体" w:cs="Times New Roman"/>
          <w:b w:val="0"/>
          <w:bCs w:val="0"/>
          <w:color w:val="auto"/>
          <w:kern w:val="2"/>
          <w:sz w:val="24"/>
          <w:szCs w:val="24"/>
          <w:lang w:val="en-US" w:eastAsia="zh-CN" w:bidi="ar"/>
        </w:rPr>
        <w:t>, Overseas</w:t>
      </w:r>
      <w:r>
        <w:rPr>
          <w:rFonts w:hint="eastAsia" w:ascii="Times New Roman" w:hAnsi="Times New Roman"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 xml:space="preserve">Special Brokerage Participants </w:t>
      </w:r>
      <w:r>
        <w:rPr>
          <w:rFonts w:hint="eastAsia" w:ascii="Times New Roman" w:hAnsi="Times New Roman" w:cs="Times New Roman"/>
          <w:b w:val="0"/>
          <w:bCs w:val="0"/>
          <w:color w:val="auto"/>
          <w:kern w:val="2"/>
          <w:sz w:val="24"/>
          <w:szCs w:val="24"/>
          <w:lang w:val="en-US" w:eastAsia="zh-CN" w:bidi="ar"/>
        </w:rPr>
        <w:t>(</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OSBPs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 and Overseas Intermediaries</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方正仿宋简体" w:cs="Times New Roman"/>
          <w:b w:val="0"/>
          <w:bCs w:val="0"/>
          <w:color w:val="auto"/>
          <w:kern w:val="2"/>
          <w:sz w:val="24"/>
          <w:szCs w:val="24"/>
          <w:lang w:val="en-US" w:eastAsia="zh-CN" w:bidi="ar"/>
        </w:rPr>
        <w:t>based on its operating results</w:t>
      </w:r>
      <w:r>
        <w:rPr>
          <w:rFonts w:hint="eastAsia" w:ascii="宋体" w:hAnsi="宋体" w:eastAsia="宋体" w:cs="宋体"/>
          <w:b w:val="0"/>
          <w:bCs w:val="0"/>
          <w:color w:val="auto"/>
          <w:kern w:val="2"/>
          <w:sz w:val="24"/>
          <w:szCs w:val="24"/>
          <w:lang w:val="en-US" w:eastAsia="zh-CN" w:bidi="ar"/>
        </w:rPr>
        <w:t>，</w:t>
      </w:r>
      <w:r>
        <w:rPr>
          <w:rFonts w:hint="default" w:ascii="Times New Roman" w:hAnsi="Times New Roman" w:eastAsia="宋体" w:cs="Times New Roman"/>
          <w:b w:val="0"/>
          <w:bCs w:val="0"/>
          <w:color w:val="auto"/>
          <w:kern w:val="2"/>
          <w:sz w:val="24"/>
          <w:szCs w:val="24"/>
          <w:lang w:val="en-US" w:eastAsia="zh-CN" w:bidi="ar"/>
        </w:rPr>
        <w:t>the specific level of which is to be</w:t>
      </w:r>
      <w:r>
        <w:rPr>
          <w:rFonts w:hint="eastAsia" w:ascii="Times New Roman" w:hAnsi="Times New Roman" w:eastAsia="宋体" w:cs="Times New Roman"/>
          <w:b w:val="0"/>
          <w:bCs w:val="0"/>
          <w:color w:val="auto"/>
          <w:kern w:val="2"/>
          <w:sz w:val="24"/>
          <w:szCs w:val="24"/>
          <w:lang w:val="en-US" w:eastAsia="zh-CN" w:bidi="ar"/>
        </w:rPr>
        <w:t xml:space="preserve"> </w:t>
      </w:r>
      <w:r>
        <w:rPr>
          <w:rFonts w:hint="default" w:ascii="Times New Roman" w:hAnsi="Times New Roman" w:eastAsia="宋体" w:cs="Times New Roman"/>
          <w:b w:val="0"/>
          <w:bCs w:val="0"/>
          <w:color w:val="auto"/>
          <w:kern w:val="2"/>
          <w:sz w:val="24"/>
          <w:szCs w:val="24"/>
          <w:lang w:val="en-US" w:eastAsia="zh-CN" w:bidi="ar"/>
        </w:rPr>
        <w:t>separately determined by the Exchange</w:t>
      </w:r>
      <w:r>
        <w:rPr>
          <w:rFonts w:hint="default" w:ascii="Times New Roman" w:hAnsi="Times New Roman" w:eastAsia="方正仿宋简体" w:cs="Times New Roman"/>
          <w:b w:val="0"/>
          <w:bCs w:val="0"/>
          <w:color w:val="auto"/>
          <w:kern w:val="2"/>
          <w:sz w:val="24"/>
          <w:szCs w:val="24"/>
          <w:lang w:val="en-US" w:eastAsia="zh-CN" w:bidi="ar"/>
        </w:rPr>
        <w:t>.</w:t>
      </w:r>
    </w:p>
    <w:p w14:paraId="7784A2C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kern w:val="2"/>
          <w:sz w:val="24"/>
          <w:szCs w:val="24"/>
        </w:rPr>
      </w:pPr>
      <w:r>
        <w:rPr>
          <w:rFonts w:hint="default" w:ascii="Times New Roman" w:hAnsi="Times New Roman" w:eastAsia="方正仿宋简体" w:cs="Times New Roman"/>
          <w:b/>
          <w:bCs/>
          <w:color w:val="auto"/>
          <w:kern w:val="2"/>
          <w:sz w:val="24"/>
          <w:szCs w:val="24"/>
          <w:lang w:val="en-US" w:eastAsia="zh-CN" w:bidi="ar"/>
        </w:rPr>
        <w:t>Article 26</w:t>
      </w:r>
      <w:r>
        <w:rPr>
          <w:rFonts w:hint="eastAsia" w:eastAsia="方正仿宋简体" w:cs="Times New Roman"/>
          <w:b/>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The Exchange may, based on market conditions, adjust the Position Limits for different listed products and contracts. Any adjustment to the Position Limit shall be reported by the Exchange to the Board of Directors of the Exchange, or the Board, and the CSRC, for approval prior to its implementation.</w:t>
      </w:r>
    </w:p>
    <w:p w14:paraId="51FF2D0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27</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size of open positions held by a Non-FF Member or </w:t>
      </w:r>
      <w:r>
        <w:rPr>
          <w:rFonts w:hint="default" w:ascii="Times New Roman" w:hAnsi="Times New Roman" w:eastAsia="宋体" w:cs="Times New Roman"/>
          <w:bCs/>
          <w:color w:val="auto"/>
          <w:kern w:val="2"/>
          <w:sz w:val="24"/>
          <w:szCs w:val="24"/>
          <w:lang w:val="en-US" w:eastAsia="zh-CN" w:bidi="ar"/>
        </w:rPr>
        <w:t>OSNBP</w:t>
      </w:r>
      <w:r>
        <w:rPr>
          <w:rFonts w:hint="default" w:ascii="Times New Roman" w:hAnsi="Times New Roman" w:eastAsia="宋体" w:cs="Times New Roman"/>
          <w:color w:val="auto"/>
          <w:kern w:val="2"/>
          <w:sz w:val="24"/>
          <w:szCs w:val="24"/>
          <w:lang w:val="en-US" w:eastAsia="zh-CN" w:bidi="ar"/>
        </w:rPr>
        <w:t xml:space="preserve"> shall not exceed the size of the Position Limit set by the Exchange; otherwise, the Exchange shall exercise Forced Position Liquidation subject to the applicable rules of the Exchange.</w:t>
      </w:r>
    </w:p>
    <w:p w14:paraId="1C2C63D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If the open positions held in aggregate by a Client through multiple trading codes opened with different futures firm Members (“FF Members”)</w:t>
      </w:r>
      <w:r>
        <w:rPr>
          <w:rFonts w:hint="default" w:ascii="Times New Roman" w:hAnsi="Times New Roman" w:eastAsia="宋体" w:cs="Times New Roman"/>
          <w:bCs/>
          <w:color w:val="auto"/>
          <w:kern w:val="2"/>
          <w:sz w:val="24"/>
          <w:szCs w:val="24"/>
          <w:lang w:val="en-US" w:eastAsia="zh-CN" w:bidi="ar"/>
        </w:rPr>
        <w:t>, OSBPs, or Overseas Intermediaries</w:t>
      </w:r>
      <w:r>
        <w:rPr>
          <w:rFonts w:hint="default" w:ascii="Times New Roman" w:hAnsi="Times New Roman" w:eastAsia="宋体" w:cs="Times New Roman"/>
          <w:color w:val="auto"/>
          <w:kern w:val="2"/>
          <w:sz w:val="24"/>
          <w:szCs w:val="24"/>
          <w:lang w:val="en-US" w:eastAsia="zh-CN" w:bidi="ar"/>
        </w:rPr>
        <w:t xml:space="preserve"> exceed the Client’s Position Limit, the Exchange shall instruct the FF Members </w:t>
      </w:r>
      <w:r>
        <w:rPr>
          <w:rFonts w:hint="default" w:ascii="Times New Roman" w:hAnsi="Times New Roman" w:eastAsia="宋体" w:cs="Times New Roman"/>
          <w:bCs/>
          <w:color w:val="auto"/>
          <w:kern w:val="2"/>
          <w:sz w:val="24"/>
          <w:szCs w:val="24"/>
          <w:lang w:val="en-US" w:eastAsia="zh-CN" w:bidi="ar"/>
        </w:rPr>
        <w:t>or OSBPs</w:t>
      </w:r>
      <w:r>
        <w:rPr>
          <w:rFonts w:hint="default" w:ascii="Times New Roman" w:hAnsi="Times New Roman" w:eastAsia="宋体" w:cs="Times New Roman"/>
          <w:color w:val="auto"/>
          <w:kern w:val="2"/>
          <w:sz w:val="24"/>
          <w:szCs w:val="24"/>
          <w:lang w:val="en-US" w:eastAsia="zh-CN" w:bidi="ar"/>
        </w:rPr>
        <w:t xml:space="preserve"> to exercise Forced Position Liquidation of the excess positions of that Client.</w:t>
      </w:r>
    </w:p>
    <w:p w14:paraId="0CBFA6D9">
      <w:pPr>
        <w:keepNext w:val="0"/>
        <w:keepLines w:val="0"/>
        <w:widowControl/>
        <w:suppressLineNumbers w:val="0"/>
        <w:adjustRightInd w:val="0"/>
        <w:snapToGrid w:val="0"/>
        <w:spacing w:before="0" w:beforeAutospacing="0" w:after="312" w:afterLines="100" w:afterAutospacing="0" w:line="256" w:lineRule="auto"/>
        <w:ind w:left="0" w:right="261"/>
        <w:jc w:val="left"/>
        <w:rPr>
          <w:rFonts w:hint="default" w:ascii="Times New Roman" w:hAnsi="Times New Roman" w:eastAsia="宋体" w:cs="Times New Roman"/>
          <w:kern w:val="2"/>
          <w:sz w:val="24"/>
          <w:szCs w:val="24"/>
        </w:rPr>
      </w:pPr>
      <w:r>
        <w:rPr>
          <w:rFonts w:hint="default" w:ascii="Times New Roman" w:hAnsi="Times New Roman" w:eastAsia="宋体" w:cs="Times New Roman"/>
          <w:bCs/>
          <w:color w:val="auto"/>
          <w:kern w:val="2"/>
          <w:sz w:val="24"/>
          <w:szCs w:val="24"/>
          <w:lang w:val="en-US" w:eastAsia="zh-CN" w:bidi="ar"/>
        </w:rPr>
        <w:t>An FF Member or OSBP shall not hold positions in excess of the Position Limit prescribed by the Exchange. Upon the reach or exceedance of such Position Limit, opening new position in that direction will be prohibited. When the aggregate open positions held by an Overseas Intermediary through one or more FF Members or OSBPs reach or exceed the Position Limit prescribed by the Exchange, opening new positions on the next trading day will be prohibited.</w:t>
      </w:r>
    </w:p>
    <w:p w14:paraId="6485BC94">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5</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TRADING LIMIT</w:t>
      </w:r>
    </w:p>
    <w:p w14:paraId="05C2648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
          <w:bCs/>
          <w:kern w:val="2"/>
          <w:sz w:val="24"/>
          <w:szCs w:val="24"/>
        </w:rPr>
      </w:pPr>
      <w:r>
        <w:rPr>
          <w:rFonts w:hint="default" w:ascii="Times New Roman" w:hAnsi="Times New Roman" w:eastAsia="宋体" w:cs="Times New Roman"/>
          <w:b/>
          <w:bCs/>
          <w:color w:val="auto"/>
          <w:kern w:val="2"/>
          <w:sz w:val="24"/>
          <w:szCs w:val="24"/>
          <w:lang w:val="en-US" w:eastAsia="zh-CN" w:bidi="ar"/>
        </w:rPr>
        <w:t>Article 28</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华文中宋" w:cs="Times New Roman"/>
          <w:bCs/>
          <w:color w:val="auto"/>
          <w:kern w:val="2"/>
          <w:sz w:val="24"/>
          <w:szCs w:val="24"/>
          <w:lang w:val="en-US" w:eastAsia="zh-CN" w:bidi="ar"/>
        </w:rPr>
        <w:t xml:space="preserve">applies Trading Limit. The term “Trading Limit” means the maximum size of positions opened by </w:t>
      </w:r>
      <w:r>
        <w:rPr>
          <w:rFonts w:hint="default" w:ascii="Times New Roman" w:hAnsi="Times New Roman" w:eastAsia="华文中宋" w:cs="Times New Roman"/>
          <w:color w:val="auto"/>
          <w:kern w:val="2"/>
          <w:sz w:val="24"/>
          <w:szCs w:val="24"/>
          <w:lang w:val="en-US" w:eastAsia="zh-CN" w:bidi="ar"/>
        </w:rPr>
        <w:t>some or all of the Members, OSPs, and Clients</w:t>
      </w:r>
      <w:r>
        <w:rPr>
          <w:rFonts w:hint="default" w:ascii="Times New Roman" w:hAnsi="Times New Roman" w:eastAsia="华文中宋" w:cs="Times New Roman"/>
          <w:bCs/>
          <w:color w:val="auto"/>
          <w:kern w:val="2"/>
          <w:sz w:val="24"/>
          <w:szCs w:val="24"/>
          <w:lang w:val="en-US" w:eastAsia="zh-CN" w:bidi="ar"/>
        </w:rPr>
        <w:t xml:space="preserve"> in a contract within a certain period in accordance with the requirements of the Exchange. The Exchange may, based on market conditions, set the maximum size of positions opened within a day in different listed products and contracts for some or all of the Members</w:t>
      </w:r>
      <w:r>
        <w:rPr>
          <w:rFonts w:hint="default" w:ascii="Times New Roman" w:hAnsi="Times New Roman" w:eastAsia="华文中宋" w:cs="Times New Roman"/>
          <w:color w:val="auto"/>
          <w:kern w:val="2"/>
          <w:sz w:val="24"/>
          <w:szCs w:val="24"/>
          <w:lang w:val="en-US" w:eastAsia="zh-CN" w:bidi="ar"/>
        </w:rPr>
        <w:t>, OSPs, and Clients</w:t>
      </w:r>
      <w:r>
        <w:rPr>
          <w:rFonts w:hint="default" w:ascii="Times New Roman" w:hAnsi="Times New Roman" w:eastAsia="华文中宋" w:cs="Times New Roman"/>
          <w:bCs/>
          <w:color w:val="auto"/>
          <w:kern w:val="2"/>
          <w:sz w:val="24"/>
          <w:szCs w:val="24"/>
          <w:lang w:val="en-US" w:eastAsia="zh-CN" w:bidi="ar"/>
        </w:rPr>
        <w:t>. The specific criteria will be determined by the Exchange.</w:t>
      </w:r>
    </w:p>
    <w:p w14:paraId="4D15E14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Hedging trades are not subject to the preceding paragraph. </w:t>
      </w:r>
    </w:p>
    <w:p w14:paraId="642CAE43">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6</w:t>
      </w:r>
      <w:r>
        <w:rPr>
          <w:rFonts w:hint="eastAsia" w:ascii="Times New Roman" w:hAnsi="Times New Roman" w:eastAsia="宋体"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LARGE TRADER POSITION REPORTING</w:t>
      </w:r>
    </w:p>
    <w:p w14:paraId="049B31A2">
      <w:pPr>
        <w:keepNext/>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29</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华文中宋" w:cs="Times New Roman"/>
          <w:bCs/>
          <w:color w:val="auto"/>
          <w:kern w:val="2"/>
          <w:sz w:val="24"/>
          <w:szCs w:val="24"/>
          <w:lang w:val="en-US" w:eastAsia="zh-CN" w:bidi="ar"/>
        </w:rPr>
        <w:t xml:space="preserve">applies the Large Trader </w:t>
      </w:r>
      <w:r>
        <w:rPr>
          <w:rFonts w:hint="default" w:ascii="Times New Roman" w:hAnsi="Times New Roman" w:eastAsia="华文中宋" w:cs="Times New Roman"/>
          <w:color w:val="auto"/>
          <w:kern w:val="2"/>
          <w:sz w:val="24"/>
          <w:szCs w:val="24"/>
          <w:lang w:val="en-US" w:eastAsia="zh-CN" w:bidi="ar"/>
        </w:rPr>
        <w:t>Position</w:t>
      </w:r>
      <w:r>
        <w:rPr>
          <w:rFonts w:hint="default" w:ascii="Times New Roman" w:hAnsi="Times New Roman" w:eastAsia="华文中宋" w:cs="Times New Roman"/>
          <w:bCs/>
          <w:color w:val="auto"/>
          <w:kern w:val="2"/>
          <w:sz w:val="24"/>
          <w:szCs w:val="24"/>
          <w:lang w:val="en-US" w:eastAsia="zh-CN" w:bidi="ar"/>
        </w:rPr>
        <w:t xml:space="preserve"> Reporting regime</w:t>
      </w:r>
      <w:r>
        <w:rPr>
          <w:rFonts w:hint="default" w:ascii="Times New Roman" w:hAnsi="Times New Roman" w:eastAsia="宋体" w:cs="Times New Roman"/>
          <w:color w:val="auto"/>
          <w:kern w:val="2"/>
          <w:sz w:val="24"/>
          <w:szCs w:val="24"/>
          <w:lang w:val="en-US" w:eastAsia="zh-CN" w:bidi="ar"/>
        </w:rPr>
        <w:t>. Any Member</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OSP</w:t>
      </w:r>
      <w:r>
        <w:rPr>
          <w:rFonts w:hint="default" w:ascii="Times New Roman" w:hAnsi="Times New Roman" w:eastAsia="宋体" w:cs="Times New Roman"/>
          <w:color w:val="auto"/>
          <w:kern w:val="2"/>
          <w:sz w:val="24"/>
          <w:szCs w:val="24"/>
          <w:lang w:val="en-US" w:eastAsia="zh-CN" w:bidi="ar"/>
        </w:rPr>
        <w:t xml:space="preserve"> or Client whose </w:t>
      </w:r>
      <w:r>
        <w:rPr>
          <w:rFonts w:hint="default" w:ascii="Times New Roman" w:hAnsi="Times New Roman" w:eastAsia="宋体" w:cs="Times New Roman"/>
          <w:bCs/>
          <w:color w:val="auto"/>
          <w:kern w:val="2"/>
          <w:sz w:val="24"/>
          <w:szCs w:val="24"/>
          <w:lang w:val="en-US" w:eastAsia="zh-CN" w:bidi="ar"/>
        </w:rPr>
        <w:t xml:space="preserve">general </w:t>
      </w:r>
      <w:r>
        <w:rPr>
          <w:rFonts w:hint="default" w:ascii="Times New Roman" w:hAnsi="Times New Roman" w:eastAsia="宋体" w:cs="Times New Roman"/>
          <w:color w:val="auto"/>
          <w:kern w:val="2"/>
          <w:sz w:val="24"/>
          <w:szCs w:val="24"/>
          <w:lang w:val="en-US" w:eastAsia="zh-CN" w:bidi="ar"/>
        </w:rPr>
        <w:t xml:space="preserve">positions in a futures contract reaches eighty percent (80%) or more of its Position Limit </w:t>
      </w:r>
      <w:r>
        <w:rPr>
          <w:rFonts w:hint="default" w:ascii="Times New Roman" w:hAnsi="Times New Roman" w:eastAsia="宋体" w:cs="Times New Roman"/>
          <w:bCs/>
          <w:color w:val="auto"/>
          <w:kern w:val="2"/>
          <w:sz w:val="24"/>
          <w:szCs w:val="24"/>
          <w:lang w:val="en-US" w:eastAsia="zh-CN" w:bidi="ar"/>
        </w:rPr>
        <w:t>specified in the Exchange’s futures rules for the particular products, or any Overseas Intermediary whose general positions in a futures contract reaches sixty percent (60%) or more of its Position Limit specified therein</w:t>
      </w:r>
      <w:r>
        <w:rPr>
          <w:rFonts w:hint="default" w:ascii="Times New Roman" w:hAnsi="Times New Roman" w:eastAsia="宋体" w:cs="Times New Roman"/>
          <w:color w:val="auto"/>
          <w:kern w:val="2"/>
          <w:sz w:val="24"/>
          <w:szCs w:val="24"/>
          <w:lang w:val="en-US" w:eastAsia="zh-CN" w:bidi="ar"/>
        </w:rPr>
        <w:t>, or upon request by the Exchange, shall report to the Exchange about its financial conditions</w:t>
      </w:r>
      <w:r>
        <w:rPr>
          <w:rFonts w:hint="default" w:ascii="Times New Roman" w:hAnsi="Times New Roman" w:eastAsia="宋体" w:cs="Times New Roman"/>
          <w:bCs/>
          <w:color w:val="auto"/>
          <w:kern w:val="2"/>
          <w:sz w:val="24"/>
          <w:szCs w:val="24"/>
          <w:lang w:val="en-US" w:eastAsia="zh-CN" w:bidi="ar"/>
        </w:rPr>
        <w:t>, open positions, delivery intention, and other information</w:t>
      </w:r>
      <w:r>
        <w:rPr>
          <w:rFonts w:hint="default" w:ascii="Times New Roman" w:hAnsi="Times New Roman" w:eastAsia="宋体" w:cs="Times New Roman"/>
          <w:color w:val="auto"/>
          <w:kern w:val="2"/>
          <w:sz w:val="24"/>
          <w:szCs w:val="24"/>
          <w:lang w:val="en-US" w:eastAsia="zh-CN" w:bidi="ar"/>
        </w:rPr>
        <w:t xml:space="preserve">. The Exchange may set and adjust </w:t>
      </w:r>
      <w:r>
        <w:rPr>
          <w:rFonts w:hint="default" w:ascii="Times New Roman" w:hAnsi="Times New Roman" w:eastAsia="宋体" w:cs="Times New Roman"/>
          <w:bCs/>
          <w:color w:val="auto"/>
          <w:kern w:val="2"/>
          <w:sz w:val="24"/>
          <w:szCs w:val="24"/>
          <w:lang w:val="en-US" w:eastAsia="zh-CN" w:bidi="ar"/>
        </w:rPr>
        <w:t xml:space="preserve">the threshold, contents, and submission method of such reports </w:t>
      </w:r>
      <w:r>
        <w:rPr>
          <w:rFonts w:hint="default" w:ascii="Times New Roman" w:hAnsi="Times New Roman" w:eastAsia="宋体" w:cs="Times New Roman"/>
          <w:color w:val="auto"/>
          <w:kern w:val="2"/>
          <w:sz w:val="24"/>
          <w:szCs w:val="24"/>
          <w:lang w:val="en-US" w:eastAsia="zh-CN" w:bidi="ar"/>
        </w:rPr>
        <w:t>according to market risk conditions.</w:t>
      </w:r>
    </w:p>
    <w:p w14:paraId="267CFC1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30</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whose positions reach the reportable level shall take the initiative to submit a report to the Exchange by 15:00 of the following trading day</w:t>
      </w:r>
      <w:r>
        <w:rPr>
          <w:rFonts w:hint="default" w:ascii="Times New Roman" w:hAnsi="Times New Roman" w:eastAsia="宋体" w:cs="Times New Roman"/>
          <w:bCs/>
          <w:color w:val="auto"/>
          <w:kern w:val="2"/>
          <w:sz w:val="24"/>
          <w:szCs w:val="24"/>
          <w:lang w:val="en-US" w:eastAsia="zh-CN" w:bidi="ar"/>
        </w:rPr>
        <w:t>, and shall ensure the information in the large trader position reports and other related materials are truthful, accurate, and complete</w:t>
      </w:r>
      <w:r>
        <w:rPr>
          <w:rFonts w:hint="default" w:ascii="Times New Roman" w:hAnsi="Times New Roman" w:eastAsia="宋体" w:cs="Times New Roman"/>
          <w:color w:val="auto"/>
          <w:kern w:val="2"/>
          <w:sz w:val="24"/>
          <w:szCs w:val="24"/>
          <w:lang w:val="en-US" w:eastAsia="zh-CN" w:bidi="ar"/>
        </w:rPr>
        <w:t xml:space="preserve">. The Exchange will notify </w:t>
      </w:r>
      <w:r>
        <w:rPr>
          <w:rFonts w:hint="default" w:ascii="Times New Roman" w:hAnsi="Times New Roman" w:eastAsia="宋体" w:cs="Times New Roman"/>
          <w:bCs/>
          <w:color w:val="auto"/>
          <w:kern w:val="2"/>
          <w:sz w:val="24"/>
          <w:szCs w:val="24"/>
          <w:lang w:val="en-US" w:eastAsia="zh-CN" w:bidi="ar"/>
        </w:rPr>
        <w:t>relevant individuals</w:t>
      </w:r>
      <w:r>
        <w:rPr>
          <w:rFonts w:hint="default" w:ascii="Times New Roman" w:hAnsi="Times New Roman" w:eastAsia="宋体" w:cs="Times New Roman"/>
          <w:color w:val="auto"/>
          <w:kern w:val="2"/>
          <w:sz w:val="24"/>
          <w:szCs w:val="24"/>
          <w:lang w:val="en-US" w:eastAsia="zh-CN" w:bidi="ar"/>
        </w:rPr>
        <w:t xml:space="preserve"> if submission of a new or supplementary report is deemed as necessary.</w:t>
      </w:r>
    </w:p>
    <w:p w14:paraId="0AD69AC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
          <w:bCs w:val="0"/>
          <w:kern w:val="0"/>
          <w:sz w:val="24"/>
          <w:szCs w:val="24"/>
        </w:rPr>
      </w:pPr>
      <w:r>
        <w:rPr>
          <w:rFonts w:hint="default" w:ascii="Times New Roman" w:hAnsi="Times New Roman" w:eastAsia="方正仿宋简体" w:cs="Times New Roman"/>
          <w:b/>
          <w:bCs w:val="0"/>
          <w:color w:val="auto"/>
          <w:kern w:val="0"/>
          <w:sz w:val="24"/>
          <w:szCs w:val="24"/>
          <w:lang w:val="en-US" w:eastAsia="zh-CN" w:bidi="ar"/>
        </w:rPr>
        <w:t>Article 31</w:t>
      </w:r>
      <w:r>
        <w:rPr>
          <w:rFonts w:hint="eastAsia" w:eastAsia="方正仿宋简体" w:cs="Times New Roman"/>
          <w:b/>
          <w:bCs w:val="0"/>
          <w:color w:val="auto"/>
          <w:kern w:val="0"/>
          <w:sz w:val="24"/>
          <w:szCs w:val="24"/>
          <w:lang w:val="en-US" w:eastAsia="zh-CN" w:bidi="ar"/>
        </w:rPr>
        <w:t xml:space="preserve"> </w:t>
      </w:r>
      <w:r>
        <w:rPr>
          <w:rFonts w:hint="default" w:ascii="Times New Roman" w:hAnsi="Times New Roman" w:eastAsia="方正仿宋简体" w:cs="Times New Roman"/>
          <w:color w:val="auto"/>
          <w:kern w:val="0"/>
          <w:sz w:val="24"/>
          <w:szCs w:val="24"/>
          <w:lang w:val="en-US" w:eastAsia="zh-CN" w:bidi="ar"/>
        </w:rPr>
        <w:t>A Member or an OSP shall submit its large trader position reports to the Exchange directly. An Overseas Intermediary shall submit such reports through the FF Member or OSBP that handle trading and clearing on its behalf.</w:t>
      </w:r>
    </w:p>
    <w:p w14:paraId="1E0D0D5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Article 32</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 Client shall submit its large trader position reports through its carrying FF Member or OSBP. A Client that engages in futures trading through an Overseas Intermediary shall request the Overseas Intermediary to submit such reports through the relevant FF Member or OSBP. If the aggregate positions held by a Client under multiple trading codes opened with different FF Members, OSBPs, and Overseas Intermediaries reaches the reporting threshold, the Client shall voluntarily submit a large trader position report through the relevant FF Member, OSBP, or Overseas Intermediary. If the said Client fails to file a report with the Exchange, its carrying FF Member, OSBP, or Overseas Intermediary shall do so on its behalf. The Exchange may also designate and notify the relevant FF Member, OSBP, or Overseas Intermediary to submit the report</w:t>
      </w:r>
      <w:r>
        <w:rPr>
          <w:rFonts w:hint="default" w:ascii="Times New Roman" w:hAnsi="Times New Roman" w:eastAsia="宋体" w:cs="Times New Roman"/>
          <w:bCs/>
          <w:color w:val="auto"/>
          <w:kern w:val="2"/>
          <w:sz w:val="24"/>
          <w:szCs w:val="24"/>
          <w:lang w:val="en-US" w:eastAsia="zh-CN" w:bidi="ar"/>
        </w:rPr>
        <w:t>.</w:t>
      </w:r>
    </w:p>
    <w:p w14:paraId="2865FEA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33</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whose positions meet the position reportable level, shall provide to the Exchange the following documents: </w:t>
      </w:r>
    </w:p>
    <w:p w14:paraId="2958935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 completed</w:t>
      </w:r>
      <w:r>
        <w:rPr>
          <w:rFonts w:hint="default" w:ascii="Times New Roman" w:hAnsi="Times New Roman" w:eastAsia="宋体" w:cs="Times New Roman"/>
          <w:bCs/>
          <w:color w:val="auto"/>
          <w:kern w:val="2"/>
          <w:sz w:val="24"/>
          <w:szCs w:val="24"/>
          <w:lang w:val="en-US" w:eastAsia="zh-CN" w:bidi="ar"/>
        </w:rPr>
        <w:t xml:space="preserve"> large trader position reporting form</w:t>
      </w:r>
      <w:r>
        <w:rPr>
          <w:rFonts w:hint="default" w:ascii="Times New Roman" w:hAnsi="Times New Roman" w:eastAsia="宋体" w:cs="Times New Roman"/>
          <w:color w:val="auto"/>
          <w:kern w:val="2"/>
          <w:sz w:val="24"/>
          <w:szCs w:val="24"/>
          <w:lang w:val="en-US" w:eastAsia="zh-CN" w:bidi="ar"/>
        </w:rPr>
        <w:t>;</w:t>
      </w:r>
    </w:p>
    <w:p w14:paraId="5D8CD30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description of the source of funds; </w:t>
      </w:r>
    </w:p>
    <w:p w14:paraId="47FADAD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names, trading codes, respective open positions, account opening documents and daily settlement statements of its top five (5) Clients ranking in terms of size of open positions; and </w:t>
      </w:r>
    </w:p>
    <w:p w14:paraId="6E02ACC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w:t>
      </w:r>
      <w:r>
        <w:rPr>
          <w:rFonts w:hint="default" w:ascii="Times New Roman" w:hAnsi="Times New Roman" w:eastAsia="宋体" w:cs="Times New Roman"/>
          <w:color w:val="auto"/>
          <w:kern w:val="2"/>
          <w:sz w:val="24"/>
          <w:szCs w:val="24"/>
          <w:lang w:val="en-US" w:eastAsia="zh-CN" w:bidi="ar"/>
        </w:rPr>
        <w:t>y other documents as required by the Exchange.</w:t>
      </w:r>
    </w:p>
    <w:p w14:paraId="4CC16EB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Non-FF Member </w:t>
      </w:r>
      <w:r>
        <w:rPr>
          <w:rFonts w:hint="default" w:ascii="Times New Roman" w:hAnsi="Times New Roman" w:eastAsia="宋体" w:cs="Times New Roman"/>
          <w:bCs/>
          <w:color w:val="auto"/>
          <w:kern w:val="2"/>
          <w:sz w:val="24"/>
          <w:szCs w:val="24"/>
          <w:lang w:val="en-US" w:eastAsia="zh-CN" w:bidi="ar"/>
        </w:rPr>
        <w:t>or OSNBP</w:t>
      </w:r>
      <w:r>
        <w:rPr>
          <w:rFonts w:hint="default" w:ascii="Times New Roman" w:hAnsi="Times New Roman" w:eastAsia="宋体" w:cs="Times New Roman"/>
          <w:color w:val="auto"/>
          <w:kern w:val="2"/>
          <w:sz w:val="24"/>
          <w:szCs w:val="24"/>
          <w:lang w:val="en-US" w:eastAsia="zh-CN" w:bidi="ar"/>
        </w:rPr>
        <w:t xml:space="preserve">, whose positions reach the reportable level, shall provide to the Exchange the following documents: </w:t>
      </w:r>
    </w:p>
    <w:p w14:paraId="2946172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completed </w:t>
      </w:r>
      <w:r>
        <w:rPr>
          <w:rFonts w:hint="default" w:ascii="Times New Roman" w:hAnsi="Times New Roman" w:eastAsia="宋体" w:cs="Times New Roman"/>
          <w:bCs/>
          <w:color w:val="auto"/>
          <w:kern w:val="2"/>
          <w:sz w:val="24"/>
          <w:szCs w:val="24"/>
          <w:lang w:val="en-US" w:eastAsia="zh-CN" w:bidi="ar"/>
        </w:rPr>
        <w:t>large trader position reporting form</w:t>
      </w:r>
      <w:r>
        <w:rPr>
          <w:rFonts w:hint="default" w:ascii="Times New Roman" w:hAnsi="Times New Roman" w:eastAsia="方正仿宋简体" w:cs="Times New Roman"/>
          <w:bCs/>
          <w:color w:val="auto"/>
          <w:kern w:val="2"/>
          <w:sz w:val="24"/>
          <w:szCs w:val="24"/>
          <w:lang w:val="en-US" w:eastAsia="zh-CN" w:bidi="ar"/>
        </w:rPr>
        <w:t>;</w:t>
      </w:r>
    </w:p>
    <w:p w14:paraId="2244412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description of the source of funds; and </w:t>
      </w:r>
    </w:p>
    <w:p w14:paraId="4CEA105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oth</w:t>
      </w:r>
      <w:r>
        <w:rPr>
          <w:rFonts w:hint="default" w:ascii="Times New Roman" w:hAnsi="Times New Roman" w:eastAsia="宋体" w:cs="Times New Roman"/>
          <w:color w:val="auto"/>
          <w:kern w:val="2"/>
          <w:sz w:val="24"/>
          <w:szCs w:val="24"/>
          <w:lang w:val="en-US" w:eastAsia="zh-CN" w:bidi="ar"/>
        </w:rPr>
        <w:t>er documents as required by the Exchange.</w:t>
      </w:r>
    </w:p>
    <w:p w14:paraId="7996450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Any Client, whose positions reach the reportable level shall provide to the Exchange the following documents: </w:t>
      </w:r>
    </w:p>
    <w:p w14:paraId="69BFDE5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a completed </w:t>
      </w:r>
      <w:r>
        <w:rPr>
          <w:rFonts w:hint="default" w:ascii="Times New Roman" w:hAnsi="Times New Roman" w:eastAsia="宋体" w:cs="Times New Roman"/>
          <w:bCs/>
          <w:color w:val="auto"/>
          <w:kern w:val="2"/>
          <w:sz w:val="24"/>
          <w:szCs w:val="24"/>
          <w:lang w:val="en-US" w:eastAsia="zh-CN" w:bidi="ar"/>
        </w:rPr>
        <w:t>large trader position reporting form</w:t>
      </w:r>
      <w:r>
        <w:rPr>
          <w:rFonts w:hint="default" w:ascii="Times New Roman" w:hAnsi="Times New Roman" w:eastAsia="方正仿宋简体" w:cs="Times New Roman"/>
          <w:bCs/>
          <w:color w:val="auto"/>
          <w:kern w:val="2"/>
          <w:sz w:val="24"/>
          <w:szCs w:val="24"/>
          <w:lang w:val="en-US" w:eastAsia="zh-CN" w:bidi="ar"/>
        </w:rPr>
        <w:t>;</w:t>
      </w:r>
    </w:p>
    <w:p w14:paraId="314A47A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 explanation of the source of its funds;</w:t>
      </w:r>
    </w:p>
    <w:p w14:paraId="326B2C9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account opening documents and the settlement statement of the current day; and</w:t>
      </w:r>
    </w:p>
    <w:p w14:paraId="078A53F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other documentation required by the Exchange.</w:t>
      </w:r>
    </w:p>
    <w:p w14:paraId="0EE2B6B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Each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shall review the documents submitted by its Client whose positions reach the reportable level </w:t>
      </w:r>
      <w:r>
        <w:rPr>
          <w:rFonts w:hint="default" w:ascii="Times New Roman" w:hAnsi="Times New Roman" w:eastAsia="宋体" w:cs="Times New Roman"/>
          <w:bCs/>
          <w:color w:val="auto"/>
          <w:kern w:val="2"/>
          <w:sz w:val="24"/>
          <w:szCs w:val="24"/>
          <w:lang w:val="en-US" w:eastAsia="zh-CN" w:bidi="ar"/>
        </w:rPr>
        <w:t>and ensure they are truthful and accurate</w:t>
      </w:r>
      <w:r>
        <w:rPr>
          <w:rFonts w:hint="default" w:ascii="Times New Roman" w:hAnsi="Times New Roman" w:eastAsia="宋体" w:cs="Times New Roman"/>
          <w:color w:val="auto"/>
          <w:kern w:val="2"/>
          <w:sz w:val="24"/>
          <w:szCs w:val="24"/>
          <w:lang w:val="en-US" w:eastAsia="zh-CN" w:bidi="ar"/>
        </w:rPr>
        <w:t xml:space="preserve"> before forwarding them to the Exchange. The FF Member</w:t>
      </w:r>
      <w:r>
        <w:rPr>
          <w:rFonts w:hint="default" w:ascii="Times New Roman" w:hAnsi="Times New Roman" w:eastAsia="宋体" w:cs="Times New Roman"/>
          <w:bCs/>
          <w:color w:val="auto"/>
          <w:kern w:val="2"/>
          <w:sz w:val="24"/>
          <w:szCs w:val="24"/>
          <w:lang w:val="en-US" w:eastAsia="zh-CN" w:bidi="ar"/>
        </w:rPr>
        <w:t>, OSBP or Overseas Intermediary</w:t>
      </w:r>
      <w:r>
        <w:rPr>
          <w:rFonts w:hint="default" w:ascii="Times New Roman" w:hAnsi="Times New Roman" w:eastAsia="宋体" w:cs="Times New Roman"/>
          <w:color w:val="auto"/>
          <w:kern w:val="2"/>
          <w:sz w:val="24"/>
          <w:szCs w:val="24"/>
          <w:lang w:val="en-US" w:eastAsia="zh-CN" w:bidi="ar"/>
        </w:rPr>
        <w:t xml:space="preserve"> shall properly keep original copies signed by the Client or the Client’s telephone recordings and other supporting documents in relation to the Large Trader </w:t>
      </w:r>
      <w:r>
        <w:rPr>
          <w:rFonts w:hint="default" w:ascii="Times New Roman" w:hAnsi="Times New Roman" w:eastAsia="宋体" w:cs="Times New Roman"/>
          <w:bCs/>
          <w:color w:val="auto"/>
          <w:kern w:val="2"/>
          <w:sz w:val="24"/>
          <w:szCs w:val="24"/>
          <w:lang w:val="en-US" w:eastAsia="zh-CN" w:bidi="ar"/>
        </w:rPr>
        <w:t>Position</w:t>
      </w:r>
      <w:r>
        <w:rPr>
          <w:rFonts w:hint="default" w:ascii="Times New Roman" w:hAnsi="Times New Roman" w:eastAsia="宋体" w:cs="Times New Roman"/>
          <w:color w:val="auto"/>
          <w:kern w:val="2"/>
          <w:sz w:val="24"/>
          <w:szCs w:val="24"/>
          <w:lang w:val="en-US" w:eastAsia="zh-CN" w:bidi="ar"/>
        </w:rPr>
        <w:t xml:space="preserve"> Reporting.</w:t>
      </w:r>
    </w:p>
    <w:p w14:paraId="35CFF1D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37</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t>
      </w:r>
      <w:r>
        <w:rPr>
          <w:rFonts w:hint="default" w:ascii="Times New Roman" w:hAnsi="Times New Roman" w:eastAsia="宋体" w:cs="Times New Roman"/>
          <w:bCs/>
          <w:color w:val="auto"/>
          <w:kern w:val="2"/>
          <w:sz w:val="24"/>
          <w:szCs w:val="24"/>
          <w:lang w:val="en-US" w:eastAsia="zh-CN" w:bidi="ar"/>
        </w:rPr>
        <w:t>may, in view of market risk</w:t>
      </w:r>
      <w:r>
        <w:rPr>
          <w:rFonts w:hint="default" w:ascii="Times New Roman" w:hAnsi="Times New Roman" w:eastAsia="仿宋" w:cs="Times New Roman"/>
          <w:bCs/>
          <w:color w:val="auto"/>
          <w:kern w:val="2"/>
          <w:sz w:val="24"/>
          <w:szCs w:val="24"/>
          <w:lang w:val="en-US" w:eastAsia="zh-CN" w:bidi="ar"/>
        </w:rPr>
        <w:t xml:space="preserve"> conditions</w:t>
      </w:r>
      <w:r>
        <w:rPr>
          <w:rFonts w:hint="default" w:ascii="Times New Roman" w:hAnsi="Times New Roman" w:eastAsia="宋体" w:cs="Times New Roman"/>
          <w:bCs/>
          <w:color w:val="auto"/>
          <w:kern w:val="2"/>
          <w:sz w:val="24"/>
          <w:szCs w:val="24"/>
          <w:lang w:val="en-US" w:eastAsia="zh-CN" w:bidi="ar"/>
        </w:rPr>
        <w:t>, require specific Members, OSPs, Overseas Intermediaries, or Clients to submit large trader position reports or other explanatory materials, and</w:t>
      </w:r>
      <w:r>
        <w:rPr>
          <w:rFonts w:hint="default" w:ascii="Times New Roman" w:hAnsi="Times New Roman" w:eastAsia="宋体" w:cs="Times New Roman"/>
          <w:color w:val="auto"/>
          <w:kern w:val="2"/>
          <w:sz w:val="24"/>
          <w:szCs w:val="24"/>
          <w:lang w:val="en-US" w:eastAsia="zh-CN" w:bidi="ar"/>
        </w:rPr>
        <w:t xml:space="preserve"> may</w:t>
      </w:r>
      <w:r>
        <w:rPr>
          <w:rFonts w:hint="eastAsia"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verify </w:t>
      </w:r>
      <w:r>
        <w:rPr>
          <w:rFonts w:hint="default" w:ascii="Times New Roman" w:hAnsi="Times New Roman" w:eastAsia="宋体" w:cs="Times New Roman"/>
          <w:bCs/>
          <w:color w:val="auto"/>
          <w:kern w:val="2"/>
          <w:sz w:val="24"/>
          <w:szCs w:val="24"/>
          <w:lang w:val="en-US" w:eastAsia="zh-CN" w:bidi="ar"/>
        </w:rPr>
        <w:t>these</w:t>
      </w:r>
      <w:r>
        <w:rPr>
          <w:rFonts w:hint="default" w:ascii="Times New Roman" w:hAnsi="Times New Roman" w:eastAsia="宋体" w:cs="Times New Roman"/>
          <w:color w:val="auto"/>
          <w:kern w:val="2"/>
          <w:sz w:val="24"/>
          <w:szCs w:val="24"/>
          <w:lang w:val="en-US" w:eastAsia="zh-CN" w:bidi="ar"/>
        </w:rPr>
        <w:t xml:space="preserve"> documents from time to time. </w:t>
      </w:r>
    </w:p>
    <w:p w14:paraId="54B3ADCA">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7</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FORCED POSITION LIQUIDATION</w:t>
      </w:r>
    </w:p>
    <w:p w14:paraId="66E8B19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38</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applies Forced Position Liquidation to manage market risks. The term “Forced Position Liquidation” means the mandatory action the Exchange takes to close out the positions of a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who violates any applicable rules of the Exchange.</w:t>
      </w:r>
    </w:p>
    <w:p w14:paraId="78026A9A">
      <w:pPr>
        <w:keepNext/>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39</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shall impose Forced Position Liquidation, if:</w:t>
      </w:r>
    </w:p>
    <w:p w14:paraId="46A12B8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clearing deposit balance of </w:t>
      </w:r>
      <w:r>
        <w:rPr>
          <w:rFonts w:hint="default" w:ascii="Times New Roman" w:hAnsi="Times New Roman" w:eastAsia="方正仿宋简体" w:cs="Times New Roman"/>
          <w:color w:val="auto"/>
          <w:kern w:val="2"/>
          <w:sz w:val="24"/>
          <w:szCs w:val="24"/>
          <w:lang w:val="en-US" w:eastAsia="zh-CN" w:bidi="ar"/>
        </w:rPr>
        <w:t>a</w:t>
      </w:r>
      <w:r>
        <w:rPr>
          <w:rFonts w:hint="default" w:ascii="Times New Roman" w:hAnsi="Times New Roman" w:eastAsia="方正仿宋简体" w:cs="Times New Roman"/>
          <w:bCs/>
          <w:color w:val="auto"/>
          <w:kern w:val="2"/>
          <w:sz w:val="24"/>
          <w:szCs w:val="24"/>
          <w:lang w:val="en-US" w:eastAsia="zh-CN" w:bidi="ar"/>
        </w:rPr>
        <w:t xml:space="preserve"> Member</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recorded on any internal ledger at the Exchange, whether for its own account or for one it provides clearing services to,</w:t>
      </w:r>
      <w:r>
        <w:rPr>
          <w:rFonts w:hint="default" w:ascii="Times New Roman" w:hAnsi="Times New Roman" w:eastAsia="方正仿宋简体" w:cs="Times New Roman"/>
          <w:bCs/>
          <w:color w:val="auto"/>
          <w:kern w:val="2"/>
          <w:sz w:val="24"/>
          <w:szCs w:val="24"/>
          <w:lang w:val="en-US" w:eastAsia="zh-CN" w:bidi="ar"/>
        </w:rPr>
        <w:t xml:space="preserve"> falls below zero (0) and it fails to meet the Margin Requirement within the specified time limit;</w:t>
      </w:r>
    </w:p>
    <w:p w14:paraId="792FC3F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the</w:t>
      </w:r>
      <w:r>
        <w:rPr>
          <w:rFonts w:hint="default" w:ascii="Times New Roman" w:hAnsi="Times New Roman" w:eastAsia="方正仿宋简体" w:cs="Times New Roman"/>
          <w:bCs/>
          <w:color w:val="auto"/>
          <w:kern w:val="2"/>
          <w:sz w:val="24"/>
          <w:szCs w:val="24"/>
          <w:lang w:val="en-US" w:eastAsia="zh-CN" w:bidi="ar"/>
        </w:rPr>
        <w:t xml:space="preserve"> open positions </w:t>
      </w:r>
      <w:r>
        <w:rPr>
          <w:rFonts w:hint="default" w:ascii="Times New Roman" w:hAnsi="Times New Roman" w:eastAsia="宋体" w:cs="Times New Roman"/>
          <w:bCs/>
          <w:color w:val="auto"/>
          <w:kern w:val="2"/>
          <w:sz w:val="24"/>
          <w:szCs w:val="24"/>
          <w:lang w:val="en-US" w:eastAsia="zh-CN" w:bidi="ar"/>
        </w:rPr>
        <w:t>of a Non-FF Member, OSNBP, or Client</w:t>
      </w:r>
      <w:r>
        <w:rPr>
          <w:rFonts w:hint="default" w:ascii="Times New Roman" w:hAnsi="Times New Roman" w:eastAsia="方正仿宋简体" w:cs="Times New Roman"/>
          <w:bCs/>
          <w:color w:val="auto"/>
          <w:kern w:val="2"/>
          <w:sz w:val="24"/>
          <w:szCs w:val="24"/>
          <w:lang w:val="en-US" w:eastAsia="zh-CN" w:bidi="ar"/>
        </w:rPr>
        <w:t xml:space="preserve"> exceed the size of the applicable Position Limit;</w:t>
      </w:r>
    </w:p>
    <w:p w14:paraId="5460677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such Member or Client fails to bring its positions in a futures contract to multiples as required within the specified time limit;</w:t>
      </w:r>
    </w:p>
    <w:p w14:paraId="7A0E213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such Member or Client violates any Exchange’s rules that warrants a Forced Position Liquidation;</w:t>
      </w:r>
    </w:p>
    <w:p w14:paraId="1529D6A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emergency occurs that warrants a Forced Position Liquidation; or</w:t>
      </w:r>
    </w:p>
    <w:p w14:paraId="6F6AD89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any ot</w:t>
      </w:r>
      <w:r>
        <w:rPr>
          <w:rFonts w:hint="default" w:ascii="Times New Roman" w:hAnsi="Times New Roman" w:eastAsia="宋体" w:cs="Times New Roman"/>
          <w:color w:val="auto"/>
          <w:kern w:val="2"/>
          <w:sz w:val="24"/>
          <w:szCs w:val="24"/>
          <w:lang w:val="en-US" w:eastAsia="zh-CN" w:bidi="ar"/>
        </w:rPr>
        <w:t>her conditions exist that makes the Forced Position Liquidation necessary.</w:t>
      </w:r>
    </w:p>
    <w:p w14:paraId="2BF483D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
          <w:bCs/>
          <w:color w:val="auto"/>
          <w:kern w:val="2"/>
          <w:sz w:val="24"/>
          <w:szCs w:val="24"/>
          <w:lang w:val="en-US" w:eastAsia="zh-CN" w:bidi="ar"/>
        </w:rPr>
        <w:t>Article 40</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Principles</w:t>
      </w:r>
    </w:p>
    <w:p w14:paraId="6B9473FD">
      <w:pPr>
        <w:keepNext w:val="0"/>
        <w:keepLines w:val="0"/>
        <w:widowControl/>
        <w:suppressLineNumbers w:val="0"/>
        <w:adjustRightInd w:val="0"/>
        <w:snapToGrid w:val="0"/>
        <w:spacing w:before="0" w:beforeAutospacing="0" w:after="312" w:afterLines="100" w:afterAutospacing="0" w:line="256" w:lineRule="auto"/>
        <w:ind w:left="2" w:right="261"/>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shall, in the first place, exercise Forced Position Liquidation as required by the Exchange by the end of the first trading session on the current trading day or within the time limit prescribed by the Exchange. If 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fails to fulfill the execution within the defined time limit, the Forced Position Liquidation shall be enforced by the Exchange. </w:t>
      </w:r>
      <w:r>
        <w:rPr>
          <w:rFonts w:hint="default" w:ascii="Times New Roman" w:hAnsi="Times New Roman" w:eastAsia="宋体" w:cs="Times New Roman"/>
          <w:bCs/>
          <w:color w:val="auto"/>
          <w:kern w:val="2"/>
          <w:sz w:val="24"/>
          <w:szCs w:val="24"/>
          <w:lang w:val="en-US" w:eastAsia="zh-CN" w:bidi="ar"/>
        </w:rPr>
        <w:t>If Forced Position Liquidation is required because of a negative clearing deposit balance on an internal ledger of the Exchange, then before the Margin Requirement is met, the Member, Overseas Intermediary, or Client that corresponds to the internal ledger, or the OSP, Overseas Intermediary, or Client that corresponds to the internal ledger through which it receives clearing services, shall be prohibited from opening new positions.</w:t>
      </w:r>
    </w:p>
    <w:p w14:paraId="7A58AE3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Positions for the Member’s Execution of Forced Position Liquidation</w:t>
      </w:r>
    </w:p>
    <w:p w14:paraId="2D1C9EF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(1) and (2), the Member shall determine the portion of positions that could be included in the scope of Forced Position Liquidation at its discretion to achieve the results required by the Exchange’s applicable rules.</w:t>
      </w:r>
    </w:p>
    <w:p w14:paraId="75D0E14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(3)-(6), the Exchange shall determine the portion of positions that could be included in the scope of Forced Position Liquidation. </w:t>
      </w:r>
    </w:p>
    <w:p w14:paraId="6F7BF6C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Positions for the Exchange’s Execution of Forced Position Liquidation </w:t>
      </w:r>
    </w:p>
    <w:p w14:paraId="375E76E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(1), the Exchange shall liquidate the positions subject to the priority of </w:t>
      </w:r>
      <w:r>
        <w:rPr>
          <w:rFonts w:hint="default" w:ascii="Times New Roman" w:hAnsi="Times New Roman" w:eastAsia="宋体" w:cs="Times New Roman"/>
          <w:bCs/>
          <w:color w:val="auto"/>
          <w:kern w:val="2"/>
          <w:sz w:val="24"/>
          <w:szCs w:val="24"/>
          <w:lang w:val="en-US" w:eastAsia="zh-CN" w:bidi="ar"/>
        </w:rPr>
        <w:t>general</w:t>
      </w:r>
      <w:r>
        <w:rPr>
          <w:rFonts w:hint="default" w:ascii="Times New Roman" w:hAnsi="Times New Roman" w:eastAsia="宋体" w:cs="Times New Roman"/>
          <w:color w:val="auto"/>
          <w:kern w:val="2"/>
          <w:sz w:val="24"/>
          <w:szCs w:val="24"/>
          <w:lang w:val="en-US" w:eastAsia="zh-CN" w:bidi="ar"/>
        </w:rPr>
        <w:t xml:space="preserve"> positions over hedging positions, futures over options, and in a descending sequence by the size of the open interest for each contract at the close of the previous trading day, i.e., the contract with the largest open interest shall be liquidated first; and proceed to the liquidation on positions based on the Client’s losses on net positions in a descending sequence. </w:t>
      </w:r>
    </w:p>
    <w:p w14:paraId="3ADD329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Where more than one Member is required to have its open positions liquidated, priority shall be given to the Members with the greatest margin call according to the ranking of margin calls in a descending sequence.</w:t>
      </w:r>
    </w:p>
    <w:p w14:paraId="157F873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(2), the Exchange shall take the following measures:</w:t>
      </w:r>
    </w:p>
    <w:p w14:paraId="43081FA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宋体" w:cs="Times New Roman"/>
          <w:color w:val="auto"/>
          <w:kern w:val="2"/>
          <w:sz w:val="24"/>
          <w:szCs w:val="24"/>
          <w:lang w:val="en-US" w:eastAsia="zh-CN" w:bidi="ar"/>
        </w:rPr>
        <w:t xml:space="preserve">If the positions of </w:t>
      </w:r>
      <w:r>
        <w:rPr>
          <w:rFonts w:hint="default" w:ascii="Times New Roman" w:hAnsi="Times New Roman" w:eastAsia="宋体" w:cs="Times New Roman"/>
          <w:bCs/>
          <w:color w:val="auto"/>
          <w:kern w:val="2"/>
          <w:sz w:val="24"/>
          <w:szCs w:val="24"/>
          <w:lang w:val="en-US" w:eastAsia="zh-CN" w:bidi="ar"/>
        </w:rPr>
        <w:t>a Non-FF Member, OSNBP, or</w:t>
      </w:r>
      <w:r>
        <w:rPr>
          <w:rFonts w:hint="default" w:ascii="Times New Roman" w:hAnsi="Times New Roman" w:eastAsia="宋体" w:cs="Times New Roman"/>
          <w:color w:val="auto"/>
          <w:kern w:val="2"/>
          <w:sz w:val="24"/>
          <w:szCs w:val="24"/>
          <w:lang w:val="en-US" w:eastAsia="zh-CN" w:bidi="ar"/>
        </w:rPr>
        <w:t xml:space="preserve"> Client exceed the Position Limit, the portion in excess shall be liquidated.</w:t>
      </w:r>
    </w:p>
    <w:p w14:paraId="43F91E5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Cs/>
          <w:color w:val="auto"/>
          <w:kern w:val="2"/>
          <w:sz w:val="24"/>
          <w:szCs w:val="24"/>
          <w:lang w:val="en-US" w:eastAsia="zh-CN" w:bidi="ar"/>
        </w:rPr>
        <w:t>If the positions of an FF Member, OSBP, Overseas Intermediary, or Client exceed the applicable Position Limits simultaneously, the excess positions of the Client shall be liquidated first, followed by the excess positions of the FF Member, OSBP, and Overseas Intermediary in accordance with the rules applicable to them.</w:t>
      </w:r>
    </w:p>
    <w:p w14:paraId="71B548E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(c)</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Under the conditions provided in the Article </w:t>
      </w:r>
      <w:r>
        <w:rPr>
          <w:rFonts w:hint="default" w:ascii="Times New Roman" w:hAnsi="Times New Roman" w:eastAsia="宋体" w:cs="Times New Roman"/>
          <w:bCs/>
          <w:color w:val="auto"/>
          <w:kern w:val="2"/>
          <w:sz w:val="24"/>
          <w:szCs w:val="24"/>
          <w:lang w:val="en-US" w:eastAsia="zh-CN" w:bidi="ar"/>
        </w:rPr>
        <w:t>39</w:t>
      </w:r>
      <w:r>
        <w:rPr>
          <w:rFonts w:hint="default" w:ascii="Times New Roman" w:hAnsi="Times New Roman" w:eastAsia="宋体" w:cs="Times New Roman"/>
          <w:color w:val="auto"/>
          <w:kern w:val="2"/>
          <w:sz w:val="24"/>
          <w:szCs w:val="24"/>
          <w:lang w:val="en-US" w:eastAsia="zh-CN" w:bidi="ar"/>
        </w:rPr>
        <w:t xml:space="preserve"> (3)-</w:t>
      </w:r>
      <w:r>
        <w:rPr>
          <w:rFonts w:hint="default" w:ascii="Times New Roman" w:hAnsi="Times New Roman" w:eastAsia="宋体" w:cs="Times New Roman"/>
          <w:bCs/>
          <w:color w:val="auto"/>
          <w:kern w:val="2"/>
          <w:sz w:val="24"/>
          <w:szCs w:val="24"/>
          <w:lang w:val="en-US" w:eastAsia="zh-CN" w:bidi="ar"/>
        </w:rPr>
        <w:t xml:space="preserve"> 39</w:t>
      </w:r>
      <w:r>
        <w:rPr>
          <w:rFonts w:hint="default" w:ascii="Times New Roman" w:hAnsi="Times New Roman" w:eastAsia="宋体" w:cs="Times New Roman"/>
          <w:color w:val="auto"/>
          <w:kern w:val="2"/>
          <w:sz w:val="24"/>
          <w:szCs w:val="24"/>
          <w:lang w:val="en-US" w:eastAsia="zh-CN" w:bidi="ar"/>
        </w:rPr>
        <w:t xml:space="preserve"> (6), the Exchange shall, as appropriate for the circumstances, determine the portion of open positions </w:t>
      </w:r>
      <w:r>
        <w:rPr>
          <w:rFonts w:hint="default" w:ascii="Times New Roman" w:hAnsi="Times New Roman" w:eastAsia="宋体" w:cs="Times New Roman"/>
          <w:bCs/>
          <w:color w:val="auto"/>
          <w:kern w:val="2"/>
          <w:sz w:val="24"/>
          <w:szCs w:val="24"/>
          <w:lang w:val="en-US" w:eastAsia="zh-CN" w:bidi="ar"/>
        </w:rPr>
        <w:t>of each involving Member, OSP, Overseas Intermediary, and Client</w:t>
      </w:r>
      <w:r>
        <w:rPr>
          <w:rFonts w:hint="default" w:ascii="Times New Roman" w:hAnsi="Times New Roman" w:eastAsia="宋体" w:cs="Times New Roman"/>
          <w:color w:val="auto"/>
          <w:kern w:val="2"/>
          <w:sz w:val="24"/>
          <w:szCs w:val="24"/>
          <w:lang w:val="en-US" w:eastAsia="zh-CN" w:bidi="ar"/>
        </w:rPr>
        <w:t xml:space="preserve"> for Forced Position Liquidation.</w:t>
      </w:r>
    </w:p>
    <w:p w14:paraId="7AE6B53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0"/>
          <w:sz w:val="24"/>
          <w:szCs w:val="24"/>
          <w:lang w:val="en-US" w:eastAsia="zh-CN" w:bidi="ar"/>
        </w:rPr>
        <w:t xml:space="preserve">If a Member simultaneously meets the conditions as provided in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(1) and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(2), the Exchange shall determine the positions for Forced Position Liquidation pursuant to the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(2) in the first place, and then pursuant to the Article </w:t>
      </w:r>
      <w:r>
        <w:rPr>
          <w:rFonts w:hint="default" w:ascii="Times New Roman" w:hAnsi="Times New Roman" w:eastAsia="宋体" w:cs="Times New Roman"/>
          <w:bCs/>
          <w:color w:val="auto"/>
          <w:kern w:val="0"/>
          <w:sz w:val="24"/>
          <w:szCs w:val="24"/>
          <w:lang w:val="en-US" w:eastAsia="zh-CN" w:bidi="ar"/>
        </w:rPr>
        <w:t>39</w:t>
      </w:r>
      <w:r>
        <w:rPr>
          <w:rFonts w:hint="default" w:ascii="Times New Roman" w:hAnsi="Times New Roman" w:eastAsia="宋体" w:cs="Times New Roman"/>
          <w:color w:val="auto"/>
          <w:kern w:val="0"/>
          <w:sz w:val="24"/>
          <w:szCs w:val="24"/>
          <w:lang w:val="en-US" w:eastAsia="zh-CN" w:bidi="ar"/>
        </w:rPr>
        <w:t xml:space="preserve"> (1).</w:t>
      </w:r>
    </w:p>
    <w:p w14:paraId="41C1BAC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41</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Enforcement of Forced Position Liquidation</w:t>
      </w:r>
    </w:p>
    <w:p w14:paraId="3C70B4A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Notification.</w:t>
      </w:r>
    </w:p>
    <w:p w14:paraId="5DBD032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The Exchange shall issue a notice of Forced Position Liquidation, or the notice, to the Member who is subject to the Forced Position Liquidation. In addition, the notice shall be delivered to the Member through the Member service system along with the daily clearing data. </w:t>
      </w:r>
      <w:r>
        <w:rPr>
          <w:rFonts w:hint="default" w:ascii="Times New Roman" w:hAnsi="Times New Roman" w:eastAsia="宋体" w:cs="Times New Roman"/>
          <w:bCs/>
          <w:color w:val="auto"/>
          <w:kern w:val="2"/>
          <w:sz w:val="24"/>
          <w:szCs w:val="24"/>
          <w:lang w:val="en-US" w:eastAsia="zh-CN" w:bidi="ar"/>
        </w:rPr>
        <w:t>For OSPs, the notice of Forced Position Liquidation is sent to the Members who clear trades on their behalf, upon which the Members shall promptly notify the OSPs.</w:t>
      </w:r>
      <w:r>
        <w:rPr>
          <w:rFonts w:hint="default" w:ascii="Times New Roman" w:hAnsi="Times New Roman" w:eastAsia="宋体" w:cs="Times New Roman"/>
          <w:color w:val="auto"/>
          <w:kern w:val="2"/>
          <w:sz w:val="24"/>
          <w:szCs w:val="24"/>
          <w:lang w:val="en-US" w:eastAsia="zh-CN" w:bidi="ar"/>
        </w:rPr>
        <w:t xml:space="preserve"> </w:t>
      </w:r>
    </w:p>
    <w:p w14:paraId="5C5285F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Enforcement and Confirmation</w:t>
      </w:r>
    </w:p>
    <w:p w14:paraId="5F5E01E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(a)</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After the market opens, the Member </w:t>
      </w:r>
      <w:r>
        <w:rPr>
          <w:rFonts w:hint="default" w:ascii="Times New Roman" w:hAnsi="Times New Roman" w:eastAsia="宋体" w:cs="Times New Roman"/>
          <w:bCs/>
          <w:color w:val="auto"/>
          <w:kern w:val="2"/>
          <w:sz w:val="24"/>
          <w:szCs w:val="24"/>
          <w:lang w:val="en-US" w:eastAsia="zh-CN" w:bidi="ar"/>
        </w:rPr>
        <w:t>or OSP</w:t>
      </w:r>
      <w:r>
        <w:rPr>
          <w:rFonts w:hint="default" w:ascii="Times New Roman" w:hAnsi="Times New Roman" w:eastAsia="宋体" w:cs="Times New Roman"/>
          <w:color w:val="auto"/>
          <w:kern w:val="2"/>
          <w:sz w:val="24"/>
          <w:szCs w:val="24"/>
          <w:lang w:val="en-US" w:eastAsia="zh-CN" w:bidi="ar"/>
        </w:rPr>
        <w:t xml:space="preserve"> covered by the notice shall enforce the liquidation of its positions and reduce the size of its open positions to the prescribed level, which will be subject to the Exchange’s verification; </w:t>
      </w:r>
    </w:p>
    <w:p w14:paraId="6257BD7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If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xml:space="preserve"> is subject to the situation provided in the Article</w:t>
      </w:r>
      <w:r>
        <w:rPr>
          <w:rFonts w:hint="default" w:ascii="Times New Roman" w:hAnsi="Times New Roman" w:eastAsia="宋体" w:cs="Times New Roman"/>
          <w:bCs/>
          <w:color w:val="auto"/>
          <w:kern w:val="2"/>
          <w:sz w:val="24"/>
          <w:szCs w:val="24"/>
          <w:lang w:val="en-US" w:eastAsia="zh-CN" w:bidi="ar"/>
        </w:rPr>
        <w:t xml:space="preserve"> 39</w:t>
      </w:r>
      <w:r>
        <w:rPr>
          <w:rFonts w:hint="default" w:ascii="Times New Roman" w:hAnsi="Times New Roman" w:eastAsia="宋体" w:cs="Times New Roman"/>
          <w:color w:val="auto"/>
          <w:kern w:val="2"/>
          <w:sz w:val="24"/>
          <w:szCs w:val="24"/>
          <w:lang w:val="en-US" w:eastAsia="zh-CN" w:bidi="ar"/>
        </w:rPr>
        <w:t xml:space="preserve"> (3), the Exchange may directly enforce liquidation in respect of the open positions held by such Member; </w:t>
      </w:r>
    </w:p>
    <w:p w14:paraId="48EA475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(b)</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If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xml:space="preserve"> fails to complete the Forced Position Liquidation within the specified time limit, the Exchange will directly enforce liquidation of the remaining open positions;</w:t>
      </w:r>
    </w:p>
    <w:p w14:paraId="6987E49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(c)</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Upon the conclusion of the Forced Position Liquidation, the Exchange shall record the enforcement results for filing purpose; and </w:t>
      </w:r>
    </w:p>
    <w:p w14:paraId="375E47F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(d)</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enforcement results of the Forced Position Liquidation shall be delivered along with the daily trade records.</w:t>
      </w:r>
    </w:p>
    <w:p w14:paraId="3F948D0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42</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Liquidation shall be enforced at a price formed through trades executed on the market.</w:t>
      </w:r>
    </w:p>
    <w:p w14:paraId="6D7443F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43</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If the Forced Position Liquidation fails to be completed within the specified time due to the limit price or as the result of other market conditions, the remainder of positions subject to the Forced Position Liquidation may and will be closed out on the next trading day pursuant to the principles described in Article </w:t>
      </w:r>
      <w:r>
        <w:rPr>
          <w:rFonts w:hint="default" w:ascii="Times New Roman" w:hAnsi="Times New Roman" w:eastAsia="宋体" w:cs="Times New Roman"/>
          <w:bCs/>
          <w:color w:val="auto"/>
          <w:kern w:val="2"/>
          <w:sz w:val="24"/>
          <w:szCs w:val="24"/>
          <w:lang w:val="en-US" w:eastAsia="zh-CN" w:bidi="ar"/>
        </w:rPr>
        <w:t>40</w:t>
      </w:r>
      <w:r>
        <w:rPr>
          <w:rFonts w:hint="default" w:ascii="Times New Roman" w:hAnsi="Times New Roman" w:eastAsia="宋体" w:cs="Times New Roman"/>
          <w:color w:val="auto"/>
          <w:kern w:val="2"/>
          <w:sz w:val="24"/>
          <w:szCs w:val="24"/>
          <w:lang w:val="en-US" w:eastAsia="zh-CN" w:bidi="ar"/>
        </w:rPr>
        <w:t>.</w:t>
      </w:r>
    </w:p>
    <w:p w14:paraId="38BA755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If the Forced Position Liquidation fails to be completed for the current day due to the limit price or as the result of other market conditions, the Exchange shall take measures as appropriate, with regard to the daily clearing status of the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to resolve any consequences that may derive from the incomplete Forced Position Liquidation.</w:t>
      </w:r>
    </w:p>
    <w:p w14:paraId="3CE94AD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If the enforcement of the Forced Position Liquidation on the specific positions must be prolonged due to the Price Limit or as the result of other market conditions, any losses incurred as such shall be borne by the person directly accountable for the enforcement of liquidation. In the event of failure to complete the enforcement of liquidation, the holder of the open positions subject to the Forced Position Liquidation shall assume all the responsibilities arising from its ownership and bears all the obligations of delivery on the covered contracts.</w:t>
      </w:r>
    </w:p>
    <w:p w14:paraId="430C1E4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Gains, if any, arising from a Forced Position Liquidation executed by a Member</w:t>
      </w:r>
      <w:r>
        <w:rPr>
          <w:rFonts w:hint="default" w:ascii="Times New Roman" w:hAnsi="Times New Roman" w:eastAsia="宋体" w:cs="Times New Roman"/>
          <w:bCs/>
          <w:color w:val="auto"/>
          <w:kern w:val="2"/>
          <w:sz w:val="24"/>
          <w:szCs w:val="24"/>
          <w:lang w:val="en-US" w:eastAsia="zh-CN" w:bidi="ar"/>
        </w:rPr>
        <w:t xml:space="preserve"> or OSP</w:t>
      </w:r>
      <w:r>
        <w:rPr>
          <w:rFonts w:hint="default" w:ascii="Times New Roman" w:hAnsi="Times New Roman" w:eastAsia="宋体" w:cs="Times New Roman"/>
          <w:color w:val="auto"/>
          <w:kern w:val="2"/>
          <w:sz w:val="24"/>
          <w:szCs w:val="24"/>
          <w:lang w:val="en-US" w:eastAsia="zh-CN" w:bidi="ar"/>
        </w:rPr>
        <w:t>, shall be credited to the person directly accountable for the enforcement of liquidation; gains arising from the Exchange’s enforcement of liquidation shall be disposed of in compliance with the national regulations. Losses arising from a Forced Position Liquidation shall be borne by the person directly accountable for the enforcement of liquidation.</w:t>
      </w:r>
    </w:p>
    <w:p w14:paraId="1F59CB50">
      <w:pPr>
        <w:keepNext w:val="0"/>
        <w:keepLines w:val="0"/>
        <w:widowControl/>
        <w:suppressLineNumbers w:val="0"/>
        <w:adjustRightInd w:val="0"/>
        <w:snapToGrid w:val="0"/>
        <w:spacing w:before="0" w:beforeAutospacing="0" w:after="312" w:afterLines="100" w:afterAutospacing="0" w:line="256" w:lineRule="auto"/>
        <w:ind w:left="2" w:right="262"/>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If the person directly accountable for the liquidation is a Client, any losses arising from the Forced Position Liquidation shall first be borne by </w:t>
      </w:r>
      <w:r>
        <w:rPr>
          <w:rFonts w:hint="default" w:ascii="Times New Roman" w:hAnsi="Times New Roman" w:eastAsia="宋体" w:cs="Times New Roman"/>
          <w:bCs/>
          <w:color w:val="auto"/>
          <w:kern w:val="2"/>
          <w:sz w:val="24"/>
          <w:szCs w:val="24"/>
          <w:lang w:val="en-US" w:eastAsia="zh-CN" w:bidi="ar"/>
        </w:rPr>
        <w:t>its carrying Member, after which the Member may recover the amount from the relevant OSBP, Overseas Intermediary, or Client through legal proceedings. If the person directly accountable for the liquidation is an OSBP or Overseas Intermediary, any losses arising from the Forced Position Liquidation shall first be borne by its carrying Member, after which the Member may recover the amount from the OSBP or Overseas Intermediary through legal proceedings.</w:t>
      </w:r>
    </w:p>
    <w:p w14:paraId="03198162">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kern w:val="2"/>
          <w:sz w:val="24"/>
          <w:szCs w:val="24"/>
        </w:rPr>
      </w:pPr>
      <w:r>
        <w:rPr>
          <w:rFonts w:hint="default" w:ascii="Times New Roman" w:hAnsi="Times New Roman" w:eastAsia="宋体" w:cs="Times New Roman"/>
          <w:b/>
          <w:bCs w:val="0"/>
          <w:color w:val="auto"/>
          <w:kern w:val="2"/>
          <w:sz w:val="24"/>
          <w:szCs w:val="24"/>
          <w:lang w:val="en-US" w:eastAsia="zh-CN" w:bidi="ar"/>
        </w:rPr>
        <w:t>CHAPTER 8</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MANAGEMENT OF ABNORMAL CONDITIONS</w:t>
      </w:r>
    </w:p>
    <w:p w14:paraId="6518EEC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47</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may take emergency actions</w:t>
      </w:r>
      <w:r>
        <w:rPr>
          <w:rFonts w:hint="default" w:ascii="Times New Roman" w:hAnsi="Times New Roman" w:eastAsia="方正仿宋简体" w:cs="Times New Roman"/>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to mitigate risks and announce an abnormal </w:t>
      </w:r>
      <w:r>
        <w:rPr>
          <w:rFonts w:hint="default" w:ascii="Times New Roman" w:hAnsi="Times New Roman" w:eastAsia="方正仿宋简体" w:cs="Times New Roman"/>
          <w:bCs/>
          <w:color w:val="auto"/>
          <w:kern w:val="2"/>
          <w:sz w:val="24"/>
          <w:szCs w:val="24"/>
          <w:lang w:val="en-US" w:eastAsia="zh-CN" w:bidi="ar"/>
        </w:rPr>
        <w:t xml:space="preserve">condition, if during </w:t>
      </w:r>
      <w:r>
        <w:rPr>
          <w:rFonts w:hint="default" w:ascii="Times New Roman" w:hAnsi="Times New Roman" w:eastAsia="宋体" w:cs="Times New Roman"/>
          <w:color w:val="auto"/>
          <w:kern w:val="2"/>
          <w:sz w:val="24"/>
          <w:szCs w:val="24"/>
          <w:lang w:val="en-US" w:eastAsia="zh-CN" w:bidi="ar"/>
        </w:rPr>
        <w:t>futures trading,</w:t>
      </w:r>
    </w:p>
    <w:p w14:paraId="622E600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transactions, settlement, delivery, options contracts’ exercise and fulfillment, or other businesses cannot be conducted as normal due to such reasons as earthquake, flood, fire, and other force majeure events, or computer system breakdown;</w:t>
      </w:r>
    </w:p>
    <w:p w14:paraId="370F911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failure to fulfill the obligations of settlement, delivery, or options contracts’ exercise and fulfillment is having or is expected to have serious impact on the market;</w:t>
      </w:r>
    </w:p>
    <w:p w14:paraId="24F423C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same direction limit-locked market</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exists in the trading of a futures contract</w:t>
      </w:r>
      <w:r>
        <w:rPr>
          <w:rFonts w:hint="default" w:ascii="Times New Roman" w:hAnsi="Times New Roman" w:eastAsia="宋体" w:cs="Times New Roman"/>
          <w:color w:val="auto"/>
          <w:kern w:val="2"/>
          <w:sz w:val="24"/>
          <w:szCs w:val="24"/>
          <w:lang w:val="en-US" w:eastAsia="zh-CN" w:bidi="ar"/>
        </w:rPr>
        <w:t>, and it is justified to believe that any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 xml:space="preserve">or Client has violated the </w:t>
      </w:r>
      <w:r>
        <w:rPr>
          <w:rFonts w:hint="default" w:ascii="Times New Roman" w:hAnsi="Times New Roman" w:eastAsia="宋体" w:cs="Times New Roman"/>
          <w:i/>
          <w:iCs w:val="0"/>
          <w:color w:val="auto"/>
          <w:kern w:val="2"/>
          <w:sz w:val="24"/>
          <w:szCs w:val="24"/>
          <w:lang w:val="en-US" w:eastAsia="zh-CN" w:bidi="ar"/>
        </w:rPr>
        <w:t xml:space="preserve">General Exchange Rules of the </w:t>
      </w:r>
      <w:r>
        <w:rPr>
          <w:rFonts w:hint="default" w:ascii="Times New Roman" w:hAnsi="Times New Roman" w:eastAsia="华文中宋" w:cs="Times New Roman"/>
          <w:bCs/>
          <w:i/>
          <w:iCs/>
          <w:color w:val="auto"/>
          <w:kern w:val="2"/>
          <w:sz w:val="24"/>
          <w:szCs w:val="24"/>
          <w:lang w:val="en-US" w:eastAsia="zh-CN" w:bidi="ar"/>
        </w:rPr>
        <w:t xml:space="preserve">Shanghai Futures </w:t>
      </w:r>
      <w:r>
        <w:rPr>
          <w:rFonts w:hint="default" w:ascii="Times New Roman" w:hAnsi="Times New Roman" w:eastAsia="宋体" w:cs="Times New Roman"/>
          <w:i/>
          <w:iCs w:val="0"/>
          <w:color w:val="auto"/>
          <w:kern w:val="2"/>
          <w:sz w:val="24"/>
          <w:szCs w:val="24"/>
          <w:lang w:val="en-US" w:eastAsia="zh-CN" w:bidi="ar"/>
        </w:rPr>
        <w:t>Exchange</w:t>
      </w:r>
      <w:r>
        <w:rPr>
          <w:rFonts w:hint="default" w:ascii="Times New Roman" w:hAnsi="Times New Roman" w:eastAsia="宋体" w:cs="Times New Roman"/>
          <w:b/>
          <w:bCs/>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or other applicable rules of the Exchange</w:t>
      </w:r>
      <w:r>
        <w:rPr>
          <w:rFonts w:hint="default" w:ascii="Times New Roman" w:hAnsi="Times New Roman" w:eastAsia="宋体" w:cs="Times New Roman"/>
          <w:color w:val="auto"/>
          <w:kern w:val="2"/>
          <w:sz w:val="24"/>
          <w:szCs w:val="24"/>
          <w:lang w:val="en-US" w:eastAsia="zh-CN" w:bidi="ar"/>
        </w:rPr>
        <w:t>, which is having or is expected to have material impact on the market; or</w:t>
      </w:r>
    </w:p>
    <w:p w14:paraId="151FFE5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there occur other circumstances as prescribed by the Exchange.</w:t>
      </w:r>
    </w:p>
    <w:p w14:paraId="3FF57F8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When an abnormal condition stated in sub-paragraph (1) of the first paragraph occurs, the Exchange’s Chief Executive Officer (CEO) may determine to adjust the time for market opening and closing; temporarily suspend trading; adjust the trading hours; temporarily suspend the listing of new contracts; adjust the last trading day, expiry date, delivery period, physical delivery date, among others, of the relevant contracts; adjust businesses related to standard warrants and delivery, to the exercise, fulfillment, and offsetting of relevant options contracts, or to </w:t>
      </w:r>
      <w:r>
        <w:rPr>
          <w:rFonts w:hint="default" w:ascii="Times New Roman" w:hAnsi="Times New Roman" w:eastAsia="宋体" w:cs="Times New Roman"/>
          <w:bCs/>
          <w:color w:val="auto"/>
          <w:kern w:val="2"/>
          <w:sz w:val="24"/>
          <w:szCs w:val="24"/>
          <w:lang w:val="en-US" w:eastAsia="zh-CN" w:bidi="ar"/>
        </w:rPr>
        <w:t>the use of assets</w:t>
      </w:r>
      <w:r>
        <w:rPr>
          <w:rFonts w:hint="default" w:ascii="Times New Roman" w:hAnsi="Times New Roman" w:eastAsia="宋体" w:cs="Times New Roman"/>
          <w:color w:val="auto"/>
          <w:kern w:val="2"/>
          <w:sz w:val="24"/>
          <w:szCs w:val="24"/>
          <w:lang w:val="en-US" w:eastAsia="zh-CN" w:bidi="ar"/>
        </w:rPr>
        <w:t xml:space="preserve"> as margin, and cancel any pending applications for such businesses; adjust the implementation time of Forced Position Liquidation, the collection standards or methods of margin, and Price Limit; adjust the settlement price and final settlement price of relevant contracts; adjust the collection standards and payment period of relevant fees; adjust the ways for sending clearing data; or take any other emergency actions. When an abnormal condition stated in sub-paragraph (1) of the first paragraph occurs, and any trading order or execution data is corrupted or lost and cannot be restored, the CEO may determine to cancel any unfulfilled trading orders, and the Board of Directors may determine to cancel any transactions.</w:t>
      </w:r>
    </w:p>
    <w:p w14:paraId="5B2EAF9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0"/>
          <w:sz w:val="24"/>
          <w:szCs w:val="24"/>
          <w:lang w:val="en-US" w:eastAsia="zh-CN" w:bidi="ar"/>
        </w:rPr>
        <w:t xml:space="preserve">When an abnormal condition stated in </w:t>
      </w:r>
      <w:r>
        <w:rPr>
          <w:rFonts w:hint="default" w:ascii="Times New Roman" w:hAnsi="Times New Roman" w:eastAsia="宋体" w:cs="Times New Roman"/>
          <w:color w:val="auto"/>
          <w:kern w:val="2"/>
          <w:sz w:val="24"/>
          <w:szCs w:val="24"/>
          <w:lang w:val="en-US" w:eastAsia="zh-CN" w:bidi="ar"/>
        </w:rPr>
        <w:t xml:space="preserve">sub-paragraphs (2) to (4) </w:t>
      </w:r>
      <w:r>
        <w:rPr>
          <w:rFonts w:hint="default" w:ascii="Times New Roman" w:hAnsi="Times New Roman" w:eastAsia="宋体" w:cs="Times New Roman"/>
          <w:color w:val="auto"/>
          <w:kern w:val="0"/>
          <w:sz w:val="24"/>
          <w:szCs w:val="24"/>
          <w:lang w:val="en-US" w:eastAsia="zh-CN" w:bidi="ar"/>
        </w:rPr>
        <w:t xml:space="preserve">of the first paragraph occurs, the Board of Directors may determine to adjust the time for market opening and closing, temporarily suspend trading, adjust the Price Limit, raise </w:t>
      </w:r>
      <w:r>
        <w:rPr>
          <w:rFonts w:hint="default" w:ascii="Times New Roman" w:hAnsi="Times New Roman" w:eastAsia="方正仿宋简体" w:cs="Times New Roman"/>
          <w:bCs/>
          <w:color w:val="auto"/>
          <w:kern w:val="0"/>
          <w:sz w:val="24"/>
          <w:szCs w:val="24"/>
          <w:lang w:val="en-US" w:eastAsia="zh-CN" w:bidi="ar"/>
        </w:rPr>
        <w:t>the Margin Requirement</w:t>
      </w:r>
      <w:r>
        <w:rPr>
          <w:rFonts w:hint="default" w:ascii="Times New Roman" w:hAnsi="Times New Roman" w:eastAsia="宋体" w:cs="Times New Roman"/>
          <w:color w:val="auto"/>
          <w:kern w:val="0"/>
          <w:sz w:val="24"/>
          <w:szCs w:val="24"/>
          <w:lang w:val="en-US" w:eastAsia="zh-CN" w:bidi="ar"/>
        </w:rPr>
        <w:t xml:space="preserve">, order </w:t>
      </w:r>
      <w:r>
        <w:rPr>
          <w:rFonts w:hint="default" w:ascii="Times New Roman" w:hAnsi="Times New Roman" w:eastAsia="方正仿宋简体" w:cs="Times New Roman"/>
          <w:bCs/>
          <w:color w:val="auto"/>
          <w:kern w:val="0"/>
          <w:sz w:val="24"/>
          <w:szCs w:val="24"/>
          <w:lang w:val="en-US" w:eastAsia="zh-CN" w:bidi="ar"/>
        </w:rPr>
        <w:t>the liquidation of positions by a prescribed deadline</w:t>
      </w:r>
      <w:r>
        <w:rPr>
          <w:rFonts w:hint="default" w:ascii="Times New Roman" w:hAnsi="Times New Roman" w:eastAsia="宋体" w:cs="Times New Roman"/>
          <w:color w:val="auto"/>
          <w:kern w:val="0"/>
          <w:sz w:val="24"/>
          <w:szCs w:val="24"/>
          <w:lang w:val="en-US" w:eastAsia="zh-CN" w:bidi="ar"/>
        </w:rPr>
        <w:t xml:space="preserve">, exercise </w:t>
      </w:r>
      <w:r>
        <w:rPr>
          <w:rFonts w:hint="default" w:ascii="Times New Roman" w:hAnsi="Times New Roman" w:eastAsia="方正仿宋简体" w:cs="Times New Roman"/>
          <w:bCs/>
          <w:color w:val="auto"/>
          <w:kern w:val="0"/>
          <w:sz w:val="24"/>
          <w:szCs w:val="24"/>
          <w:lang w:val="en-US" w:eastAsia="zh-CN" w:bidi="ar"/>
        </w:rPr>
        <w:t>Forced Position Liquidation</w:t>
      </w:r>
      <w:r>
        <w:rPr>
          <w:rFonts w:hint="default" w:ascii="Times New Roman" w:hAnsi="Times New Roman" w:eastAsia="宋体" w:cs="Times New Roman"/>
          <w:color w:val="auto"/>
          <w:kern w:val="0"/>
          <w:sz w:val="24"/>
          <w:szCs w:val="24"/>
          <w:lang w:val="en-US" w:eastAsia="zh-CN" w:bidi="ar"/>
        </w:rPr>
        <w:t>, limit the withdrawal of funds, make forced position reduction, restrict transactions, or take any other emergency actions.</w:t>
      </w:r>
    </w:p>
    <w:p w14:paraId="7910CBE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48</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shall report to the CSRC before announcing abnormal conditions and taking any emergency actions.</w:t>
      </w:r>
    </w:p>
    <w:p w14:paraId="3A0A306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49</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Where the Exchange announces an abnormal condition and decides to temporarily suspend trading, the suspension shall be no longer than three (3) trading days, unless otherwise approved by the CSRC.</w:t>
      </w:r>
    </w:p>
    <w:p w14:paraId="02C82109">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9</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RISK WARNING</w:t>
      </w:r>
    </w:p>
    <w:p w14:paraId="7C93014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50</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may, as it deems necessary, resort to the following measures, alone or in combination, to warn against and resolve risks: </w:t>
      </w:r>
    </w:p>
    <w:p w14:paraId="34CAC4FE">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request an explanation with respect to a specific situation; </w:t>
      </w:r>
    </w:p>
    <w:p w14:paraId="453D36D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arrange a meeting to give an oral warning; </w:t>
      </w:r>
    </w:p>
    <w:p w14:paraId="3088B74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issue a written warning; </w:t>
      </w:r>
    </w:p>
    <w:p w14:paraId="2ED2BCD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give a public censure; or</w:t>
      </w:r>
    </w:p>
    <w:p w14:paraId="0429D77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issue a Risk Warning. </w:t>
      </w:r>
    </w:p>
    <w:p w14:paraId="56D1984E">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may</w:t>
      </w:r>
      <w:r>
        <w:rPr>
          <w:rFonts w:hint="default" w:ascii="Times New Roman" w:hAnsi="Times New Roman" w:eastAsia="宋体" w:cs="Times New Roman"/>
          <w:bCs/>
          <w:color w:val="auto"/>
          <w:kern w:val="2"/>
          <w:sz w:val="24"/>
          <w:szCs w:val="24"/>
          <w:lang w:val="en-US" w:eastAsia="zh-CN" w:bidi="ar"/>
        </w:rPr>
        <w:t xml:space="preserve"> require a situational report from the relevant Member, OSP, Overseas Intermediary, or Client, or</w:t>
      </w:r>
      <w:r>
        <w:rPr>
          <w:rFonts w:hint="default" w:ascii="Times New Roman" w:hAnsi="Times New Roman" w:eastAsia="宋体" w:cs="Times New Roman"/>
          <w:color w:val="auto"/>
          <w:kern w:val="2"/>
          <w:sz w:val="24"/>
          <w:szCs w:val="24"/>
          <w:lang w:val="en-US" w:eastAsia="zh-CN" w:bidi="ar"/>
        </w:rPr>
        <w:t xml:space="preserve"> require a meeting with the </w:t>
      </w:r>
      <w:r>
        <w:rPr>
          <w:rFonts w:hint="default" w:ascii="Times New Roman" w:hAnsi="Times New Roman" w:eastAsia="宋体" w:cs="Times New Roman"/>
          <w:bCs/>
          <w:color w:val="auto"/>
          <w:kern w:val="2"/>
          <w:sz w:val="24"/>
          <w:szCs w:val="24"/>
          <w:lang w:val="en-US" w:eastAsia="zh-CN" w:bidi="ar"/>
        </w:rPr>
        <w:t xml:space="preserve">Client or the designated senior manager of the Member, OSP, or Overseas Intermediary </w:t>
      </w:r>
      <w:r>
        <w:rPr>
          <w:rFonts w:hint="default" w:ascii="Times New Roman" w:hAnsi="Times New Roman" w:eastAsia="宋体" w:cs="Times New Roman"/>
          <w:color w:val="auto"/>
          <w:kern w:val="2"/>
          <w:sz w:val="24"/>
          <w:szCs w:val="24"/>
          <w:lang w:val="en-US" w:eastAsia="zh-CN" w:bidi="ar"/>
        </w:rPr>
        <w:t>to call attention to the relevant risks, when any of the following circumstances arises:</w:t>
      </w:r>
    </w:p>
    <w:p w14:paraId="15FD5820">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unusual futures or options price movements;</w:t>
      </w:r>
    </w:p>
    <w:p w14:paraId="38D4B64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unusual trading activities by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t>
      </w:r>
    </w:p>
    <w:p w14:paraId="32300BA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irregularity in the open positions of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w:t>
      </w:r>
    </w:p>
    <w:p w14:paraId="37A4E27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any irregularity in such Member’s funds on deposit; </w:t>
      </w:r>
    </w:p>
    <w:p w14:paraId="7CF00BC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suspected violation or default by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w:t>
      </w:r>
    </w:p>
    <w:p w14:paraId="4BF4847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allegation, accusation or complaint against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or Client received by the Exchange; </w:t>
      </w:r>
    </w:p>
    <w:p w14:paraId="0985C906">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(7)</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judicial investigation against such Member</w:t>
      </w:r>
      <w:r>
        <w:rPr>
          <w:rFonts w:hint="default" w:ascii="Times New Roman" w:hAnsi="Times New Roman" w:eastAsia="宋体" w:cs="Times New Roman"/>
          <w:bCs/>
          <w:color w:val="auto"/>
          <w:kern w:val="2"/>
          <w:sz w:val="24"/>
          <w:szCs w:val="24"/>
          <w:lang w:val="en-US" w:eastAsia="zh-CN" w:bidi="ar"/>
        </w:rPr>
        <w:t>, OSP, Overseas Intermediary,</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or Client</w:t>
      </w:r>
      <w:r>
        <w:rPr>
          <w:rFonts w:hint="default" w:ascii="Times New Roman" w:hAnsi="Times New Roman" w:eastAsia="宋体" w:cs="Times New Roman"/>
          <w:color w:val="auto"/>
          <w:kern w:val="2"/>
          <w:sz w:val="24"/>
          <w:szCs w:val="24"/>
          <w:lang w:val="en-US" w:eastAsia="zh-CN" w:bidi="ar"/>
        </w:rPr>
        <w:t xml:space="preserve">; or </w:t>
      </w:r>
    </w:p>
    <w:p w14:paraId="42B95028">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(8)</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other conditions as the Exchange deems necessary. </w:t>
      </w:r>
    </w:p>
    <w:p w14:paraId="7FB0FC2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The following rules shall be observed in a reminder meeting:</w:t>
      </w:r>
    </w:p>
    <w:p w14:paraId="07FBB90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 meeting arranged by the Exchange to call attention to the relevant risks shall take place in such formats as an in-person meeting or a video conference;</w:t>
      </w:r>
    </w:p>
    <w:p w14:paraId="4C4179C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Where the Exchange requires a Member, OSP, Overseas Intermediary, or Client to attend a reminder meeting, it shall notify the relevant Member, OSP, or Overseas Intermediary of the time, location, and requirements of the meeting in writing and in advance;</w:t>
      </w:r>
    </w:p>
    <w:p w14:paraId="32D19FA1">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Member, OSP, or Overseas Intermediary shall arrange the relevant manager to attend the reminder meeting in accordance with the requirements of the written notice. A Client required to attend a meeting shall be accompanied by the designated individual of its carrying Member, OSP, or Overseas Intermediary;</w:t>
      </w:r>
    </w:p>
    <w:p w14:paraId="7BE998F9">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4</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meeting attendee who is unable to attend the meeting due to any particular reason shall notify the Exchange in advance; with the Exchange’s approval, the party may designate a proxy to attend and act on his behalf;</w:t>
      </w:r>
    </w:p>
    <w:p w14:paraId="061D3BF4">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5</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 meeting attendee shall make true representations and refrain from concealment of any fact; and </w:t>
      </w:r>
    </w:p>
    <w:p w14:paraId="3DDB399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bCs/>
          <w:color w:val="auto"/>
          <w:kern w:val="2"/>
          <w:sz w:val="24"/>
          <w:szCs w:val="24"/>
          <w:lang w:val="en-US" w:eastAsia="zh-CN" w:bidi="ar"/>
        </w:rPr>
        <w:t>6</w:t>
      </w:r>
      <w:r>
        <w:rPr>
          <w:rFonts w:hint="default" w:ascii="Times New Roman" w:hAnsi="Times New Roman" w:eastAsia="宋体" w:cs="Times New Roman"/>
          <w:color w:val="auto"/>
          <w:kern w:val="2"/>
          <w:sz w:val="24"/>
          <w:szCs w:val="24"/>
          <w:lang w:val="en-US" w:eastAsia="zh-CN" w:bidi="ar"/>
        </w:rPr>
        <w:t>)</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Exchange’s employees shall maintain the confidentiality of any information related to the meeting.</w:t>
      </w:r>
    </w:p>
    <w:p w14:paraId="207AA6B7">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auto"/>
          <w:kern w:val="0"/>
          <w:sz w:val="24"/>
          <w:szCs w:val="24"/>
          <w:lang w:val="en-US" w:eastAsia="zh-CN" w:bidi="ar"/>
        </w:rPr>
        <w:t>The Member</w:t>
      </w:r>
      <w:r>
        <w:rPr>
          <w:rFonts w:hint="default" w:ascii="Times New Roman" w:hAnsi="Times New Roman" w:eastAsia="宋体" w:cs="Times New Roman"/>
          <w:bCs/>
          <w:color w:val="auto"/>
          <w:kern w:val="0"/>
          <w:sz w:val="24"/>
          <w:szCs w:val="24"/>
          <w:lang w:val="en-US" w:eastAsia="zh-CN" w:bidi="ar"/>
        </w:rPr>
        <w:t>, OSP, Overseas Intermediary,</w:t>
      </w:r>
      <w:r>
        <w:rPr>
          <w:rFonts w:hint="default" w:ascii="Times New Roman" w:hAnsi="Times New Roman" w:eastAsia="宋体" w:cs="Times New Roman"/>
          <w:color w:val="auto"/>
          <w:kern w:val="0"/>
          <w:sz w:val="24"/>
          <w:szCs w:val="24"/>
          <w:lang w:val="en-US" w:eastAsia="zh-CN" w:bidi="ar"/>
        </w:rPr>
        <w:t xml:space="preserve"> or Client </w:t>
      </w:r>
      <w:r>
        <w:rPr>
          <w:rFonts w:hint="default" w:ascii="Times New Roman" w:hAnsi="Times New Roman" w:eastAsia="宋体" w:cs="Times New Roman"/>
          <w:bCs/>
          <w:color w:val="auto"/>
          <w:kern w:val="0"/>
          <w:sz w:val="24"/>
          <w:szCs w:val="24"/>
          <w:lang w:val="en-US" w:eastAsia="zh-CN" w:bidi="ar"/>
        </w:rPr>
        <w:t xml:space="preserve">may </w:t>
      </w:r>
      <w:r>
        <w:rPr>
          <w:rFonts w:hint="default" w:ascii="Times New Roman" w:hAnsi="Times New Roman" w:eastAsia="宋体" w:cs="Times New Roman"/>
          <w:color w:val="auto"/>
          <w:kern w:val="0"/>
          <w:sz w:val="24"/>
          <w:szCs w:val="24"/>
          <w:lang w:val="en-US" w:eastAsia="zh-CN" w:bidi="ar"/>
        </w:rPr>
        <w:t xml:space="preserve">refer to the regime of the Large Trader </w:t>
      </w:r>
      <w:r>
        <w:rPr>
          <w:rFonts w:hint="default" w:ascii="Times New Roman" w:hAnsi="Times New Roman" w:eastAsia="宋体" w:cs="Times New Roman"/>
          <w:bCs/>
          <w:color w:val="auto"/>
          <w:kern w:val="0"/>
          <w:sz w:val="24"/>
          <w:szCs w:val="24"/>
          <w:lang w:val="en-US" w:eastAsia="zh-CN" w:bidi="ar"/>
        </w:rPr>
        <w:t>Position</w:t>
      </w:r>
      <w:r>
        <w:rPr>
          <w:rFonts w:hint="default" w:ascii="Times New Roman" w:hAnsi="Times New Roman" w:eastAsia="宋体" w:cs="Times New Roman"/>
          <w:color w:val="auto"/>
          <w:kern w:val="0"/>
          <w:sz w:val="24"/>
          <w:szCs w:val="24"/>
          <w:lang w:val="en-US" w:eastAsia="zh-CN" w:bidi="ar"/>
        </w:rPr>
        <w:t xml:space="preserve"> Reporting for manner and contents of the report, if it or he is ordered by the Exchange to provide an explanation with respect to a specific situation. </w:t>
      </w:r>
    </w:p>
    <w:p w14:paraId="4517DA52">
      <w:pPr>
        <w:keepNext w:val="0"/>
        <w:keepLines w:val="0"/>
        <w:widowControl/>
        <w:suppressLineNumbers w:val="0"/>
        <w:snapToGrid w:val="0"/>
        <w:spacing w:before="0" w:beforeAutospacing="0" w:after="0" w:afterAutospacing="0" w:line="256" w:lineRule="auto"/>
        <w:ind w:left="0" w:right="0"/>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auto"/>
          <w:kern w:val="0"/>
          <w:sz w:val="24"/>
          <w:szCs w:val="24"/>
          <w:lang w:val="en-US" w:eastAsia="zh-CN" w:bidi="ar"/>
        </w:rPr>
        <w:t xml:space="preserve"> </w:t>
      </w:r>
    </w:p>
    <w:p w14:paraId="3ACCE4E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The Exchange may issue a Risk Warning letter to the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or Client, if it finds that such Member</w:t>
      </w:r>
      <w:r>
        <w:rPr>
          <w:rFonts w:hint="default" w:ascii="Times New Roman" w:hAnsi="Times New Roman" w:eastAsia="宋体" w:cs="Times New Roman"/>
          <w:bCs/>
          <w:color w:val="auto"/>
          <w:kern w:val="2"/>
          <w:sz w:val="24"/>
          <w:szCs w:val="24"/>
          <w:lang w:val="en-US" w:eastAsia="zh-CN" w:bidi="ar"/>
        </w:rPr>
        <w:t xml:space="preserve">, OSP, Overseas Intermediary, </w:t>
      </w:r>
      <w:r>
        <w:rPr>
          <w:rFonts w:hint="default" w:ascii="Times New Roman" w:hAnsi="Times New Roman" w:eastAsia="宋体" w:cs="Times New Roman"/>
          <w:color w:val="auto"/>
          <w:kern w:val="2"/>
          <w:sz w:val="24"/>
          <w:szCs w:val="24"/>
          <w:lang w:val="en-US" w:eastAsia="zh-CN" w:bidi="ar"/>
        </w:rPr>
        <w:t>or Client commits any suspected violation of the Exchange’s rules or holds position that is exposed to substantial potential risks.</w:t>
      </w:r>
    </w:p>
    <w:p w14:paraId="49CE1AC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will publicly censure a Member, OSP, Overseas Intermediary, or Client through the relevant media channels, if the Member, OSP, Overseas Intermediary, or Client commits any of the following acts: </w:t>
      </w:r>
    </w:p>
    <w:p w14:paraId="649516B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failing to provide an explanation with respect to a specific situation or attend the meeting as required by the Exchange;</w:t>
      </w:r>
    </w:p>
    <w:p w14:paraId="23FEF6F2">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concealing facts, or hides, falsifies, or omits important information when explaining a specific situation or answering questions; </w:t>
      </w:r>
    </w:p>
    <w:p w14:paraId="2BE22B5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destroying or eliminates evidence of suspected rule violations or fails to cooperate with the CSRC or the Exchange in any investigation;</w:t>
      </w:r>
    </w:p>
    <w:p w14:paraId="4C48E3CD">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found to have engaged in fraudulent actions towards clients; </w:t>
      </w:r>
    </w:p>
    <w:p w14:paraId="3E603E4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(5)</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proved, upon investigation, to trade secretly through multiple accounts or manipulate the market; or </w:t>
      </w:r>
    </w:p>
    <w:p w14:paraId="496C75DB">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(6)</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committing any other violation of the Exchange’s rules as determined by the Exchange.</w:t>
      </w:r>
    </w:p>
    <w:p w14:paraId="72C12B7F">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 xml:space="preserve">Apart from publicly censuring the Member, OSP, Overseas Intermediary, or Client, the Exchange may handle its above violation pursuant to relevant provisions of the </w:t>
      </w:r>
      <w:r>
        <w:rPr>
          <w:rFonts w:hint="default" w:ascii="Times New Roman" w:hAnsi="Times New Roman" w:eastAsia="宋体" w:cs="Times New Roman"/>
          <w:i/>
          <w:iCs w:val="0"/>
          <w:color w:val="auto"/>
          <w:kern w:val="2"/>
          <w:sz w:val="24"/>
          <w:szCs w:val="24"/>
          <w:lang w:val="en-US" w:eastAsia="zh-CN" w:bidi="ar"/>
        </w:rPr>
        <w:t xml:space="preserve">Enforcement Rules of the Shanghai </w:t>
      </w:r>
      <w:r>
        <w:rPr>
          <w:rFonts w:hint="default" w:ascii="Times New Roman" w:hAnsi="Times New Roman" w:eastAsia="宋体" w:cs="Times New Roman"/>
          <w:i/>
          <w:iCs/>
          <w:color w:val="auto"/>
          <w:kern w:val="2"/>
          <w:sz w:val="24"/>
          <w:szCs w:val="24"/>
          <w:lang w:val="en-US" w:eastAsia="zh-CN" w:bidi="ar"/>
        </w:rPr>
        <w:t>Futures</w:t>
      </w:r>
      <w:r>
        <w:rPr>
          <w:rFonts w:hint="default" w:ascii="Times New Roman" w:hAnsi="Times New Roman" w:eastAsia="宋体" w:cs="Times New Roman"/>
          <w:i/>
          <w:iCs w:val="0"/>
          <w:color w:val="auto"/>
          <w:kern w:val="2"/>
          <w:sz w:val="24"/>
          <w:szCs w:val="24"/>
          <w:lang w:val="en-US" w:eastAsia="zh-CN" w:bidi="ar"/>
        </w:rPr>
        <w:t xml:space="preserve"> Exchange.</w:t>
      </w:r>
    </w:p>
    <w:p w14:paraId="09867BD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shall issue a Risk Warning notice to all the Members and Clients if any of the following conditions exists: </w:t>
      </w:r>
    </w:p>
    <w:p w14:paraId="5A71D2C3">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(1)</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unusual futures or options price movements;</w:t>
      </w:r>
    </w:p>
    <w:p w14:paraId="69BBB8B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(2)</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 considerable discrepancy between the prices of the futures and the physicals; </w:t>
      </w:r>
    </w:p>
    <w:p w14:paraId="0F90AC15">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(3)</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a considerable discrepancy between prices of domestic and international futures markets; or </w:t>
      </w:r>
    </w:p>
    <w:p w14:paraId="052B06FA">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kern w:val="2"/>
          <w:sz w:val="24"/>
          <w:szCs w:val="24"/>
        </w:rPr>
      </w:pPr>
      <w:r>
        <w:rPr>
          <w:rFonts w:hint="default" w:ascii="Times New Roman" w:hAnsi="Times New Roman" w:eastAsia="宋体" w:cs="Times New Roman"/>
          <w:color w:val="auto"/>
          <w:kern w:val="2"/>
          <w:sz w:val="24"/>
          <w:szCs w:val="24"/>
          <w:lang w:val="en-US" w:eastAsia="zh-CN" w:bidi="ar"/>
        </w:rPr>
        <w:t>(4)</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any other abnormal conditions under which the Exchange deems he necessary to issue a Risk Warning notice.</w:t>
      </w:r>
    </w:p>
    <w:p w14:paraId="08821450">
      <w:pPr>
        <w:keepNext w:val="0"/>
        <w:keepLines w:val="0"/>
        <w:widowControl/>
        <w:suppressLineNumbers w:val="0"/>
        <w:adjustRightInd w:val="0"/>
        <w:snapToGrid w:val="0"/>
        <w:spacing w:before="360" w:beforeLines="150" w:beforeAutospacing="0" w:after="240" w:afterLines="100" w:afterAutospacing="0" w:line="273" w:lineRule="auto"/>
        <w:ind w:left="0" w:right="0"/>
        <w:jc w:val="center"/>
        <w:rPr>
          <w:rFonts w:hint="default" w:ascii="Times New Roman" w:hAnsi="Times New Roman" w:eastAsia="宋体" w:cs="Times New Roman"/>
          <w:b/>
          <w:bCs w:val="0"/>
          <w:kern w:val="2"/>
          <w:sz w:val="24"/>
          <w:szCs w:val="24"/>
        </w:rPr>
      </w:pPr>
      <w:r>
        <w:rPr>
          <w:rFonts w:hint="default" w:ascii="Times New Roman" w:hAnsi="Times New Roman" w:eastAsia="宋体" w:cs="Times New Roman"/>
          <w:b/>
          <w:bCs w:val="0"/>
          <w:color w:val="auto"/>
          <w:kern w:val="2"/>
          <w:sz w:val="24"/>
          <w:szCs w:val="24"/>
          <w:lang w:val="en-US" w:eastAsia="zh-CN" w:bidi="ar"/>
        </w:rPr>
        <w:t>CHAPTER 10</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MISCELLANEOUS</w:t>
      </w:r>
    </w:p>
    <w:p w14:paraId="1733C015">
      <w:pPr>
        <w:keepNext w:val="0"/>
        <w:keepLines w:val="0"/>
        <w:widowControl/>
        <w:suppressLineNumbers w:val="0"/>
        <w:snapToGrid w:val="0"/>
        <w:spacing w:before="0" w:beforeAutospacing="0" w:after="312" w:afterLines="100" w:afterAutospacing="0" w:line="256" w:lineRule="auto"/>
        <w:ind w:left="0" w:right="0"/>
        <w:jc w:val="left"/>
        <w:rPr>
          <w:rFonts w:hint="default" w:ascii="Times New Roman" w:hAnsi="Times New Roman" w:eastAsia="宋体" w:cs="Times New Roman"/>
          <w:strike w:val="0"/>
          <w:dstrike/>
          <w:kern w:val="2"/>
          <w:sz w:val="24"/>
          <w:szCs w:val="24"/>
        </w:rPr>
      </w:pPr>
      <w:r>
        <w:rPr>
          <w:rFonts w:hint="default" w:ascii="Times New Roman" w:hAnsi="Times New Roman" w:eastAsia="宋体" w:cs="Times New Roman"/>
          <w:b/>
          <w:bCs/>
          <w:color w:val="auto"/>
          <w:kern w:val="2"/>
          <w:sz w:val="24"/>
          <w:szCs w:val="24"/>
          <w:lang w:val="en-US" w:eastAsia="zh-CN" w:bidi="ar"/>
        </w:rPr>
        <w:t>Article 55</w:t>
      </w:r>
      <w:r>
        <w:rPr>
          <w:rFonts w:hint="eastAsia" w:cs="Times New Roman"/>
          <w:bCs/>
          <w:color w:val="auto"/>
          <w:kern w:val="2"/>
          <w:sz w:val="24"/>
          <w:szCs w:val="24"/>
          <w:lang w:val="en-US" w:eastAsia="zh-CN" w:bidi="ar"/>
        </w:rPr>
        <w:t xml:space="preserve"> </w:t>
      </w:r>
      <w:r>
        <w:rPr>
          <w:rFonts w:hint="default" w:ascii="Times New Roman" w:hAnsi="Times New Roman" w:eastAsia="等线" w:cs="Times New Roman"/>
          <w:bCs/>
          <w:color w:val="auto"/>
          <w:kern w:val="22"/>
          <w:sz w:val="24"/>
          <w:szCs w:val="24"/>
          <w:lang w:val="en-US" w:eastAsia="zh-CN" w:bidi="ar"/>
        </w:rPr>
        <w:t xml:space="preserve">To the extent of any inconsistency between these </w:t>
      </w:r>
      <w:r>
        <w:rPr>
          <w:rFonts w:hint="default" w:ascii="Times New Roman" w:hAnsi="Times New Roman" w:eastAsia="等线" w:cs="Times New Roman"/>
          <w:bCs/>
          <w:i/>
          <w:iCs/>
          <w:color w:val="auto"/>
          <w:kern w:val="22"/>
          <w:sz w:val="24"/>
          <w:szCs w:val="24"/>
          <w:lang w:val="en-US" w:eastAsia="zh-CN" w:bidi="ar"/>
        </w:rPr>
        <w:t xml:space="preserve">Risk Management Rules </w:t>
      </w:r>
      <w:r>
        <w:rPr>
          <w:rFonts w:hint="default" w:ascii="Times New Roman" w:hAnsi="Times New Roman" w:eastAsia="等线" w:cs="Times New Roman"/>
          <w:bCs/>
          <w:color w:val="auto"/>
          <w:kern w:val="22"/>
          <w:sz w:val="24"/>
          <w:szCs w:val="24"/>
          <w:lang w:val="en-US" w:eastAsia="zh-CN" w:bidi="ar"/>
        </w:rPr>
        <w:t>and the futures rules for the particular products, the product rules shall prevail.</w:t>
      </w:r>
    </w:p>
    <w:p w14:paraId="67E58332">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56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Exchange has established any special provisions on the risk management of options trading, those provisions shall prevail.</w:t>
      </w:r>
    </w:p>
    <w:p w14:paraId="23AA8EE7">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Cs/>
          <w:kern w:val="2"/>
          <w:sz w:val="24"/>
          <w:szCs w:val="24"/>
        </w:rPr>
      </w:pPr>
      <w:r>
        <w:rPr>
          <w:rFonts w:hint="default" w:ascii="Times New Roman" w:hAnsi="Times New Roman" w:eastAsia="宋体" w:cs="Times New Roman"/>
          <w:b/>
          <w:bCs/>
          <w:color w:val="auto"/>
          <w:kern w:val="2"/>
          <w:sz w:val="24"/>
          <w:szCs w:val="24"/>
          <w:lang w:val="en-US" w:eastAsia="zh-CN" w:bidi="ar"/>
        </w:rPr>
        <w:t>Article 57</w:t>
      </w:r>
      <w:r>
        <w:rPr>
          <w:rFonts w:hint="eastAsia" w:cs="Times New Roman"/>
          <w:b/>
          <w:bCs/>
          <w:color w:val="auto"/>
          <w:kern w:val="2"/>
          <w:sz w:val="24"/>
          <w:szCs w:val="24"/>
          <w:lang w:val="en-US" w:eastAsia="zh-CN" w:bidi="ar"/>
        </w:rPr>
        <w:t xml:space="preserve"> </w:t>
      </w:r>
      <w:r>
        <w:rPr>
          <w:rFonts w:hint="default" w:ascii="Times New Roman" w:hAnsi="Times New Roman" w:eastAsia="宋体" w:cs="Times New Roman"/>
          <w:bCs/>
          <w:color w:val="auto"/>
          <w:kern w:val="2"/>
          <w:sz w:val="24"/>
          <w:szCs w:val="24"/>
          <w:lang w:val="en-US" w:eastAsia="zh-CN" w:bidi="ar"/>
        </w:rPr>
        <w:t xml:space="preserve">Any violation of these </w:t>
      </w:r>
      <w:r>
        <w:rPr>
          <w:rFonts w:hint="default" w:ascii="Times New Roman" w:hAnsi="Times New Roman" w:eastAsia="宋体" w:cs="Times New Roman"/>
          <w:bCs/>
          <w:i/>
          <w:iCs w:val="0"/>
          <w:color w:val="auto"/>
          <w:kern w:val="2"/>
          <w:sz w:val="24"/>
          <w:szCs w:val="24"/>
          <w:lang w:val="en-US" w:eastAsia="zh-CN" w:bidi="ar"/>
        </w:rPr>
        <w:t>Risk Management Rules</w:t>
      </w:r>
      <w:r>
        <w:rPr>
          <w:rFonts w:hint="default" w:ascii="Times New Roman" w:hAnsi="Times New Roman" w:eastAsia="宋体" w:cs="Times New Roman"/>
          <w:bCs/>
          <w:color w:val="auto"/>
          <w:kern w:val="2"/>
          <w:sz w:val="24"/>
          <w:szCs w:val="24"/>
          <w:lang w:val="en-US" w:eastAsia="zh-CN" w:bidi="ar"/>
        </w:rPr>
        <w:t xml:space="preserve"> will be handled by the Exchange in accordance with these </w:t>
      </w:r>
      <w:r>
        <w:rPr>
          <w:rFonts w:hint="default" w:ascii="Times New Roman" w:hAnsi="Times New Roman" w:eastAsia="宋体" w:cs="Times New Roman"/>
          <w:bCs/>
          <w:i/>
          <w:iCs w:val="0"/>
          <w:color w:val="auto"/>
          <w:kern w:val="2"/>
          <w:sz w:val="24"/>
          <w:szCs w:val="24"/>
          <w:lang w:val="en-US" w:eastAsia="zh-CN" w:bidi="ar"/>
        </w:rPr>
        <w:t>Risk Management Rules</w:t>
      </w:r>
      <w:r>
        <w:rPr>
          <w:rFonts w:hint="default" w:ascii="Times New Roman" w:hAnsi="Times New Roman" w:eastAsia="宋体" w:cs="Times New Roman"/>
          <w:bCs/>
          <w:color w:val="auto"/>
          <w:kern w:val="2"/>
          <w:sz w:val="24"/>
          <w:szCs w:val="24"/>
          <w:lang w:val="en-US" w:eastAsia="zh-CN" w:bidi="ar"/>
        </w:rPr>
        <w:t xml:space="preserve"> and the </w:t>
      </w:r>
      <w:r>
        <w:rPr>
          <w:rFonts w:hint="default" w:ascii="Times New Roman" w:hAnsi="Times New Roman" w:eastAsia="宋体" w:cs="Times New Roman"/>
          <w:bCs/>
          <w:i/>
          <w:iCs/>
          <w:color w:val="auto"/>
          <w:kern w:val="2"/>
          <w:sz w:val="24"/>
          <w:szCs w:val="24"/>
          <w:lang w:val="en-US" w:eastAsia="zh-CN" w:bidi="ar"/>
        </w:rPr>
        <w:t>Enforcement Rules of the Shanghai Futures Exchange</w:t>
      </w:r>
      <w:r>
        <w:rPr>
          <w:rFonts w:hint="default" w:ascii="Times New Roman" w:hAnsi="Times New Roman" w:eastAsia="宋体" w:cs="Times New Roman"/>
          <w:bCs/>
          <w:color w:val="auto"/>
          <w:kern w:val="2"/>
          <w:sz w:val="24"/>
          <w:szCs w:val="24"/>
          <w:lang w:val="en-US" w:eastAsia="zh-CN" w:bidi="ar"/>
        </w:rPr>
        <w:t>.</w:t>
      </w:r>
    </w:p>
    <w:p w14:paraId="2C824227">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kern w:val="2"/>
          <w:sz w:val="24"/>
          <w:szCs w:val="24"/>
        </w:rPr>
      </w:pPr>
      <w:r>
        <w:rPr>
          <w:rFonts w:hint="default" w:ascii="Times New Roman" w:hAnsi="Times New Roman" w:eastAsia="宋体" w:cs="Times New Roman"/>
          <w:b/>
          <w:bCs/>
          <w:color w:val="auto"/>
          <w:kern w:val="2"/>
          <w:sz w:val="24"/>
          <w:szCs w:val="24"/>
          <w:lang w:val="en-US" w:eastAsia="zh-CN" w:bidi="ar"/>
        </w:rPr>
        <w:t>Article 58</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 Exchange reserves the right to interpret 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w:t>
      </w:r>
    </w:p>
    <w:p w14:paraId="4DAEFAFE">
      <w:pPr>
        <w:keepNext w:val="0"/>
        <w:keepLines w:val="0"/>
        <w:widowControl/>
        <w:suppressLineNumbers w:val="0"/>
        <w:adjustRightInd w:val="0"/>
        <w:snapToGrid w:val="0"/>
        <w:spacing w:before="0" w:beforeAutospacing="0" w:after="312" w:afterLines="100" w:afterAutospacing="0" w:line="256" w:lineRule="auto"/>
        <w:ind w:left="0" w:right="179"/>
        <w:jc w:val="left"/>
        <w:rPr>
          <w:rFonts w:hint="default" w:ascii="Times New Roman" w:hAnsi="Times New Roman" w:eastAsia="宋体" w:cs="Times New Roman"/>
          <w:color w:val="auto"/>
          <w:kern w:val="2"/>
          <w:sz w:val="24"/>
          <w:szCs w:val="24"/>
          <w:lang w:val="en-US" w:eastAsia="zh-CN" w:bidi="ar"/>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bCs/>
          <w:color w:val="auto"/>
          <w:kern w:val="2"/>
          <w:sz w:val="24"/>
          <w:szCs w:val="24"/>
          <w:lang w:val="en-US" w:eastAsia="zh-CN" w:bidi="ar"/>
        </w:rPr>
        <w:t>Article 59</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 xml:space="preserve"> take effect on</w:t>
      </w:r>
      <w:r>
        <w:rPr>
          <w:rFonts w:hint="eastAsia" w:ascii="Times New Roman" w:hAnsi="Times New Roman" w:eastAsia="宋体" w:cs="Times New Roman"/>
          <w:color w:val="auto"/>
          <w:kern w:val="2"/>
          <w:sz w:val="24"/>
          <w:szCs w:val="24"/>
          <w:lang w:val="en-US" w:eastAsia="zh-CN" w:bidi="ar"/>
        </w:rPr>
        <w:t xml:space="preserve"> May 28, 2026.</w:t>
      </w:r>
    </w:p>
    <w:p w14:paraId="0949995A">
      <w:pPr>
        <w:keepNext w:val="0"/>
        <w:keepLines w:val="0"/>
        <w:widowControl/>
        <w:suppressLineNumbers w:val="0"/>
        <w:adjustRightInd w:val="0"/>
        <w:snapToGrid w:val="0"/>
        <w:spacing w:before="0" w:beforeAutospacing="0" w:after="100" w:afterAutospacing="0" w:line="256" w:lineRule="auto"/>
        <w:ind w:left="0" w:right="98"/>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Schedule—Methods and Procedures for the Fill of Unfilled Orders</w:t>
      </w:r>
    </w:p>
    <w:p w14:paraId="7A03B660">
      <w:pPr>
        <w:keepNext w:val="0"/>
        <w:keepLines w:val="0"/>
        <w:widowControl/>
        <w:suppressLineNumbers w:val="0"/>
        <w:adjustRightInd w:val="0"/>
        <w:snapToGrid w:val="0"/>
        <w:spacing w:before="0" w:beforeAutospacing="0" w:after="100" w:afterAutospacing="0" w:line="256" w:lineRule="auto"/>
        <w:ind w:left="0" w:right="98"/>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 </w:t>
      </w:r>
    </w:p>
    <w:p w14:paraId="07958FAC">
      <w:pPr>
        <w:keepNext w:val="0"/>
        <w:keepLines w:val="0"/>
        <w:widowControl/>
        <w:suppressLineNumbers w:val="0"/>
        <w:adjustRightInd w:val="0"/>
        <w:snapToGrid w:val="0"/>
        <w:spacing w:before="0" w:beforeAutospacing="0" w:after="312" w:afterLines="10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Methods and Procedures for the Fill of Unfilled Orders in Futures Contracts</w:t>
      </w:r>
    </w:p>
    <w:tbl>
      <w:tblPr>
        <w:tblStyle w:val="4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0" w:type="dxa"/>
        </w:tblCellMar>
      </w:tblPr>
      <w:tblGrid>
        <w:gridCol w:w="715"/>
        <w:gridCol w:w="2700"/>
        <w:gridCol w:w="2202"/>
        <w:gridCol w:w="3218"/>
        <w:gridCol w:w="2604"/>
        <w:gridCol w:w="2632"/>
      </w:tblGrid>
      <w:tr w14:paraId="490D1014">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6CFAE10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Step</w:t>
            </w:r>
          </w:p>
        </w:tc>
        <w:tc>
          <w:tcPr>
            <w:tcW w:w="959" w:type="pct"/>
            <w:tcBorders>
              <w:top w:val="single" w:color="000000" w:sz="4" w:space="0"/>
              <w:left w:val="nil"/>
              <w:bottom w:val="single" w:color="000000" w:sz="4" w:space="0"/>
              <w:right w:val="single" w:color="000000" w:sz="4" w:space="0"/>
            </w:tcBorders>
            <w:noWrap w:val="0"/>
            <w:vAlign w:val="top"/>
          </w:tcPr>
          <w:p w14:paraId="3AEC9DD8">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Scenario</w:t>
            </w:r>
          </w:p>
        </w:tc>
        <w:tc>
          <w:tcPr>
            <w:tcW w:w="782" w:type="pct"/>
            <w:tcBorders>
              <w:top w:val="single" w:color="000000" w:sz="4" w:space="0"/>
              <w:left w:val="nil"/>
              <w:bottom w:val="single" w:color="000000" w:sz="4" w:space="0"/>
              <w:right w:val="single" w:color="000000" w:sz="4" w:space="0"/>
            </w:tcBorders>
            <w:noWrap w:val="0"/>
            <w:vAlign w:val="top"/>
          </w:tcPr>
          <w:p w14:paraId="3EE1C4BE">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Amount</w:t>
            </w:r>
          </w:p>
        </w:tc>
        <w:tc>
          <w:tcPr>
            <w:tcW w:w="1143" w:type="pct"/>
            <w:tcBorders>
              <w:top w:val="single" w:color="000000" w:sz="4" w:space="0"/>
              <w:left w:val="nil"/>
              <w:bottom w:val="single" w:color="000000" w:sz="4" w:space="0"/>
              <w:right w:val="single" w:color="000000" w:sz="4" w:space="0"/>
            </w:tcBorders>
            <w:noWrap w:val="0"/>
            <w:vAlign w:val="top"/>
          </w:tcPr>
          <w:p w14:paraId="35058F17">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Percentage</w:t>
            </w:r>
          </w:p>
        </w:tc>
        <w:tc>
          <w:tcPr>
            <w:tcW w:w="925" w:type="pct"/>
            <w:tcBorders>
              <w:top w:val="single" w:color="000000" w:sz="4" w:space="0"/>
              <w:left w:val="nil"/>
              <w:bottom w:val="single" w:color="000000" w:sz="4" w:space="0"/>
              <w:right w:val="single" w:color="000000" w:sz="4" w:space="0"/>
            </w:tcBorders>
            <w:noWrap w:val="0"/>
            <w:vAlign w:val="top"/>
          </w:tcPr>
          <w:p w14:paraId="550C75F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Filled to</w:t>
            </w:r>
          </w:p>
        </w:tc>
        <w:tc>
          <w:tcPr>
            <w:tcW w:w="935" w:type="pct"/>
            <w:tcBorders>
              <w:top w:val="single" w:color="000000" w:sz="4" w:space="0"/>
              <w:left w:val="nil"/>
              <w:bottom w:val="single" w:color="000000" w:sz="4" w:space="0"/>
              <w:right w:val="single" w:color="000000" w:sz="4" w:space="0"/>
            </w:tcBorders>
            <w:noWrap w:val="0"/>
            <w:vAlign w:val="top"/>
          </w:tcPr>
          <w:p w14:paraId="03C251F2">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center"/>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Result</w:t>
            </w:r>
          </w:p>
        </w:tc>
      </w:tr>
      <w:tr w14:paraId="2B33EAB5">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557F5C01">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1</w:t>
            </w:r>
          </w:p>
        </w:tc>
        <w:tc>
          <w:tcPr>
            <w:tcW w:w="959" w:type="pct"/>
            <w:tcBorders>
              <w:top w:val="single" w:color="000000" w:sz="4" w:space="0"/>
              <w:left w:val="nil"/>
              <w:bottom w:val="single" w:color="000000" w:sz="4" w:space="0"/>
              <w:right w:val="single" w:color="000000" w:sz="4" w:space="0"/>
            </w:tcBorders>
            <w:noWrap w:val="0"/>
            <w:vAlign w:val="top"/>
          </w:tcPr>
          <w:p w14:paraId="2B11FFF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 Unfilled Orders</w:t>
            </w:r>
          </w:p>
        </w:tc>
        <w:tc>
          <w:tcPr>
            <w:tcW w:w="782" w:type="pct"/>
            <w:tcBorders>
              <w:top w:val="single" w:color="000000" w:sz="4" w:space="0"/>
              <w:left w:val="nil"/>
              <w:bottom w:val="single" w:color="000000" w:sz="4" w:space="0"/>
              <w:right w:val="single" w:color="000000" w:sz="4" w:space="0"/>
            </w:tcBorders>
            <w:noWrap w:val="0"/>
            <w:vAlign w:val="top"/>
          </w:tcPr>
          <w:p w14:paraId="21187FE7">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Unfilled Orders </w:t>
            </w:r>
          </w:p>
        </w:tc>
        <w:tc>
          <w:tcPr>
            <w:tcW w:w="1143" w:type="pct"/>
            <w:tcBorders>
              <w:top w:val="single" w:color="000000" w:sz="4" w:space="0"/>
              <w:left w:val="nil"/>
              <w:bottom w:val="single" w:color="000000" w:sz="4" w:space="0"/>
              <w:right w:val="single" w:color="000000" w:sz="4" w:space="0"/>
            </w:tcBorders>
            <w:noWrap w:val="0"/>
            <w:vAlign w:val="top"/>
          </w:tcPr>
          <w:p w14:paraId="389CDD77">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Unfilled Orders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w:t>
            </w:r>
          </w:p>
        </w:tc>
        <w:tc>
          <w:tcPr>
            <w:tcW w:w="925" w:type="pct"/>
            <w:tcBorders>
              <w:top w:val="single" w:color="000000" w:sz="4" w:space="0"/>
              <w:left w:val="nil"/>
              <w:bottom w:val="single" w:color="000000" w:sz="4" w:space="0"/>
              <w:right w:val="single" w:color="000000" w:sz="4" w:space="0"/>
            </w:tcBorders>
            <w:noWrap w:val="0"/>
            <w:vAlign w:val="top"/>
          </w:tcPr>
          <w:p w14:paraId="1DED1275">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 xml:space="preserve">Traders </w:t>
            </w:r>
            <w:r>
              <w:rPr>
                <w:rFonts w:hint="default" w:ascii="Times New Roman" w:hAnsi="Times New Roman" w:eastAsia="宋体" w:cs="Times New Roman"/>
                <w:color w:val="auto"/>
                <w:kern w:val="0"/>
                <w:sz w:val="22"/>
                <w:szCs w:val="22"/>
                <w:lang w:val="en-US" w:eastAsia="zh-CN" w:bidi="ar"/>
              </w:rPr>
              <w:t xml:space="preserve">holding the </w:t>
            </w:r>
            <w:bookmarkStart w:id="0" w:name="_Hlk200379287"/>
            <w:r>
              <w:rPr>
                <w:rFonts w:hint="default" w:ascii="Times New Roman" w:hAnsi="Times New Roman" w:eastAsia="宋体" w:cs="Times New Roman"/>
                <w:bCs/>
                <w:color w:val="auto"/>
                <w:kern w:val="0"/>
                <w:sz w:val="22"/>
                <w:szCs w:val="22"/>
                <w:lang w:val="en-US" w:eastAsia="zh-CN" w:bidi="ar"/>
              </w:rPr>
              <w:t>General</w:t>
            </w:r>
            <w:bookmarkEnd w:id="0"/>
            <w:r>
              <w:rPr>
                <w:rFonts w:hint="default" w:ascii="Times New Roman" w:hAnsi="Times New Roman" w:eastAsia="宋体" w:cs="Times New Roman"/>
                <w:color w:val="auto"/>
                <w:kern w:val="0"/>
                <w:sz w:val="22"/>
                <w:szCs w:val="22"/>
                <w:lang w:val="en-US" w:eastAsia="zh-CN" w:bidi="ar"/>
              </w:rPr>
              <w:t xml:space="preserve"> Positions with Gains of No Less Than R1</w:t>
            </w:r>
          </w:p>
        </w:tc>
        <w:tc>
          <w:tcPr>
            <w:tcW w:w="935" w:type="pct"/>
            <w:tcBorders>
              <w:top w:val="single" w:color="000000" w:sz="4" w:space="0"/>
              <w:left w:val="nil"/>
              <w:bottom w:val="single" w:color="000000" w:sz="4" w:space="0"/>
              <w:right w:val="single" w:color="000000" w:sz="4" w:space="0"/>
            </w:tcBorders>
            <w:noWrap w:val="0"/>
            <w:vAlign w:val="top"/>
          </w:tcPr>
          <w:p w14:paraId="4844BFC7">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Fill completed</w:t>
            </w:r>
          </w:p>
        </w:tc>
      </w:tr>
      <w:tr w14:paraId="0C3DBA54">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32F0E25B">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2</w:t>
            </w:r>
          </w:p>
        </w:tc>
        <w:tc>
          <w:tcPr>
            <w:tcW w:w="959" w:type="pct"/>
            <w:tcBorders>
              <w:top w:val="single" w:color="000000" w:sz="4" w:space="0"/>
              <w:left w:val="nil"/>
              <w:bottom w:val="single" w:color="000000" w:sz="4" w:space="0"/>
              <w:right w:val="single" w:color="000000" w:sz="4" w:space="0"/>
            </w:tcBorders>
            <w:noWrap w:val="0"/>
            <w:vAlign w:val="top"/>
          </w:tcPr>
          <w:p w14:paraId="007E432A">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R1&lt; Unfilled Orders</w:t>
            </w:r>
          </w:p>
        </w:tc>
        <w:tc>
          <w:tcPr>
            <w:tcW w:w="782" w:type="pct"/>
            <w:tcBorders>
              <w:top w:val="single" w:color="000000" w:sz="4" w:space="0"/>
              <w:left w:val="nil"/>
              <w:bottom w:val="single" w:color="000000" w:sz="4" w:space="0"/>
              <w:right w:val="single" w:color="000000" w:sz="4" w:space="0"/>
            </w:tcBorders>
            <w:noWrap w:val="0"/>
            <w:vAlign w:val="top"/>
          </w:tcPr>
          <w:p w14:paraId="5CD19A19">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w:t>
            </w:r>
          </w:p>
        </w:tc>
        <w:tc>
          <w:tcPr>
            <w:tcW w:w="1143" w:type="pct"/>
            <w:tcBorders>
              <w:top w:val="single" w:color="000000" w:sz="4" w:space="0"/>
              <w:left w:val="nil"/>
              <w:bottom w:val="single" w:color="000000" w:sz="4" w:space="0"/>
              <w:right w:val="single" w:color="000000" w:sz="4" w:space="0"/>
            </w:tcBorders>
            <w:noWrap w:val="0"/>
            <w:vAlign w:val="top"/>
          </w:tcPr>
          <w:p w14:paraId="796A69BC">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R1 / Unfilled Orders</w:t>
            </w:r>
          </w:p>
        </w:tc>
        <w:tc>
          <w:tcPr>
            <w:tcW w:w="925" w:type="pct"/>
            <w:tcBorders>
              <w:top w:val="single" w:color="000000" w:sz="4" w:space="0"/>
              <w:left w:val="nil"/>
              <w:bottom w:val="single" w:color="000000" w:sz="4" w:space="0"/>
              <w:right w:val="single" w:color="000000" w:sz="4" w:space="0"/>
            </w:tcBorders>
            <w:noWrap w:val="0"/>
            <w:vAlign w:val="top"/>
          </w:tcPr>
          <w:p w14:paraId="3E87EA89">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Unfilled Orders </w:t>
            </w:r>
          </w:p>
        </w:tc>
        <w:tc>
          <w:tcPr>
            <w:tcW w:w="935" w:type="pct"/>
            <w:tcBorders>
              <w:top w:val="single" w:color="000000" w:sz="4" w:space="0"/>
              <w:left w:val="nil"/>
              <w:bottom w:val="single" w:color="000000" w:sz="4" w:space="0"/>
              <w:right w:val="single" w:color="000000" w:sz="4" w:space="0"/>
            </w:tcBorders>
            <w:noWrap w:val="0"/>
            <w:vAlign w:val="top"/>
          </w:tcPr>
          <w:p w14:paraId="2FF2F9F9">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3, and the Step 4 </w:t>
            </w:r>
          </w:p>
        </w:tc>
      </w:tr>
      <w:tr w14:paraId="4FD36E26">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769001FD">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3</w:t>
            </w:r>
          </w:p>
        </w:tc>
        <w:tc>
          <w:tcPr>
            <w:tcW w:w="959" w:type="pct"/>
            <w:tcBorders>
              <w:top w:val="single" w:color="000000" w:sz="4" w:space="0"/>
              <w:left w:val="nil"/>
              <w:bottom w:val="single" w:color="000000" w:sz="4" w:space="0"/>
              <w:right w:val="single" w:color="000000" w:sz="4" w:space="0"/>
            </w:tcBorders>
            <w:noWrap w:val="0"/>
            <w:vAlign w:val="top"/>
          </w:tcPr>
          <w:p w14:paraId="29EBEF57">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 xml:space="preserve">R2 </w:t>
            </w:r>
            <w:r>
              <w:rPr>
                <w:rFonts w:hint="default" w:ascii="Times New Roman" w:hAnsi="Times New Roman" w:eastAsia="宋体" w:cs="Times New Roman"/>
                <w:color w:val="auto"/>
                <w:kern w:val="0"/>
                <w:sz w:val="22"/>
                <w:szCs w:val="22"/>
                <w:lang w:val="en-US" w:eastAsia="zh-CN" w:bidi="ar"/>
              </w:rPr>
              <w:t>≥ Residual Unfilled Orders I</w:t>
            </w:r>
          </w:p>
        </w:tc>
        <w:tc>
          <w:tcPr>
            <w:tcW w:w="782" w:type="pct"/>
            <w:tcBorders>
              <w:top w:val="single" w:color="000000" w:sz="4" w:space="0"/>
              <w:left w:val="nil"/>
              <w:bottom w:val="single" w:color="000000" w:sz="4" w:space="0"/>
              <w:right w:val="single" w:color="000000" w:sz="4" w:space="0"/>
            </w:tcBorders>
            <w:noWrap w:val="0"/>
            <w:vAlign w:val="top"/>
          </w:tcPr>
          <w:p w14:paraId="2FFF0911">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 </w:t>
            </w:r>
          </w:p>
        </w:tc>
        <w:tc>
          <w:tcPr>
            <w:tcW w:w="1143" w:type="pct"/>
            <w:tcBorders>
              <w:top w:val="single" w:color="000000" w:sz="4" w:space="0"/>
              <w:left w:val="nil"/>
              <w:bottom w:val="single" w:color="000000" w:sz="4" w:space="0"/>
              <w:right w:val="single" w:color="000000" w:sz="4" w:space="0"/>
            </w:tcBorders>
            <w:noWrap w:val="0"/>
            <w:vAlign w:val="top"/>
          </w:tcPr>
          <w:p w14:paraId="36B495E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p>
        </w:tc>
        <w:tc>
          <w:tcPr>
            <w:tcW w:w="925" w:type="pct"/>
            <w:tcBorders>
              <w:top w:val="single" w:color="000000" w:sz="4" w:space="0"/>
              <w:left w:val="nil"/>
              <w:bottom w:val="single" w:color="000000" w:sz="4" w:space="0"/>
              <w:right w:val="single" w:color="000000" w:sz="4" w:space="0"/>
            </w:tcBorders>
            <w:noWrap w:val="0"/>
            <w:vAlign w:val="top"/>
          </w:tcPr>
          <w:p w14:paraId="4FB1DA2C">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holding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p>
        </w:tc>
        <w:tc>
          <w:tcPr>
            <w:tcW w:w="935" w:type="pct"/>
            <w:tcBorders>
              <w:top w:val="single" w:color="000000" w:sz="4" w:space="0"/>
              <w:left w:val="nil"/>
              <w:bottom w:val="single" w:color="000000" w:sz="4" w:space="0"/>
              <w:right w:val="single" w:color="000000" w:sz="4" w:space="0"/>
            </w:tcBorders>
            <w:noWrap w:val="0"/>
            <w:vAlign w:val="top"/>
          </w:tcPr>
          <w:p w14:paraId="4DF224B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14:paraId="7DC60B7D">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60EC2B5E">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4</w:t>
            </w:r>
          </w:p>
        </w:tc>
        <w:tc>
          <w:tcPr>
            <w:tcW w:w="959" w:type="pct"/>
            <w:tcBorders>
              <w:top w:val="single" w:color="000000" w:sz="4" w:space="0"/>
              <w:left w:val="nil"/>
              <w:bottom w:val="single" w:color="000000" w:sz="4" w:space="0"/>
              <w:right w:val="single" w:color="000000" w:sz="4" w:space="0"/>
            </w:tcBorders>
            <w:noWrap w:val="0"/>
            <w:vAlign w:val="top"/>
          </w:tcPr>
          <w:p w14:paraId="39295F3E">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No Less Than R2&lt; Residual Unfilled Orders I</w:t>
            </w:r>
          </w:p>
        </w:tc>
        <w:tc>
          <w:tcPr>
            <w:tcW w:w="782" w:type="pct"/>
            <w:tcBorders>
              <w:top w:val="single" w:color="000000" w:sz="4" w:space="0"/>
              <w:left w:val="nil"/>
              <w:bottom w:val="single" w:color="000000" w:sz="4" w:space="0"/>
              <w:right w:val="single" w:color="000000" w:sz="4" w:space="0"/>
            </w:tcBorders>
            <w:noWrap w:val="0"/>
            <w:vAlign w:val="top"/>
          </w:tcPr>
          <w:p w14:paraId="1240E8FB">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w:t>
            </w:r>
          </w:p>
        </w:tc>
        <w:tc>
          <w:tcPr>
            <w:tcW w:w="1143" w:type="pct"/>
            <w:tcBorders>
              <w:top w:val="single" w:color="000000" w:sz="4" w:space="0"/>
              <w:left w:val="nil"/>
              <w:bottom w:val="single" w:color="000000" w:sz="4" w:space="0"/>
              <w:right w:val="single" w:color="000000" w:sz="4" w:space="0"/>
            </w:tcBorders>
            <w:noWrap w:val="0"/>
            <w:vAlign w:val="top"/>
          </w:tcPr>
          <w:p w14:paraId="5BA715F3">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No Less Than </w:t>
            </w:r>
            <w:r>
              <w:rPr>
                <w:rFonts w:hint="default" w:ascii="Times New Roman" w:hAnsi="Times New Roman" w:eastAsia="宋体" w:cs="Times New Roman"/>
                <w:bCs/>
                <w:color w:val="auto"/>
                <w:kern w:val="0"/>
                <w:sz w:val="22"/>
                <w:szCs w:val="22"/>
                <w:lang w:val="en-US" w:eastAsia="zh-CN" w:bidi="ar"/>
              </w:rPr>
              <w:t xml:space="preserve">R2 / </w:t>
            </w:r>
            <w:r>
              <w:rPr>
                <w:rFonts w:hint="default" w:ascii="Times New Roman" w:hAnsi="Times New Roman" w:eastAsia="宋体" w:cs="Times New Roman"/>
                <w:color w:val="auto"/>
                <w:kern w:val="0"/>
                <w:sz w:val="22"/>
                <w:szCs w:val="22"/>
                <w:lang w:val="en-US" w:eastAsia="zh-CN" w:bidi="ar"/>
              </w:rPr>
              <w:t>Residual Unfilled Orders I</w:t>
            </w:r>
          </w:p>
        </w:tc>
        <w:tc>
          <w:tcPr>
            <w:tcW w:w="925" w:type="pct"/>
            <w:tcBorders>
              <w:top w:val="single" w:color="000000" w:sz="4" w:space="0"/>
              <w:left w:val="nil"/>
              <w:bottom w:val="single" w:color="000000" w:sz="4" w:space="0"/>
              <w:right w:val="single" w:color="000000" w:sz="4" w:space="0"/>
            </w:tcBorders>
            <w:noWrap w:val="0"/>
            <w:vAlign w:val="top"/>
          </w:tcPr>
          <w:p w14:paraId="40F7182C">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w:t>
            </w:r>
          </w:p>
        </w:tc>
        <w:tc>
          <w:tcPr>
            <w:tcW w:w="935" w:type="pct"/>
            <w:tcBorders>
              <w:top w:val="single" w:color="000000" w:sz="4" w:space="0"/>
              <w:left w:val="nil"/>
              <w:bottom w:val="single" w:color="000000" w:sz="4" w:space="0"/>
              <w:right w:val="single" w:color="000000" w:sz="4" w:space="0"/>
            </w:tcBorders>
            <w:noWrap w:val="0"/>
            <w:vAlign w:val="top"/>
          </w:tcPr>
          <w:p w14:paraId="3B9D7F8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5, and the Step 6 </w:t>
            </w:r>
          </w:p>
        </w:tc>
      </w:tr>
      <w:tr w14:paraId="30A6D570">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3382FFEA">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5</w:t>
            </w:r>
          </w:p>
        </w:tc>
        <w:tc>
          <w:tcPr>
            <w:tcW w:w="959" w:type="pct"/>
            <w:tcBorders>
              <w:top w:val="single" w:color="000000" w:sz="4" w:space="0"/>
              <w:left w:val="nil"/>
              <w:bottom w:val="single" w:color="000000" w:sz="4" w:space="0"/>
              <w:right w:val="single" w:color="000000" w:sz="4" w:space="0"/>
            </w:tcBorders>
            <w:noWrap w:val="0"/>
            <w:vAlign w:val="top"/>
          </w:tcPr>
          <w:p w14:paraId="2A10D640">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R2 ≥ Residual Unfilled Orders II</w:t>
            </w:r>
          </w:p>
        </w:tc>
        <w:tc>
          <w:tcPr>
            <w:tcW w:w="782" w:type="pct"/>
            <w:tcBorders>
              <w:top w:val="single" w:color="000000" w:sz="4" w:space="0"/>
              <w:left w:val="nil"/>
              <w:bottom w:val="single" w:color="000000" w:sz="4" w:space="0"/>
              <w:right w:val="single" w:color="000000" w:sz="4" w:space="0"/>
            </w:tcBorders>
            <w:noWrap w:val="0"/>
            <w:vAlign w:val="top"/>
          </w:tcPr>
          <w:p w14:paraId="1CE6D7BD">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 </w:t>
            </w:r>
          </w:p>
        </w:tc>
        <w:tc>
          <w:tcPr>
            <w:tcW w:w="1143" w:type="pct"/>
            <w:tcBorders>
              <w:top w:val="single" w:color="000000" w:sz="4" w:space="0"/>
              <w:left w:val="nil"/>
              <w:bottom w:val="single" w:color="000000" w:sz="4" w:space="0"/>
              <w:right w:val="single" w:color="000000" w:sz="4" w:space="0"/>
            </w:tcBorders>
            <w:noWrap w:val="0"/>
            <w:vAlign w:val="top"/>
          </w:tcPr>
          <w:p w14:paraId="511B6AB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 /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925" w:type="pct"/>
            <w:tcBorders>
              <w:top w:val="single" w:color="000000" w:sz="4" w:space="0"/>
              <w:left w:val="nil"/>
              <w:bottom w:val="single" w:color="000000" w:sz="4" w:space="0"/>
              <w:right w:val="single" w:color="000000" w:sz="4" w:space="0"/>
            </w:tcBorders>
            <w:noWrap w:val="0"/>
            <w:vAlign w:val="top"/>
          </w:tcPr>
          <w:p w14:paraId="1084D491">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holding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935" w:type="pct"/>
            <w:tcBorders>
              <w:top w:val="single" w:color="000000" w:sz="4" w:space="0"/>
              <w:left w:val="nil"/>
              <w:bottom w:val="single" w:color="000000" w:sz="4" w:space="0"/>
              <w:right w:val="single" w:color="000000" w:sz="4" w:space="0"/>
            </w:tcBorders>
            <w:noWrap w:val="0"/>
            <w:vAlign w:val="top"/>
          </w:tcPr>
          <w:p w14:paraId="1933607C">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14:paraId="3DED16E8">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vAlign w:val="top"/>
          </w:tcPr>
          <w:p w14:paraId="0236A17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6</w:t>
            </w:r>
          </w:p>
        </w:tc>
        <w:tc>
          <w:tcPr>
            <w:tcW w:w="959" w:type="pct"/>
            <w:tcBorders>
              <w:top w:val="single" w:color="000000" w:sz="4" w:space="0"/>
              <w:left w:val="nil"/>
              <w:bottom w:val="single" w:color="000000" w:sz="4" w:space="0"/>
              <w:right w:val="single" w:color="000000" w:sz="4" w:space="0"/>
            </w:tcBorders>
            <w:noWrap w:val="0"/>
            <w:vAlign w:val="top"/>
          </w:tcPr>
          <w:p w14:paraId="6A1A4578">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&lt; Residual Unfilled Orders II </w:t>
            </w:r>
          </w:p>
        </w:tc>
        <w:tc>
          <w:tcPr>
            <w:tcW w:w="782" w:type="pct"/>
            <w:tcBorders>
              <w:top w:val="single" w:color="000000" w:sz="4" w:space="0"/>
              <w:left w:val="nil"/>
              <w:bottom w:val="single" w:color="000000" w:sz="4" w:space="0"/>
              <w:right w:val="single" w:color="000000" w:sz="4" w:space="0"/>
            </w:tcBorders>
            <w:noWrap w:val="0"/>
            <w:vAlign w:val="top"/>
          </w:tcPr>
          <w:p w14:paraId="2AA97A8E">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p>
        </w:tc>
        <w:tc>
          <w:tcPr>
            <w:tcW w:w="1143" w:type="pct"/>
            <w:tcBorders>
              <w:top w:val="single" w:color="000000" w:sz="4" w:space="0"/>
              <w:left w:val="nil"/>
              <w:bottom w:val="single" w:color="000000" w:sz="4" w:space="0"/>
              <w:right w:val="single" w:color="000000" w:sz="4" w:space="0"/>
            </w:tcBorders>
            <w:noWrap w:val="0"/>
            <w:vAlign w:val="top"/>
          </w:tcPr>
          <w:p w14:paraId="33B4E96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0"/>
                <w:sz w:val="22"/>
                <w:szCs w:val="22"/>
                <w:lang w:val="en-US" w:eastAsia="zh-CN" w:bidi="ar"/>
              </w:rPr>
              <w:t xml:space="preserve"> Positions With Gains of Less Than </w:t>
            </w:r>
            <w:r>
              <w:rPr>
                <w:rFonts w:hint="default" w:ascii="Times New Roman" w:hAnsi="Times New Roman" w:eastAsia="宋体" w:cs="Times New Roman"/>
                <w:bCs/>
                <w:color w:val="auto"/>
                <w:kern w:val="0"/>
                <w:sz w:val="22"/>
                <w:szCs w:val="22"/>
                <w:lang w:val="en-US" w:eastAsia="zh-CN" w:bidi="ar"/>
              </w:rPr>
              <w:t>R2</w:t>
            </w:r>
            <w:r>
              <w:rPr>
                <w:rFonts w:hint="default" w:ascii="Times New Roman" w:hAnsi="Times New Roman" w:eastAsia="宋体" w:cs="Times New Roman"/>
                <w:color w:val="auto"/>
                <w:kern w:val="0"/>
                <w:sz w:val="22"/>
                <w:szCs w:val="22"/>
                <w:lang w:val="en-US" w:eastAsia="zh-CN" w:bidi="ar"/>
              </w:rPr>
              <w:t xml:space="preserve"> / Residual Unfilled Orders II</w:t>
            </w:r>
          </w:p>
        </w:tc>
        <w:tc>
          <w:tcPr>
            <w:tcW w:w="925" w:type="pct"/>
            <w:tcBorders>
              <w:top w:val="single" w:color="000000" w:sz="4" w:space="0"/>
              <w:left w:val="nil"/>
              <w:bottom w:val="single" w:color="000000" w:sz="4" w:space="0"/>
              <w:right w:val="single" w:color="000000" w:sz="4" w:space="0"/>
            </w:tcBorders>
            <w:noWrap w:val="0"/>
            <w:vAlign w:val="top"/>
          </w:tcPr>
          <w:p w14:paraId="37C5433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w:t>
            </w:r>
          </w:p>
        </w:tc>
        <w:tc>
          <w:tcPr>
            <w:tcW w:w="935" w:type="pct"/>
            <w:tcBorders>
              <w:top w:val="single" w:color="000000" w:sz="4" w:space="0"/>
              <w:left w:val="nil"/>
              <w:bottom w:val="single" w:color="000000" w:sz="4" w:space="0"/>
              <w:right w:val="single" w:color="000000" w:sz="4" w:space="0"/>
            </w:tcBorders>
            <w:noWrap w:val="0"/>
            <w:vAlign w:val="top"/>
          </w:tcPr>
          <w:p w14:paraId="19942BEE">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if any, to be filled in the Step 7, and the Step 8 </w:t>
            </w:r>
          </w:p>
        </w:tc>
      </w:tr>
      <w:tr w14:paraId="57E35BA5">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tcMar>
              <w:top w:w="28" w:type="dxa"/>
              <w:right w:w="30" w:type="dxa"/>
            </w:tcMar>
            <w:vAlign w:val="top"/>
          </w:tcPr>
          <w:p w14:paraId="7C0D06CB">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7</w:t>
            </w:r>
          </w:p>
        </w:tc>
        <w:tc>
          <w:tcPr>
            <w:tcW w:w="959" w:type="pct"/>
            <w:tcBorders>
              <w:top w:val="single" w:color="000000" w:sz="4" w:space="0"/>
              <w:left w:val="nil"/>
              <w:bottom w:val="single" w:color="000000" w:sz="4" w:space="0"/>
              <w:right w:val="single" w:color="000000" w:sz="4" w:space="0"/>
            </w:tcBorders>
            <w:noWrap w:val="0"/>
            <w:tcMar>
              <w:top w:w="28" w:type="dxa"/>
              <w:right w:w="30" w:type="dxa"/>
            </w:tcMar>
            <w:vAlign w:val="top"/>
          </w:tcPr>
          <w:p w14:paraId="54219285">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 Residual Unfilled Orders III</w:t>
            </w:r>
          </w:p>
        </w:tc>
        <w:tc>
          <w:tcPr>
            <w:tcW w:w="782" w:type="pct"/>
            <w:tcBorders>
              <w:top w:val="single" w:color="000000" w:sz="4" w:space="0"/>
              <w:left w:val="nil"/>
              <w:bottom w:val="single" w:color="000000" w:sz="4" w:space="0"/>
              <w:right w:val="single" w:color="000000" w:sz="4" w:space="0"/>
            </w:tcBorders>
            <w:noWrap w:val="0"/>
            <w:tcMar>
              <w:top w:w="28" w:type="dxa"/>
              <w:right w:w="30" w:type="dxa"/>
            </w:tcMar>
            <w:vAlign w:val="top"/>
          </w:tcPr>
          <w:p w14:paraId="27612CC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Residual Unfilled Orders III</w:t>
            </w:r>
          </w:p>
        </w:tc>
        <w:tc>
          <w:tcPr>
            <w:tcW w:w="1143" w:type="pct"/>
            <w:tcBorders>
              <w:top w:val="single" w:color="000000" w:sz="4" w:space="0"/>
              <w:left w:val="nil"/>
              <w:bottom w:val="single" w:color="000000" w:sz="4" w:space="0"/>
              <w:right w:val="single" w:color="000000" w:sz="4" w:space="0"/>
            </w:tcBorders>
            <w:noWrap w:val="0"/>
            <w:tcMar>
              <w:top w:w="28" w:type="dxa"/>
              <w:right w:w="30" w:type="dxa"/>
            </w:tcMar>
            <w:vAlign w:val="top"/>
          </w:tcPr>
          <w:p w14:paraId="20D21899">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Residual Unfilled Orders III / Hedging Positions with Gains of No Less Than </w:t>
            </w:r>
            <w:r>
              <w:rPr>
                <w:rFonts w:hint="default" w:ascii="Times New Roman" w:hAnsi="Times New Roman" w:eastAsia="宋体" w:cs="Times New Roman"/>
                <w:bCs/>
                <w:color w:val="auto"/>
                <w:kern w:val="0"/>
                <w:sz w:val="22"/>
                <w:szCs w:val="22"/>
                <w:lang w:val="en-US" w:eastAsia="zh-CN" w:bidi="ar"/>
              </w:rPr>
              <w:t>R1</w:t>
            </w:r>
          </w:p>
        </w:tc>
        <w:tc>
          <w:tcPr>
            <w:tcW w:w="925" w:type="pct"/>
            <w:tcBorders>
              <w:top w:val="single" w:color="000000" w:sz="4" w:space="0"/>
              <w:left w:val="nil"/>
              <w:bottom w:val="single" w:color="000000" w:sz="4" w:space="0"/>
              <w:right w:val="single" w:color="000000" w:sz="4" w:space="0"/>
            </w:tcBorders>
            <w:noWrap w:val="0"/>
            <w:tcMar>
              <w:top w:w="28" w:type="dxa"/>
              <w:right w:w="30" w:type="dxa"/>
            </w:tcMar>
            <w:vAlign w:val="top"/>
          </w:tcPr>
          <w:p w14:paraId="5FF1FC34">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 xml:space="preserve">Traders </w:t>
            </w:r>
            <w:r>
              <w:rPr>
                <w:rFonts w:hint="default" w:ascii="Times New Roman" w:hAnsi="Times New Roman" w:eastAsia="宋体" w:cs="Times New Roman"/>
                <w:color w:val="auto"/>
                <w:kern w:val="0"/>
                <w:sz w:val="22"/>
                <w:szCs w:val="22"/>
                <w:lang w:val="en-US" w:eastAsia="zh-CN" w:bidi="ar"/>
              </w:rPr>
              <w:t xml:space="preserve">holding the Hedging Positions with Gains of No Less Than </w:t>
            </w:r>
            <w:r>
              <w:rPr>
                <w:rFonts w:hint="default" w:ascii="Times New Roman" w:hAnsi="Times New Roman" w:eastAsia="宋体" w:cs="Times New Roman"/>
                <w:bCs/>
                <w:color w:val="auto"/>
                <w:kern w:val="0"/>
                <w:sz w:val="22"/>
                <w:szCs w:val="22"/>
                <w:lang w:val="en-US" w:eastAsia="zh-CN" w:bidi="ar"/>
              </w:rPr>
              <w:t>R1</w:t>
            </w:r>
          </w:p>
        </w:tc>
        <w:tc>
          <w:tcPr>
            <w:tcW w:w="935" w:type="pct"/>
            <w:tcBorders>
              <w:top w:val="single" w:color="000000" w:sz="4" w:space="0"/>
              <w:left w:val="nil"/>
              <w:bottom w:val="single" w:color="000000" w:sz="4" w:space="0"/>
              <w:right w:val="single" w:color="000000" w:sz="4" w:space="0"/>
            </w:tcBorders>
            <w:noWrap w:val="0"/>
            <w:tcMar>
              <w:top w:w="28" w:type="dxa"/>
              <w:right w:w="30" w:type="dxa"/>
            </w:tcMar>
            <w:vAlign w:val="top"/>
          </w:tcPr>
          <w:p w14:paraId="065BF809">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Fill completed </w:t>
            </w:r>
          </w:p>
        </w:tc>
      </w:tr>
      <w:tr w14:paraId="6F220A9E">
        <w:trPr>
          <w:trHeight w:val="454" w:hRule="atLeast"/>
        </w:trPr>
        <w:tc>
          <w:tcPr>
            <w:tcW w:w="254" w:type="pct"/>
            <w:tcBorders>
              <w:top w:val="single" w:color="000000" w:sz="4" w:space="0"/>
              <w:left w:val="single" w:color="000000" w:sz="4" w:space="0"/>
              <w:bottom w:val="single" w:color="000000" w:sz="4" w:space="0"/>
              <w:right w:val="single" w:color="000000" w:sz="4" w:space="0"/>
            </w:tcBorders>
            <w:noWrap w:val="0"/>
            <w:tcMar>
              <w:top w:w="28" w:type="dxa"/>
              <w:right w:w="30" w:type="dxa"/>
            </w:tcMar>
            <w:vAlign w:val="top"/>
          </w:tcPr>
          <w:p w14:paraId="190E27AB">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8</w:t>
            </w:r>
          </w:p>
        </w:tc>
        <w:tc>
          <w:tcPr>
            <w:tcW w:w="959" w:type="pct"/>
            <w:tcBorders>
              <w:top w:val="single" w:color="000000" w:sz="4" w:space="0"/>
              <w:left w:val="nil"/>
              <w:bottom w:val="single" w:color="000000" w:sz="4" w:space="0"/>
              <w:right w:val="single" w:color="000000" w:sz="4" w:space="0"/>
            </w:tcBorders>
            <w:noWrap w:val="0"/>
            <w:tcMar>
              <w:top w:w="28" w:type="dxa"/>
              <w:right w:w="30" w:type="dxa"/>
            </w:tcMar>
            <w:vAlign w:val="top"/>
          </w:tcPr>
          <w:p w14:paraId="044A55E8">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&lt; Residual Unfilled Orders III</w:t>
            </w:r>
          </w:p>
        </w:tc>
        <w:tc>
          <w:tcPr>
            <w:tcW w:w="782" w:type="pct"/>
            <w:tcBorders>
              <w:top w:val="single" w:color="000000" w:sz="4" w:space="0"/>
              <w:left w:val="nil"/>
              <w:bottom w:val="single" w:color="000000" w:sz="4" w:space="0"/>
              <w:right w:val="single" w:color="000000" w:sz="4" w:space="0"/>
            </w:tcBorders>
            <w:noWrap w:val="0"/>
            <w:tcMar>
              <w:top w:w="28" w:type="dxa"/>
              <w:right w:w="30" w:type="dxa"/>
            </w:tcMar>
            <w:vAlign w:val="top"/>
          </w:tcPr>
          <w:p w14:paraId="26D64F3F">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R1</w:t>
            </w:r>
            <w:r>
              <w:rPr>
                <w:rFonts w:hint="default" w:ascii="Times New Roman" w:hAnsi="Times New Roman" w:eastAsia="宋体" w:cs="Times New Roman"/>
                <w:color w:val="auto"/>
                <w:kern w:val="0"/>
                <w:sz w:val="22"/>
                <w:szCs w:val="22"/>
                <w:lang w:val="en-US" w:eastAsia="zh-CN" w:bidi="ar"/>
              </w:rPr>
              <w:t xml:space="preserve"> </w:t>
            </w:r>
          </w:p>
        </w:tc>
        <w:tc>
          <w:tcPr>
            <w:tcW w:w="1143" w:type="pct"/>
            <w:tcBorders>
              <w:top w:val="single" w:color="000000" w:sz="4" w:space="0"/>
              <w:left w:val="nil"/>
              <w:bottom w:val="single" w:color="000000" w:sz="4" w:space="0"/>
              <w:right w:val="single" w:color="000000" w:sz="4" w:space="0"/>
            </w:tcBorders>
            <w:noWrap w:val="0"/>
            <w:tcMar>
              <w:top w:w="28" w:type="dxa"/>
              <w:right w:w="30" w:type="dxa"/>
            </w:tcMar>
            <w:vAlign w:val="top"/>
          </w:tcPr>
          <w:p w14:paraId="2A2EBE86">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Hedging Positions with Gains of No Less Than </w:t>
            </w:r>
            <w:r>
              <w:rPr>
                <w:rFonts w:hint="default" w:ascii="Times New Roman" w:hAnsi="Times New Roman" w:eastAsia="宋体" w:cs="Times New Roman"/>
                <w:bCs/>
                <w:color w:val="auto"/>
                <w:kern w:val="0"/>
                <w:sz w:val="22"/>
                <w:szCs w:val="22"/>
                <w:lang w:val="en-US" w:eastAsia="zh-CN" w:bidi="ar"/>
              </w:rPr>
              <w:t xml:space="preserve">R1 </w:t>
            </w:r>
            <w:r>
              <w:rPr>
                <w:rFonts w:hint="default" w:ascii="Times New Roman" w:hAnsi="Times New Roman" w:eastAsia="宋体" w:cs="Times New Roman"/>
                <w:color w:val="auto"/>
                <w:kern w:val="0"/>
                <w:sz w:val="22"/>
                <w:szCs w:val="22"/>
                <w:lang w:val="en-US" w:eastAsia="zh-CN" w:bidi="ar"/>
              </w:rPr>
              <w:t>/ Residual Unfilled Orders III</w:t>
            </w:r>
          </w:p>
        </w:tc>
        <w:tc>
          <w:tcPr>
            <w:tcW w:w="925" w:type="pct"/>
            <w:tcBorders>
              <w:top w:val="single" w:color="000000" w:sz="4" w:space="0"/>
              <w:left w:val="nil"/>
              <w:bottom w:val="single" w:color="000000" w:sz="4" w:space="0"/>
              <w:right w:val="single" w:color="000000" w:sz="4" w:space="0"/>
            </w:tcBorders>
            <w:noWrap w:val="0"/>
            <w:tcMar>
              <w:top w:w="28" w:type="dxa"/>
              <w:right w:w="30" w:type="dxa"/>
            </w:tcMar>
            <w:vAlign w:val="top"/>
          </w:tcPr>
          <w:p w14:paraId="72330571">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bCs/>
                <w:color w:val="auto"/>
                <w:kern w:val="0"/>
                <w:sz w:val="22"/>
                <w:szCs w:val="22"/>
                <w:lang w:val="en-US" w:eastAsia="zh-CN" w:bidi="ar"/>
              </w:rPr>
              <w:t>Traders</w:t>
            </w:r>
            <w:r>
              <w:rPr>
                <w:rFonts w:hint="default" w:ascii="Times New Roman" w:hAnsi="Times New Roman" w:eastAsia="宋体" w:cs="Times New Roman"/>
                <w:color w:val="auto"/>
                <w:kern w:val="0"/>
                <w:sz w:val="22"/>
                <w:szCs w:val="22"/>
                <w:lang w:val="en-US" w:eastAsia="zh-CN" w:bidi="ar"/>
              </w:rPr>
              <w:t xml:space="preserve"> placing the Residual Unfilled Orders </w:t>
            </w:r>
          </w:p>
        </w:tc>
        <w:tc>
          <w:tcPr>
            <w:tcW w:w="935" w:type="pct"/>
            <w:tcBorders>
              <w:top w:val="single" w:color="000000" w:sz="4" w:space="0"/>
              <w:left w:val="nil"/>
              <w:bottom w:val="single" w:color="000000" w:sz="4" w:space="0"/>
              <w:right w:val="single" w:color="000000" w:sz="4" w:space="0"/>
            </w:tcBorders>
            <w:noWrap w:val="0"/>
            <w:tcMar>
              <w:top w:w="28" w:type="dxa"/>
              <w:right w:w="30" w:type="dxa"/>
            </w:tcMar>
            <w:vAlign w:val="top"/>
          </w:tcPr>
          <w:p w14:paraId="5D337243">
            <w:pPr>
              <w:keepNext w:val="0"/>
              <w:keepLines w:val="0"/>
              <w:widowControl/>
              <w:suppressLineNumbers w:val="0"/>
              <w:adjustRightInd w:val="0"/>
              <w:snapToGrid w:val="0"/>
              <w:spacing w:before="31" w:beforeLines="10" w:beforeAutospacing="0" w:after="31" w:afterLines="10" w:afterAutospacing="0" w:line="256" w:lineRule="auto"/>
              <w:ind w:left="21" w:leftChars="10" w:right="21" w:rightChars="10"/>
              <w:jc w:val="left"/>
              <w:rPr>
                <w:rFonts w:hint="default" w:ascii="Times New Roman" w:hAnsi="Times New Roman" w:eastAsia="宋体" w:cs="Times New Roman"/>
                <w:kern w:val="0"/>
                <w:sz w:val="22"/>
                <w:szCs w:val="22"/>
              </w:rPr>
            </w:pPr>
            <w:r>
              <w:rPr>
                <w:rFonts w:hint="default" w:ascii="Times New Roman" w:hAnsi="Times New Roman" w:eastAsia="宋体" w:cs="Times New Roman"/>
                <w:color w:val="auto"/>
                <w:kern w:val="0"/>
                <w:sz w:val="22"/>
                <w:szCs w:val="22"/>
                <w:lang w:val="en-US" w:eastAsia="zh-CN" w:bidi="ar"/>
              </w:rPr>
              <w:t xml:space="preserve">Orders not to be filled at all </w:t>
            </w:r>
          </w:p>
        </w:tc>
      </w:tr>
    </w:tbl>
    <w:p w14:paraId="50FA0CF9">
      <w:pPr>
        <w:keepNext w:val="0"/>
        <w:keepLines w:val="0"/>
        <w:widowControl/>
        <w:suppressLineNumbers w:val="0"/>
        <w:adjustRightInd w:val="0"/>
        <w:snapToGrid w:val="0"/>
        <w:spacing w:before="312" w:beforeLines="10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Notes: </w:t>
      </w:r>
    </w:p>
    <w:p w14:paraId="282DE9DA">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1.</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Residual Unfilled Orders I = Unfilled Orders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No Less Than </w:t>
      </w:r>
      <w:r>
        <w:rPr>
          <w:rFonts w:hint="default" w:ascii="Times New Roman" w:hAnsi="Times New Roman" w:eastAsia="宋体" w:cs="Times New Roman"/>
          <w:bCs/>
          <w:color w:val="auto"/>
          <w:kern w:val="2"/>
          <w:sz w:val="22"/>
          <w:szCs w:val="22"/>
          <w:lang w:val="en-US" w:eastAsia="zh-CN" w:bidi="ar"/>
        </w:rPr>
        <w:t>R1</w:t>
      </w:r>
      <w:r>
        <w:rPr>
          <w:rFonts w:hint="default" w:ascii="Times New Roman" w:hAnsi="Times New Roman" w:eastAsia="宋体" w:cs="Times New Roman"/>
          <w:color w:val="auto"/>
          <w:kern w:val="2"/>
          <w:sz w:val="22"/>
          <w:szCs w:val="22"/>
          <w:lang w:val="en-US" w:eastAsia="zh-CN" w:bidi="ar"/>
        </w:rPr>
        <w:t xml:space="preserve">; </w:t>
      </w:r>
    </w:p>
    <w:p w14:paraId="35AA9157">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2.</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Residual Unfilled Orders II = Residual Unfilled Orders I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No Less Than </w:t>
      </w:r>
      <w:r>
        <w:rPr>
          <w:rFonts w:hint="default" w:ascii="Times New Roman" w:hAnsi="Times New Roman" w:eastAsia="宋体" w:cs="Times New Roman"/>
          <w:bCs/>
          <w:color w:val="auto"/>
          <w:kern w:val="2"/>
          <w:sz w:val="22"/>
          <w:szCs w:val="22"/>
          <w:lang w:val="en-US" w:eastAsia="zh-CN" w:bidi="ar"/>
        </w:rPr>
        <w:t>R2</w:t>
      </w:r>
      <w:r>
        <w:rPr>
          <w:rFonts w:hint="default" w:ascii="Times New Roman" w:hAnsi="Times New Roman" w:eastAsia="宋体" w:cs="Times New Roman"/>
          <w:color w:val="auto"/>
          <w:kern w:val="2"/>
          <w:sz w:val="22"/>
          <w:szCs w:val="22"/>
          <w:lang w:val="en-US" w:eastAsia="zh-CN" w:bidi="ar"/>
        </w:rPr>
        <w:t xml:space="preserve">; </w:t>
      </w:r>
    </w:p>
    <w:p w14:paraId="630FAE4A">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3.</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Residual Unfilled Orders III = Residual Unfilled Orders II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with Gains of Less Than </w:t>
      </w:r>
      <w:r>
        <w:rPr>
          <w:rFonts w:hint="default" w:ascii="Times New Roman" w:hAnsi="Times New Roman" w:eastAsia="宋体" w:cs="Times New Roman"/>
          <w:bCs/>
          <w:color w:val="auto"/>
          <w:kern w:val="2"/>
          <w:sz w:val="22"/>
          <w:szCs w:val="22"/>
          <w:lang w:val="en-US" w:eastAsia="zh-CN" w:bidi="ar"/>
        </w:rPr>
        <w:t>R2</w:t>
      </w:r>
      <w:r>
        <w:rPr>
          <w:rFonts w:hint="default" w:ascii="Times New Roman" w:hAnsi="Times New Roman" w:eastAsia="宋体" w:cs="Times New Roman"/>
          <w:color w:val="auto"/>
          <w:kern w:val="2"/>
          <w:sz w:val="22"/>
          <w:szCs w:val="22"/>
          <w:lang w:val="en-US" w:eastAsia="zh-CN" w:bidi="ar"/>
        </w:rPr>
        <w:t xml:space="preserve">; </w:t>
      </w:r>
    </w:p>
    <w:p w14:paraId="13FABA50">
      <w:pPr>
        <w:keepNext w:val="0"/>
        <w:keepLines w:val="0"/>
        <w:widowControl/>
        <w:suppressLineNumbers w:val="0"/>
        <w:adjustRightInd w:val="0"/>
        <w:snapToGrid w:val="0"/>
        <w:spacing w:before="0" w:beforeAutospacing="0" w:after="312" w:afterLines="100" w:afterAutospacing="0" w:line="256" w:lineRule="auto"/>
        <w:ind w:left="0" w:right="96"/>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4.</w:t>
      </w:r>
      <w:r>
        <w:rPr>
          <w:rFonts w:hint="eastAsia"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color w:val="auto"/>
          <w:kern w:val="2"/>
          <w:sz w:val="22"/>
          <w:szCs w:val="22"/>
          <w:lang w:val="en-US" w:eastAsia="zh-CN" w:bidi="ar"/>
        </w:rPr>
        <w:t xml:space="preserve"> Positions or the Hedging Positions refer to open positions of the </w:t>
      </w:r>
      <w:r>
        <w:rPr>
          <w:rFonts w:hint="default" w:ascii="Times New Roman" w:hAnsi="Times New Roman" w:eastAsia="宋体" w:cs="Times New Roman"/>
          <w:bCs/>
          <w:color w:val="auto"/>
          <w:kern w:val="2"/>
          <w:sz w:val="22"/>
          <w:szCs w:val="22"/>
          <w:lang w:val="en-US" w:eastAsia="zh-CN" w:bidi="ar"/>
        </w:rPr>
        <w:t>Traders</w:t>
      </w:r>
      <w:r>
        <w:rPr>
          <w:rFonts w:hint="default" w:ascii="Times New Roman" w:hAnsi="Times New Roman" w:eastAsia="宋体" w:cs="Times New Roman"/>
          <w:color w:val="auto"/>
          <w:kern w:val="2"/>
          <w:sz w:val="22"/>
          <w:szCs w:val="22"/>
          <w:lang w:val="en-US" w:eastAsia="zh-CN" w:bidi="ar"/>
        </w:rPr>
        <w:t xml:space="preserve"> who have incurred gains on positions eligible to fill the unfilled orders.</w:t>
      </w:r>
    </w:p>
    <w:p w14:paraId="4387C35C"/>
    <w:p w14:paraId="3DAF8263">
      <w:pPr>
        <w:rPr>
          <w:rFonts w:hint="default" w:ascii="Times New Roman" w:hAnsi="Times New Roman"/>
        </w:rPr>
      </w:pPr>
    </w:p>
    <w:sectPr>
      <w:footerReference r:id="rId4" w:type="default"/>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0000AFF" w:usb1="4000247B" w:usb2="00000001" w:usb3="00000000" w:csb0="200001BF" w:csb1="00000000"/>
  </w:font>
  <w:font w:name="仿宋_GB2312">
    <w:altName w:val="方正仿宋_GBK"/>
    <w:panose1 w:val="00000000000000000000"/>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BatangChe">
    <w:altName w:val="Apple SD Gothic Neo"/>
    <w:panose1 w:val="02030609000101010101"/>
    <w:charset w:val="00"/>
    <w:family w:val="modern"/>
    <w:pitch w:val="default"/>
    <w:sig w:usb0="00000000" w:usb1="00000000" w:usb2="00000030" w:usb3="00000000" w:csb0="0008009F" w:csb1="00000000"/>
  </w:font>
  <w:font w:name="Apple SD Gothic Neo">
    <w:panose1 w:val="02000300000000000000"/>
    <w:charset w:val="81"/>
    <w:family w:val="auto"/>
    <w:pitch w:val="default"/>
    <w:sig w:usb0="00000203" w:usb1="21D12C10" w:usb2="00000010" w:usb3="00000000" w:csb0="00280005" w:csb1="00000000"/>
  </w:font>
  <w:font w:name="FZDaBiaoSong-B06S">
    <w:panose1 w:val="02000000000000000000"/>
    <w:charset w:val="86"/>
    <w:family w:val="roman"/>
    <w:pitch w:val="default"/>
    <w:sig w:usb0="A00002BF" w:usb1="184F6CFA" w:usb2="00000012" w:usb3="00000000" w:csb0="00040001" w:csb1="00000000"/>
  </w:font>
  <w:font w:name="Tahoma">
    <w:panose1 w:val="020B0804030504040204"/>
    <w:charset w:val="00"/>
    <w:family w:val="swiss"/>
    <w:pitch w:val="default"/>
    <w:sig w:usb0="E1002AFF" w:usb1="C000605B" w:usb2="00000029" w:usb3="00000000" w:csb0="200101FF" w:csb1="20280000"/>
  </w:font>
  <w:font w:name="Batang">
    <w:altName w:val="Apple SD Gothic Neo"/>
    <w:panose1 w:val="02030600000101010101"/>
    <w:charset w:val="00"/>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Futura Hv">
    <w:altName w:val="苹方-简"/>
    <w:panose1 w:val="00000000000000000000"/>
    <w:charset w:val="00"/>
    <w:family w:val="swiss"/>
    <w:pitch w:val="default"/>
    <w:sig w:usb0="00000000" w:usb1="00000000" w:usb2="00000000" w:usb3="00000000" w:csb0="0000009F" w:csb1="00000000"/>
  </w:font>
  <w:font w:name="苹方-简">
    <w:panose1 w:val="020B0400000000000000"/>
    <w:charset w:val="86"/>
    <w:family w:val="auto"/>
    <w:pitch w:val="default"/>
    <w:sig w:usb0="A00002FF" w:usb1="7ACFFDFB" w:usb2="00000017" w:usb3="00000000" w:csb0="00040001" w:csb1="00000000"/>
  </w:font>
  <w:font w:name="Futura Bk">
    <w:altName w:val="苹方-简"/>
    <w:panose1 w:val="00000000000000000000"/>
    <w:charset w:val="00"/>
    <w:family w:val="swiss"/>
    <w:pitch w:val="default"/>
    <w:sig w:usb0="00000000" w:usb1="00000000" w:usb2="00000000" w:usb3="00000000" w:csb0="0000009F" w:csb1="00000000"/>
  </w:font>
  <w:font w:name="方正仿宋简体">
    <w:panose1 w:val="02000000000000000000"/>
    <w:charset w:val="86"/>
    <w:family w:val="auto"/>
    <w:pitch w:val="default"/>
    <w:sig w:usb0="A00002BF" w:usb1="184F6CFA" w:usb2="00000012" w:usb3="00000000" w:csb0="00040001" w:csb1="00000000"/>
  </w:font>
  <w:font w:name="Cambria">
    <w:panose1 w:val="020405030504060A0204"/>
    <w:charset w:val="00"/>
    <w:family w:val="roman"/>
    <w:pitch w:val="default"/>
    <w:sig w:usb0="E00006FF" w:usb1="4000045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大标宋简体">
    <w:panose1 w:val="02000000000000000000"/>
    <w:charset w:val="86"/>
    <w:family w:val="auto"/>
    <w:pitch w:val="default"/>
    <w:sig w:usb0="A00002BF" w:usb1="184F6CFA" w:usb2="00000012" w:usb3="00000000" w:csb0="00040001" w:csb1="00000000"/>
  </w:font>
  <w:font w:name="MyFontName">
    <w:altName w:val="苹方-简"/>
    <w:panose1 w:val="00000000000000000000"/>
    <w:charset w:val="00"/>
    <w:family w:val="auto"/>
    <w:pitch w:val="default"/>
    <w:sig w:usb0="00000000" w:usb1="00000000" w:usb2="00000000" w:usb3="00000000" w:csb0="00040001" w:csb1="00000000"/>
  </w:font>
  <w:font w:name="MyFontNameB">
    <w:altName w:val="苹方-简"/>
    <w:panose1 w:val="00000000000000000000"/>
    <w:charset w:val="00"/>
    <w:family w:val="auto"/>
    <w:pitch w:val="default"/>
    <w:sig w:usb0="00000000" w:usb1="00000000" w:usb2="00000000" w:usb3="00000000" w:csb0="00040001" w:csb1="00000000"/>
  </w:font>
  <w:font w:name="Times New Roman Bold">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方正楷体简体">
    <w:panose1 w:val="02000000000000000000"/>
    <w:charset w:val="86"/>
    <w:family w:val="auto"/>
    <w:pitch w:val="default"/>
    <w:sig w:usb0="00000001" w:usb1="08000000" w:usb2="00000000" w:usb3="00000000" w:csb0="00040000" w:csb1="00000000"/>
  </w:font>
  <w:font w:name="微软雅黑">
    <w:panose1 w:val="020B0703020204020201"/>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1EA1">
    <w:pPr>
      <w:pStyle w:val="28"/>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B06010">
                          <w:pPr>
                            <w:pStyle w:val="28"/>
                            <w:jc w:val="center"/>
                            <w:rPr>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w:t>
                          </w:r>
                          <w:r>
                            <w:rPr>
                              <w:rFonts w:ascii="Times New Roman" w:hAnsi="Times New Roman"/>
                              <w:sz w:val="18"/>
                              <w:szCs w:val="18"/>
                            </w:rPr>
                            <w:t xml:space="preserve"> 55 -</w:t>
                          </w:r>
                          <w:r>
                            <w:rPr>
                              <w:rFonts w:ascii="Times New Roman" w:hAnsi="Times New Roman"/>
                              <w:sz w:val="18"/>
                              <w:szCs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47B06010">
                    <w:pPr>
                      <w:pStyle w:val="28"/>
                      <w:jc w:val="center"/>
                      <w:rPr>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w:t>
                    </w:r>
                    <w:r>
                      <w:rPr>
                        <w:rFonts w:ascii="Times New Roman" w:hAnsi="Times New Roman"/>
                        <w:sz w:val="18"/>
                        <w:szCs w:val="18"/>
                      </w:rPr>
                      <w:t xml:space="preserve"> 55 -</w:t>
                    </w:r>
                    <w:r>
                      <w:rPr>
                        <w:rFonts w:ascii="Times New Roman" w:hAnsi="Times New Roman"/>
                        <w:sz w:val="18"/>
                        <w:szCs w:val="18"/>
                      </w:rPr>
                      <w:fldChar w:fldCharType="end"/>
                    </w:r>
                  </w:p>
                </w:txbxContent>
              </v:textbox>
            </v:shape>
          </w:pict>
        </mc:Fallback>
      </mc:AlternateContent>
    </w:r>
  </w:p>
  <w:p w14:paraId="59766371">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8C6B">
    <w:pPr>
      <w:pStyle w:val="28"/>
      <w:jc w:val="center"/>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E96C1">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DE96C1">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v:textbox>
            </v:shape>
          </w:pict>
        </mc:Fallback>
      </mc:AlternateContent>
    </w:r>
  </w:p>
  <w:p w14:paraId="16758571">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86C05"/>
    <w:multiLevelType w:val="multilevel"/>
    <w:tmpl w:val="28F86C05"/>
    <w:lvl w:ilvl="0" w:tentative="0">
      <w:start w:val="1"/>
      <w:numFmt w:val="decimal"/>
      <w:pStyle w:val="202"/>
      <w:lvlText w:val="%1."/>
      <w:lvlJc w:val="left"/>
      <w:pPr>
        <w:tabs>
          <w:tab w:val="left" w:pos="1050"/>
        </w:tabs>
        <w:ind w:left="1050" w:hanging="420"/>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36411784"/>
    <w:multiLevelType w:val="multilevel"/>
    <w:tmpl w:val="36411784"/>
    <w:lvl w:ilvl="0" w:tentative="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tentative="0">
      <w:start w:val="1"/>
      <w:numFmt w:val="decimal"/>
      <w:pStyle w:val="42"/>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tentative="0">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tentative="0">
      <w:start w:val="1"/>
      <w:numFmt w:val="lowerRoman"/>
      <w:pStyle w:val="34"/>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tentative="0">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tentative="0">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tentative="0">
      <w:start w:val="1"/>
      <w:numFmt w:val="lowerLetter"/>
      <w:pStyle w:val="3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tentative="0">
      <w:start w:val="1"/>
      <w:numFmt w:val="lowerRoman"/>
      <w:pStyle w:val="38"/>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tentative="0">
      <w:start w:val="1"/>
      <w:numFmt w:val="upperLetter"/>
      <w:pStyle w:val="22"/>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CFF1B92"/>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5FEA24"/>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DF3AE0"/>
    <w:rsid w:val="3FE31A6A"/>
    <w:rsid w:val="3FEF16B4"/>
    <w:rsid w:val="3FF16E80"/>
    <w:rsid w:val="3FF7B988"/>
    <w:rsid w:val="3FFD08B9"/>
    <w:rsid w:val="3FFE8CD5"/>
    <w:rsid w:val="3FFFA895"/>
    <w:rsid w:val="3FFFCFBD"/>
    <w:rsid w:val="3FFFEDAC"/>
    <w:rsid w:val="43774C1B"/>
    <w:rsid w:val="43F7FFC6"/>
    <w:rsid w:val="47F1FAD9"/>
    <w:rsid w:val="4BBFC4EF"/>
    <w:rsid w:val="4BCEE897"/>
    <w:rsid w:val="4BF90028"/>
    <w:rsid w:val="4DFDCD77"/>
    <w:rsid w:val="4ED3AD53"/>
    <w:rsid w:val="4EF61081"/>
    <w:rsid w:val="4EFA8D00"/>
    <w:rsid w:val="4EFC2758"/>
    <w:rsid w:val="4F56E4FC"/>
    <w:rsid w:val="4F592E67"/>
    <w:rsid w:val="4F5EE6E7"/>
    <w:rsid w:val="4FDC65EB"/>
    <w:rsid w:val="4FDEB119"/>
    <w:rsid w:val="4FF98E4E"/>
    <w:rsid w:val="4FFECE85"/>
    <w:rsid w:val="4FFF6705"/>
    <w:rsid w:val="51F38B99"/>
    <w:rsid w:val="533FDFE8"/>
    <w:rsid w:val="559A2899"/>
    <w:rsid w:val="56F7810C"/>
    <w:rsid w:val="574FDF6E"/>
    <w:rsid w:val="57BFC24D"/>
    <w:rsid w:val="57C14F29"/>
    <w:rsid w:val="57D862E3"/>
    <w:rsid w:val="57E732D1"/>
    <w:rsid w:val="57EF5BF5"/>
    <w:rsid w:val="57EFEF07"/>
    <w:rsid w:val="57FC1CB9"/>
    <w:rsid w:val="57FFCD71"/>
    <w:rsid w:val="59739AA3"/>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E59BBC"/>
    <w:rsid w:val="6BFA45AA"/>
    <w:rsid w:val="6BFB55BA"/>
    <w:rsid w:val="6C5FB67B"/>
    <w:rsid w:val="6CBA1E38"/>
    <w:rsid w:val="6CDCB66D"/>
    <w:rsid w:val="6D5D43F5"/>
    <w:rsid w:val="6D7D8690"/>
    <w:rsid w:val="6DDD443D"/>
    <w:rsid w:val="6DFBE3D6"/>
    <w:rsid w:val="6DFC1B8B"/>
    <w:rsid w:val="6E5BFF48"/>
    <w:rsid w:val="6ECFDEE4"/>
    <w:rsid w:val="6F7729ED"/>
    <w:rsid w:val="6F7B38C7"/>
    <w:rsid w:val="6FAC9061"/>
    <w:rsid w:val="6FB77FD8"/>
    <w:rsid w:val="6FB787F8"/>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EEBEC5"/>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67AD2"/>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3FC4"/>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 w:val="7FFFFD88"/>
    <w:rsid w:val="836B9514"/>
    <w:rsid w:val="83BB2586"/>
    <w:rsid w:val="86FE1F2D"/>
    <w:rsid w:val="88283E59"/>
    <w:rsid w:val="8B6FFD7C"/>
    <w:rsid w:val="8BFBDB07"/>
    <w:rsid w:val="8C6D7E77"/>
    <w:rsid w:val="8FBF9253"/>
    <w:rsid w:val="8FFD0104"/>
    <w:rsid w:val="95FDC27E"/>
    <w:rsid w:val="97A39A10"/>
    <w:rsid w:val="9ADE14E9"/>
    <w:rsid w:val="9B7DE1E3"/>
    <w:rsid w:val="9B9422C3"/>
    <w:rsid w:val="9CFE2CF1"/>
    <w:rsid w:val="9DFBF875"/>
    <w:rsid w:val="9DFEF2AF"/>
    <w:rsid w:val="9EF5BE46"/>
    <w:rsid w:val="9EFB9771"/>
    <w:rsid w:val="9EFFAC66"/>
    <w:rsid w:val="9FB5BB85"/>
    <w:rsid w:val="9FBF97B2"/>
    <w:rsid w:val="9FEE7505"/>
    <w:rsid w:val="9FFBF769"/>
    <w:rsid w:val="9FFFD7AD"/>
    <w:rsid w:val="A3A7DE26"/>
    <w:rsid w:val="A3FFFD19"/>
    <w:rsid w:val="A75BA375"/>
    <w:rsid w:val="A7DA1AF8"/>
    <w:rsid w:val="A7EEC95B"/>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DF409B"/>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48897"/>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8E473B"/>
    <w:rsid w:val="DF9F6E7E"/>
    <w:rsid w:val="DFB26A5F"/>
    <w:rsid w:val="DFB9ED6A"/>
    <w:rsid w:val="DFCD49DB"/>
    <w:rsid w:val="DFD715BE"/>
    <w:rsid w:val="DFF3DA82"/>
    <w:rsid w:val="DFF74E2A"/>
    <w:rsid w:val="DFFB3F36"/>
    <w:rsid w:val="DFFD089F"/>
    <w:rsid w:val="DFFEBD0A"/>
    <w:rsid w:val="DFFF1FC4"/>
    <w:rsid w:val="DFFF49AD"/>
    <w:rsid w:val="DFFFBA08"/>
    <w:rsid w:val="DFFFD6B1"/>
    <w:rsid w:val="E1D5A4C4"/>
    <w:rsid w:val="E37F363D"/>
    <w:rsid w:val="E3BFD4FB"/>
    <w:rsid w:val="E63DE22C"/>
    <w:rsid w:val="E6BF156E"/>
    <w:rsid w:val="E6BFF841"/>
    <w:rsid w:val="E6EA5F6F"/>
    <w:rsid w:val="E6F5F6CF"/>
    <w:rsid w:val="E7B43BA0"/>
    <w:rsid w:val="E7BF13CA"/>
    <w:rsid w:val="E7DB6619"/>
    <w:rsid w:val="E7EED74E"/>
    <w:rsid w:val="E7EFDD99"/>
    <w:rsid w:val="E7FDD921"/>
    <w:rsid w:val="E8BBA7B2"/>
    <w:rsid w:val="E97364A6"/>
    <w:rsid w:val="EA3FC504"/>
    <w:rsid w:val="EADE449F"/>
    <w:rsid w:val="EAFE92A5"/>
    <w:rsid w:val="EAFFC536"/>
    <w:rsid w:val="EB3781B2"/>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EC749F"/>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1FC676"/>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9FAEDF"/>
    <w:rsid w:val="FFAD5A55"/>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5DE0"/>
    <w:rsid w:val="FFFF6B9A"/>
    <w:rsid w:val="FFFF7708"/>
    <w:rsid w:val="FFFF9693"/>
    <w:rsid w:val="FFFFFF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tabs>
        <w:tab w:val="left" w:pos="720"/>
      </w:tabs>
      <w:spacing w:before="260" w:after="260" w:line="416" w:lineRule="auto"/>
      <w:ind w:left="720" w:hanging="720"/>
      <w:outlineLvl w:val="2"/>
    </w:pPr>
    <w:rPr>
      <w:b/>
      <w:bCs/>
      <w:kern w:val="0"/>
      <w:sz w:val="32"/>
      <w:szCs w:val="32"/>
    </w:rPr>
  </w:style>
  <w:style w:type="paragraph" w:styleId="5">
    <w:name w:val="heading 4"/>
    <w:basedOn w:val="1"/>
    <w:next w:val="1"/>
    <w:link w:val="59"/>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5"/>
    <w:basedOn w:val="1"/>
    <w:next w:val="1"/>
    <w:link w:val="60"/>
    <w:qFormat/>
    <w:uiPriority w:val="0"/>
    <w:pPr>
      <w:keepNext/>
      <w:keepLines/>
      <w:tabs>
        <w:tab w:val="left" w:pos="1008"/>
      </w:tabs>
      <w:spacing w:before="280" w:after="290" w:line="376" w:lineRule="auto"/>
      <w:ind w:left="1008" w:hanging="1008"/>
      <w:outlineLvl w:val="4"/>
    </w:pPr>
    <w:rPr>
      <w:b/>
      <w:bCs/>
      <w:kern w:val="0"/>
      <w:sz w:val="28"/>
      <w:szCs w:val="28"/>
    </w:rPr>
  </w:style>
  <w:style w:type="paragraph" w:styleId="7">
    <w:name w:val="heading 6"/>
    <w:basedOn w:val="1"/>
    <w:next w:val="1"/>
    <w:link w:val="61"/>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8">
    <w:name w:val="heading 7"/>
    <w:basedOn w:val="1"/>
    <w:next w:val="1"/>
    <w:link w:val="62"/>
    <w:qFormat/>
    <w:uiPriority w:val="0"/>
    <w:pPr>
      <w:keepNext/>
      <w:keepLines/>
      <w:tabs>
        <w:tab w:val="left" w:pos="1896"/>
      </w:tabs>
      <w:spacing w:before="240" w:after="64" w:line="320" w:lineRule="auto"/>
      <w:ind w:left="1896" w:hanging="1296"/>
      <w:outlineLvl w:val="6"/>
    </w:pPr>
    <w:rPr>
      <w:b/>
      <w:bCs/>
      <w:kern w:val="0"/>
      <w:sz w:val="24"/>
      <w:szCs w:val="24"/>
    </w:rPr>
  </w:style>
  <w:style w:type="paragraph" w:styleId="9">
    <w:name w:val="heading 8"/>
    <w:basedOn w:val="1"/>
    <w:next w:val="1"/>
    <w:link w:val="63"/>
    <w:qFormat/>
    <w:uiPriority w:val="0"/>
    <w:pPr>
      <w:keepNext/>
      <w:keepLines/>
      <w:tabs>
        <w:tab w:val="left" w:pos="1440"/>
      </w:tabs>
      <w:spacing w:before="240" w:after="64" w:line="320" w:lineRule="auto"/>
      <w:ind w:left="1440" w:hanging="1440"/>
      <w:outlineLvl w:val="7"/>
    </w:pPr>
    <w:rPr>
      <w:rFonts w:ascii="黑体" w:hAnsi="Arial" w:eastAsia="黑体"/>
      <w:kern w:val="24"/>
      <w:sz w:val="24"/>
      <w:szCs w:val="24"/>
    </w:rPr>
  </w:style>
  <w:style w:type="paragraph" w:styleId="10">
    <w:name w:val="heading 9"/>
    <w:basedOn w:val="1"/>
    <w:next w:val="1"/>
    <w:link w:val="64"/>
    <w:qFormat/>
    <w:uiPriority w:val="0"/>
    <w:pPr>
      <w:keepNext/>
      <w:keepLines/>
      <w:tabs>
        <w:tab w:val="left" w:pos="1584"/>
      </w:tabs>
      <w:autoSpaceDE w:val="0"/>
      <w:autoSpaceDN w:val="0"/>
      <w:adjustRightInd w:val="0"/>
      <w:spacing w:before="240" w:after="64" w:line="320" w:lineRule="auto"/>
      <w:ind w:left="1584" w:hanging="1584"/>
      <w:textAlignment w:val="baseline"/>
      <w:outlineLvl w:val="8"/>
    </w:pPr>
    <w:rPr>
      <w:rFonts w:ascii="Arial" w:hAnsi="Arial" w:eastAsia="黑体"/>
      <w:kern w:val="0"/>
      <w:sz w:val="24"/>
      <w:szCs w:val="21"/>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utoSpaceDE w:val="0"/>
      <w:autoSpaceDN w:val="0"/>
      <w:adjustRightInd w:val="0"/>
      <w:ind w:left="100" w:leftChars="400" w:hanging="200" w:hangingChars="200"/>
      <w:textAlignment w:val="baseline"/>
    </w:pPr>
    <w:rPr>
      <w:kern w:val="0"/>
      <w:sz w:val="24"/>
    </w:rPr>
  </w:style>
  <w:style w:type="paragraph" w:styleId="12">
    <w:name w:val="toc 7"/>
    <w:basedOn w:val="1"/>
    <w:next w:val="1"/>
    <w:semiHidden/>
    <w:qFormat/>
    <w:uiPriority w:val="0"/>
    <w:pPr>
      <w:ind w:left="1260"/>
      <w:jc w:val="left"/>
    </w:pPr>
    <w:rPr>
      <w:sz w:val="18"/>
      <w:szCs w:val="18"/>
    </w:rPr>
  </w:style>
  <w:style w:type="paragraph" w:styleId="13">
    <w:name w:val="Normal Indent"/>
    <w:basedOn w:val="1"/>
    <w:link w:val="65"/>
    <w:qFormat/>
    <w:uiPriority w:val="0"/>
    <w:pPr>
      <w:ind w:firstLine="420" w:firstLineChars="200"/>
    </w:pPr>
    <w:rPr>
      <w:kern w:val="0"/>
      <w:sz w:val="20"/>
      <w:szCs w:val="24"/>
    </w:rPr>
  </w:style>
  <w:style w:type="paragraph" w:styleId="14">
    <w:name w:val="caption"/>
    <w:basedOn w:val="1"/>
    <w:next w:val="1"/>
    <w:qFormat/>
    <w:uiPriority w:val="0"/>
    <w:pPr>
      <w:autoSpaceDE w:val="0"/>
      <w:autoSpaceDN w:val="0"/>
      <w:adjustRightInd w:val="0"/>
      <w:textAlignment w:val="baseline"/>
    </w:pPr>
    <w:rPr>
      <w:rFonts w:ascii="Arial" w:hAnsi="Arial" w:eastAsia="黑体" w:cs="Arial"/>
      <w:kern w:val="0"/>
      <w:sz w:val="20"/>
    </w:rPr>
  </w:style>
  <w:style w:type="paragraph" w:styleId="15">
    <w:name w:val="List Bullet"/>
    <w:basedOn w:val="1"/>
    <w:qFormat/>
    <w:uiPriority w:val="0"/>
    <w:pPr>
      <w:tabs>
        <w:tab w:val="left" w:pos="795"/>
        <w:tab w:val="left" w:pos="1981"/>
      </w:tabs>
      <w:ind w:left="1981" w:hanging="200" w:hangingChars="200"/>
    </w:pPr>
    <w:rPr>
      <w:szCs w:val="21"/>
    </w:rPr>
  </w:style>
  <w:style w:type="paragraph" w:styleId="16">
    <w:name w:val="Document Map"/>
    <w:basedOn w:val="1"/>
    <w:link w:val="66"/>
    <w:semiHidden/>
    <w:qFormat/>
    <w:uiPriority w:val="0"/>
    <w:pPr>
      <w:shd w:val="clear" w:color="auto" w:fill="000080"/>
    </w:pPr>
    <w:rPr>
      <w:kern w:val="0"/>
      <w:sz w:val="20"/>
      <w:szCs w:val="21"/>
    </w:rPr>
  </w:style>
  <w:style w:type="paragraph" w:styleId="17">
    <w:name w:val="annotation text"/>
    <w:basedOn w:val="1"/>
    <w:link w:val="67"/>
    <w:unhideWhenUsed/>
    <w:qFormat/>
    <w:uiPriority w:val="99"/>
    <w:pPr>
      <w:jc w:val="left"/>
    </w:pPr>
  </w:style>
  <w:style w:type="paragraph" w:styleId="18">
    <w:name w:val="Body Text"/>
    <w:basedOn w:val="1"/>
    <w:link w:val="68"/>
    <w:qFormat/>
    <w:uiPriority w:val="0"/>
    <w:pPr>
      <w:jc w:val="center"/>
    </w:pPr>
    <w:rPr>
      <w:kern w:val="0"/>
      <w:sz w:val="20"/>
      <w:szCs w:val="21"/>
    </w:rPr>
  </w:style>
  <w:style w:type="paragraph" w:styleId="19">
    <w:name w:val="Body Text Indent"/>
    <w:basedOn w:val="1"/>
    <w:link w:val="69"/>
    <w:qFormat/>
    <w:uiPriority w:val="0"/>
    <w:pPr>
      <w:spacing w:after="120"/>
      <w:ind w:left="420" w:leftChars="200"/>
    </w:pPr>
    <w:rPr>
      <w:kern w:val="0"/>
      <w:sz w:val="20"/>
      <w:szCs w:val="21"/>
    </w:rPr>
  </w:style>
  <w:style w:type="paragraph" w:styleId="20">
    <w:name w:val="List 2"/>
    <w:basedOn w:val="1"/>
    <w:qFormat/>
    <w:uiPriority w:val="0"/>
    <w:pPr>
      <w:autoSpaceDE w:val="0"/>
      <w:autoSpaceDN w:val="0"/>
      <w:adjustRightInd w:val="0"/>
      <w:ind w:left="100" w:leftChars="200" w:hanging="200" w:hangingChars="200"/>
      <w:textAlignment w:val="baseline"/>
    </w:pPr>
    <w:rPr>
      <w:kern w:val="0"/>
      <w:sz w:val="24"/>
    </w:rPr>
  </w:style>
  <w:style w:type="paragraph" w:styleId="21">
    <w:name w:val="toc 5"/>
    <w:basedOn w:val="1"/>
    <w:next w:val="1"/>
    <w:semiHidden/>
    <w:qFormat/>
    <w:uiPriority w:val="0"/>
    <w:pPr>
      <w:ind w:left="840"/>
      <w:jc w:val="left"/>
    </w:pPr>
    <w:rPr>
      <w:sz w:val="18"/>
      <w:szCs w:val="18"/>
    </w:rPr>
  </w:style>
  <w:style w:type="paragraph" w:styleId="22">
    <w:name w:val="toc 3"/>
    <w:basedOn w:val="1"/>
    <w:next w:val="1"/>
    <w:semiHidden/>
    <w:qFormat/>
    <w:uiPriority w:val="0"/>
    <w:pPr>
      <w:numPr>
        <w:ilvl w:val="8"/>
        <w:numId w:val="1"/>
      </w:numPr>
      <w:tabs>
        <w:tab w:val="right" w:leader="dot" w:pos="8296"/>
        <w:tab w:val="clear" w:pos="2880"/>
      </w:tabs>
      <w:spacing w:line="500" w:lineRule="exact"/>
      <w:ind w:left="0" w:firstLine="0"/>
      <w:jc w:val="left"/>
    </w:pPr>
    <w:rPr>
      <w:i/>
      <w:iCs/>
      <w:sz w:val="20"/>
    </w:rPr>
  </w:style>
  <w:style w:type="paragraph" w:styleId="23">
    <w:name w:val="Plain Text"/>
    <w:basedOn w:val="1"/>
    <w:link w:val="70"/>
    <w:qFormat/>
    <w:uiPriority w:val="0"/>
    <w:pPr>
      <w:autoSpaceDE w:val="0"/>
      <w:autoSpaceDN w:val="0"/>
      <w:adjustRightInd w:val="0"/>
    </w:pPr>
    <w:rPr>
      <w:rFonts w:ascii="宋体"/>
      <w:kern w:val="0"/>
      <w:sz w:val="20"/>
      <w:szCs w:val="21"/>
    </w:rPr>
  </w:style>
  <w:style w:type="paragraph" w:styleId="24">
    <w:name w:val="toc 8"/>
    <w:basedOn w:val="1"/>
    <w:next w:val="1"/>
    <w:semiHidden/>
    <w:qFormat/>
    <w:uiPriority w:val="0"/>
    <w:pPr>
      <w:ind w:left="1470"/>
      <w:jc w:val="left"/>
    </w:pPr>
    <w:rPr>
      <w:sz w:val="18"/>
      <w:szCs w:val="18"/>
    </w:rPr>
  </w:style>
  <w:style w:type="paragraph" w:styleId="25">
    <w:name w:val="Date"/>
    <w:basedOn w:val="1"/>
    <w:next w:val="1"/>
    <w:link w:val="71"/>
    <w:qFormat/>
    <w:uiPriority w:val="0"/>
    <w:pPr>
      <w:ind w:left="100" w:leftChars="2500"/>
    </w:pPr>
    <w:rPr>
      <w:kern w:val="0"/>
      <w:sz w:val="20"/>
      <w:szCs w:val="24"/>
    </w:rPr>
  </w:style>
  <w:style w:type="paragraph" w:styleId="26">
    <w:name w:val="Body Text Indent 2"/>
    <w:basedOn w:val="1"/>
    <w:link w:val="72"/>
    <w:qFormat/>
    <w:uiPriority w:val="0"/>
    <w:pPr>
      <w:spacing w:after="120" w:line="480" w:lineRule="auto"/>
      <w:ind w:left="420" w:leftChars="200"/>
    </w:pPr>
    <w:rPr>
      <w:kern w:val="0"/>
      <w:sz w:val="20"/>
      <w:szCs w:val="21"/>
    </w:rPr>
  </w:style>
  <w:style w:type="paragraph" w:styleId="27">
    <w:name w:val="Balloon Text"/>
    <w:basedOn w:val="1"/>
    <w:link w:val="73"/>
    <w:unhideWhenUsed/>
    <w:qFormat/>
    <w:uiPriority w:val="99"/>
    <w:rPr>
      <w:kern w:val="0"/>
      <w:sz w:val="18"/>
      <w:szCs w:val="18"/>
    </w:rPr>
  </w:style>
  <w:style w:type="paragraph" w:styleId="28">
    <w:name w:val="footer"/>
    <w:basedOn w:val="1"/>
    <w:link w:val="74"/>
    <w:unhideWhenUsed/>
    <w:qFormat/>
    <w:uiPriority w:val="99"/>
    <w:pPr>
      <w:tabs>
        <w:tab w:val="center" w:pos="4153"/>
        <w:tab w:val="right" w:pos="8306"/>
      </w:tabs>
      <w:snapToGrid w:val="0"/>
      <w:jc w:val="left"/>
    </w:pPr>
    <w:rPr>
      <w:kern w:val="0"/>
      <w:sz w:val="18"/>
      <w:szCs w:val="18"/>
    </w:rPr>
  </w:style>
  <w:style w:type="paragraph" w:styleId="29">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pPr>
      <w:numPr>
        <w:ilvl w:val="6"/>
        <w:numId w:val="1"/>
      </w:numPr>
      <w:tabs>
        <w:tab w:val="right" w:leader="dot" w:pos="8302"/>
        <w:tab w:val="clear" w:pos="1440"/>
      </w:tabs>
      <w:spacing w:line="500" w:lineRule="exact"/>
      <w:ind w:left="0" w:firstLine="0"/>
      <w:jc w:val="left"/>
    </w:pPr>
    <w:rPr>
      <w:rFonts w:eastAsia="仿宋_GB2312"/>
      <w:bCs/>
      <w:caps/>
      <w:sz w:val="28"/>
      <w:szCs w:val="28"/>
    </w:rPr>
  </w:style>
  <w:style w:type="paragraph" w:styleId="31">
    <w:name w:val="toc 4"/>
    <w:basedOn w:val="1"/>
    <w:next w:val="1"/>
    <w:semiHidden/>
    <w:qFormat/>
    <w:uiPriority w:val="0"/>
    <w:pPr>
      <w:ind w:left="630"/>
      <w:jc w:val="left"/>
    </w:pPr>
    <w:rPr>
      <w:sz w:val="18"/>
      <w:szCs w:val="18"/>
    </w:rPr>
  </w:style>
  <w:style w:type="paragraph" w:styleId="32">
    <w:name w:val="Subtitle"/>
    <w:basedOn w:val="1"/>
    <w:next w:val="1"/>
    <w:link w:val="76"/>
    <w:qFormat/>
    <w:uiPriority w:val="11"/>
    <w:pPr>
      <w:numPr>
        <w:ilvl w:val="1"/>
        <w:numId w:val="0"/>
      </w:numPr>
      <w:spacing w:after="160"/>
    </w:pPr>
    <w:rPr>
      <w:rFonts w:ascii="Calibri" w:hAnsi="Calibri" w:eastAsia="等线"/>
      <w:color w:val="5A5A5A"/>
      <w:spacing w:val="15"/>
      <w:sz w:val="20"/>
    </w:rPr>
  </w:style>
  <w:style w:type="paragraph" w:styleId="33">
    <w:name w:val="List"/>
    <w:basedOn w:val="1"/>
    <w:qFormat/>
    <w:uiPriority w:val="0"/>
    <w:pPr>
      <w:autoSpaceDE w:val="0"/>
      <w:autoSpaceDN w:val="0"/>
      <w:adjustRightInd w:val="0"/>
      <w:ind w:left="200" w:hanging="200" w:hangingChars="200"/>
      <w:textAlignment w:val="baseline"/>
    </w:pPr>
    <w:rPr>
      <w:kern w:val="0"/>
      <w:sz w:val="24"/>
    </w:rPr>
  </w:style>
  <w:style w:type="paragraph" w:styleId="34">
    <w:name w:val="footnote text"/>
    <w:basedOn w:val="1"/>
    <w:link w:val="77"/>
    <w:semiHidden/>
    <w:qFormat/>
    <w:uiPriority w:val="0"/>
    <w:pPr>
      <w:numPr>
        <w:ilvl w:val="3"/>
        <w:numId w:val="1"/>
      </w:numPr>
      <w:tabs>
        <w:tab w:val="clear" w:pos="2160"/>
      </w:tabs>
      <w:snapToGrid w:val="0"/>
      <w:ind w:left="0" w:firstLine="0"/>
      <w:jc w:val="left"/>
    </w:pPr>
    <w:rPr>
      <w:kern w:val="0"/>
      <w:sz w:val="18"/>
      <w:szCs w:val="18"/>
    </w:rPr>
  </w:style>
  <w:style w:type="paragraph" w:styleId="35">
    <w:name w:val="toc 6"/>
    <w:basedOn w:val="1"/>
    <w:next w:val="1"/>
    <w:semiHidden/>
    <w:qFormat/>
    <w:uiPriority w:val="0"/>
    <w:pPr>
      <w:ind w:left="1050"/>
      <w:jc w:val="left"/>
    </w:pPr>
    <w:rPr>
      <w:sz w:val="18"/>
      <w:szCs w:val="18"/>
    </w:rPr>
  </w:style>
  <w:style w:type="paragraph" w:styleId="36">
    <w:name w:val="List 5"/>
    <w:basedOn w:val="1"/>
    <w:qFormat/>
    <w:uiPriority w:val="0"/>
    <w:pPr>
      <w:autoSpaceDE w:val="0"/>
      <w:autoSpaceDN w:val="0"/>
      <w:adjustRightInd w:val="0"/>
      <w:ind w:left="100" w:leftChars="800" w:hanging="200" w:hangingChars="200"/>
      <w:textAlignment w:val="baseline"/>
    </w:pPr>
    <w:rPr>
      <w:kern w:val="0"/>
      <w:sz w:val="24"/>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semiHidden/>
    <w:qFormat/>
    <w:uiPriority w:val="0"/>
    <w:pPr>
      <w:numPr>
        <w:ilvl w:val="7"/>
        <w:numId w:val="1"/>
      </w:numPr>
      <w:tabs>
        <w:tab w:val="clear" w:pos="2160"/>
      </w:tabs>
      <w:ind w:left="210" w:firstLine="0"/>
      <w:jc w:val="left"/>
    </w:pPr>
    <w:rPr>
      <w:smallCaps/>
      <w:sz w:val="20"/>
    </w:rPr>
  </w:style>
  <w:style w:type="paragraph" w:styleId="39">
    <w:name w:val="toc 9"/>
    <w:basedOn w:val="1"/>
    <w:next w:val="1"/>
    <w:semiHidden/>
    <w:qFormat/>
    <w:uiPriority w:val="0"/>
    <w:pPr>
      <w:ind w:left="1680"/>
      <w:jc w:val="left"/>
    </w:pPr>
    <w:rPr>
      <w:sz w:val="18"/>
      <w:szCs w:val="18"/>
    </w:rPr>
  </w:style>
  <w:style w:type="paragraph" w:styleId="40">
    <w:name w:val="List 4"/>
    <w:basedOn w:val="1"/>
    <w:qFormat/>
    <w:uiPriority w:val="0"/>
    <w:pPr>
      <w:autoSpaceDE w:val="0"/>
      <w:autoSpaceDN w:val="0"/>
      <w:adjustRightInd w:val="0"/>
      <w:ind w:left="100" w:leftChars="600" w:hanging="200" w:hangingChars="200"/>
      <w:textAlignment w:val="baseline"/>
    </w:pPr>
    <w:rPr>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2">
    <w:name w:val="Title"/>
    <w:basedOn w:val="1"/>
    <w:link w:val="79"/>
    <w:qFormat/>
    <w:uiPriority w:val="0"/>
    <w:pPr>
      <w:numPr>
        <w:ilvl w:val="1"/>
        <w:numId w:val="1"/>
      </w:numPr>
      <w:tabs>
        <w:tab w:val="clear" w:pos="720"/>
      </w:tabs>
      <w:wordWrap w:val="0"/>
      <w:jc w:val="center"/>
    </w:pPr>
    <w:rPr>
      <w:rFonts w:eastAsia="BatangChe"/>
      <w:kern w:val="0"/>
      <w:sz w:val="40"/>
      <w:lang w:eastAsia="ko-KR"/>
    </w:rPr>
  </w:style>
  <w:style w:type="paragraph" w:styleId="43">
    <w:name w:val="annotation subject"/>
    <w:basedOn w:val="17"/>
    <w:next w:val="17"/>
    <w:link w:val="80"/>
    <w:unhideWhenUsed/>
    <w:qFormat/>
    <w:uiPriority w:val="99"/>
    <w:rPr>
      <w:b/>
      <w:bCs/>
    </w:rPr>
  </w:style>
  <w:style w:type="paragraph" w:styleId="44">
    <w:name w:val="Body Text First Indent"/>
    <w:basedOn w:val="18"/>
    <w:link w:val="81"/>
    <w:qFormat/>
    <w:uiPriority w:val="0"/>
    <w:pPr>
      <w:spacing w:after="120"/>
      <w:ind w:firstLine="420" w:firstLineChars="100"/>
      <w:jc w:val="both"/>
    </w:pPr>
    <w:rPr>
      <w:szCs w:val="24"/>
    </w:rPr>
  </w:style>
  <w:style w:type="paragraph" w:styleId="45">
    <w:name w:val="Body Text First Indent 2"/>
    <w:basedOn w:val="19"/>
    <w:link w:val="82"/>
    <w:qFormat/>
    <w:uiPriority w:val="0"/>
    <w:pPr>
      <w:autoSpaceDE w:val="0"/>
      <w:autoSpaceDN w:val="0"/>
      <w:adjustRightInd w:val="0"/>
      <w:ind w:firstLine="420" w:firstLineChars="200"/>
      <w:textAlignment w:val="baseline"/>
    </w:pPr>
    <w:rPr>
      <w:sz w:val="24"/>
      <w:szCs w:val="20"/>
    </w:rPr>
  </w:style>
  <w:style w:type="table" w:styleId="47">
    <w:name w:val="Table Grid"/>
    <w:basedOn w:val="4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Simple 1"/>
    <w:basedOn w:val="46"/>
    <w:qFormat/>
    <w:uiPriority w:val="0"/>
    <w:pPr>
      <w:widowControl w:val="0"/>
      <w:numPr>
        <w:ilvl w:val="0"/>
        <w:numId w:val="1"/>
      </w:numPr>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50">
    <w:name w:val="Strong"/>
    <w:qFormat/>
    <w:uiPriority w:val="0"/>
    <w:rPr>
      <w:b/>
      <w:bCs/>
    </w:rPr>
  </w:style>
  <w:style w:type="character" w:styleId="51">
    <w:name w:val="page number"/>
    <w:qFormat/>
    <w:uiPriority w:val="0"/>
  </w:style>
  <w:style w:type="character" w:styleId="52">
    <w:name w:val="FollowedHyperlink"/>
    <w:unhideWhenUsed/>
    <w:qFormat/>
    <w:uiPriority w:val="99"/>
    <w:rPr>
      <w:color w:val="800080"/>
      <w:u w:val="single"/>
    </w:rPr>
  </w:style>
  <w:style w:type="character" w:styleId="53">
    <w:name w:val="Hyperlink"/>
    <w:basedOn w:val="49"/>
    <w:qFormat/>
    <w:uiPriority w:val="99"/>
    <w:rPr>
      <w:color w:val="0000FF"/>
      <w:u w:val="single"/>
    </w:rPr>
  </w:style>
  <w:style w:type="character" w:styleId="54">
    <w:name w:val="annotation reference"/>
    <w:unhideWhenUsed/>
    <w:qFormat/>
    <w:uiPriority w:val="99"/>
    <w:rPr>
      <w:sz w:val="21"/>
      <w:szCs w:val="21"/>
    </w:rPr>
  </w:style>
  <w:style w:type="character" w:styleId="55">
    <w:name w:val="footnote reference"/>
    <w:semiHidden/>
    <w:qFormat/>
    <w:uiPriority w:val="0"/>
    <w:rPr>
      <w:vertAlign w:val="superscript"/>
    </w:rPr>
  </w:style>
  <w:style w:type="character" w:customStyle="1" w:styleId="56">
    <w:name w:val="标题 1 Char"/>
    <w:link w:val="2"/>
    <w:qFormat/>
    <w:uiPriority w:val="9"/>
    <w:rPr>
      <w:rFonts w:ascii="Times New Roman" w:hAnsi="Times New Roman"/>
      <w:b/>
      <w:bCs/>
      <w:kern w:val="44"/>
      <w:sz w:val="44"/>
      <w:szCs w:val="44"/>
    </w:rPr>
  </w:style>
  <w:style w:type="character" w:customStyle="1" w:styleId="57">
    <w:name w:val="标题 2 Char"/>
    <w:link w:val="3"/>
    <w:qFormat/>
    <w:uiPriority w:val="0"/>
    <w:rPr>
      <w:rFonts w:ascii="Arial" w:hAnsi="Arial" w:eastAsia="黑体"/>
      <w:b/>
      <w:bCs/>
      <w:sz w:val="32"/>
      <w:szCs w:val="32"/>
    </w:rPr>
  </w:style>
  <w:style w:type="character" w:customStyle="1" w:styleId="58">
    <w:name w:val="标题 3 Char"/>
    <w:link w:val="4"/>
    <w:qFormat/>
    <w:uiPriority w:val="0"/>
    <w:rPr>
      <w:rFonts w:ascii="Times New Roman" w:hAnsi="Times New Roman"/>
      <w:b/>
      <w:bCs/>
      <w:sz w:val="32"/>
      <w:szCs w:val="32"/>
    </w:rPr>
  </w:style>
  <w:style w:type="character" w:customStyle="1" w:styleId="59">
    <w:name w:val="标题 4 Char"/>
    <w:link w:val="5"/>
    <w:qFormat/>
    <w:uiPriority w:val="0"/>
    <w:rPr>
      <w:rFonts w:ascii="Arial" w:hAnsi="Arial" w:eastAsia="黑体"/>
      <w:b/>
      <w:bCs/>
      <w:sz w:val="28"/>
      <w:szCs w:val="28"/>
    </w:rPr>
  </w:style>
  <w:style w:type="character" w:customStyle="1" w:styleId="60">
    <w:name w:val="标题 5 Char"/>
    <w:link w:val="6"/>
    <w:qFormat/>
    <w:uiPriority w:val="0"/>
    <w:rPr>
      <w:rFonts w:ascii="Times New Roman" w:hAnsi="Times New Roman"/>
      <w:b/>
      <w:bCs/>
      <w:sz w:val="28"/>
      <w:szCs w:val="28"/>
    </w:rPr>
  </w:style>
  <w:style w:type="character" w:customStyle="1" w:styleId="61">
    <w:name w:val="标题 6 Char"/>
    <w:link w:val="7"/>
    <w:qFormat/>
    <w:uiPriority w:val="0"/>
    <w:rPr>
      <w:rFonts w:ascii="Arial" w:hAnsi="Arial" w:eastAsia="黑体"/>
      <w:b/>
      <w:bCs/>
      <w:sz w:val="24"/>
      <w:szCs w:val="24"/>
    </w:rPr>
  </w:style>
  <w:style w:type="character" w:customStyle="1" w:styleId="62">
    <w:name w:val="标题 7 Char"/>
    <w:link w:val="8"/>
    <w:qFormat/>
    <w:uiPriority w:val="0"/>
    <w:rPr>
      <w:rFonts w:ascii="Times New Roman" w:hAnsi="Times New Roman"/>
      <w:b/>
      <w:bCs/>
      <w:sz w:val="24"/>
      <w:szCs w:val="24"/>
    </w:rPr>
  </w:style>
  <w:style w:type="character" w:customStyle="1" w:styleId="63">
    <w:name w:val="标题 8 Char"/>
    <w:link w:val="9"/>
    <w:qFormat/>
    <w:uiPriority w:val="0"/>
    <w:rPr>
      <w:rFonts w:ascii="黑体" w:hAnsi="Arial" w:eastAsia="黑体"/>
      <w:kern w:val="24"/>
      <w:sz w:val="24"/>
      <w:szCs w:val="24"/>
    </w:rPr>
  </w:style>
  <w:style w:type="character" w:customStyle="1" w:styleId="64">
    <w:name w:val="标题 9 Char"/>
    <w:link w:val="10"/>
    <w:qFormat/>
    <w:uiPriority w:val="0"/>
    <w:rPr>
      <w:rFonts w:ascii="Arial" w:hAnsi="Arial" w:eastAsia="黑体"/>
      <w:sz w:val="24"/>
      <w:szCs w:val="21"/>
    </w:rPr>
  </w:style>
  <w:style w:type="character" w:customStyle="1" w:styleId="65">
    <w:name w:val="正文缩进 Char"/>
    <w:link w:val="13"/>
    <w:qFormat/>
    <w:uiPriority w:val="0"/>
    <w:rPr>
      <w:rFonts w:ascii="Times New Roman" w:hAnsi="Times New Roman"/>
      <w:szCs w:val="24"/>
    </w:rPr>
  </w:style>
  <w:style w:type="character" w:customStyle="1" w:styleId="66">
    <w:name w:val="文档结构图 Char"/>
    <w:link w:val="16"/>
    <w:semiHidden/>
    <w:qFormat/>
    <w:uiPriority w:val="0"/>
    <w:rPr>
      <w:rFonts w:ascii="Times New Roman" w:hAnsi="Times New Roman"/>
      <w:szCs w:val="21"/>
      <w:shd w:val="clear" w:color="auto" w:fill="000080"/>
    </w:rPr>
  </w:style>
  <w:style w:type="character" w:customStyle="1" w:styleId="67">
    <w:name w:val="批注文字 Char"/>
    <w:link w:val="17"/>
    <w:qFormat/>
    <w:uiPriority w:val="99"/>
    <w:rPr>
      <w:rFonts w:ascii="Times New Roman" w:hAnsi="Times New Roman"/>
      <w:kern w:val="2"/>
      <w:sz w:val="21"/>
    </w:rPr>
  </w:style>
  <w:style w:type="character" w:customStyle="1" w:styleId="68">
    <w:name w:val="正文文本 Char"/>
    <w:link w:val="18"/>
    <w:qFormat/>
    <w:uiPriority w:val="0"/>
    <w:rPr>
      <w:rFonts w:ascii="Times New Roman" w:hAnsi="Times New Roman"/>
      <w:szCs w:val="21"/>
    </w:rPr>
  </w:style>
  <w:style w:type="character" w:customStyle="1" w:styleId="69">
    <w:name w:val="正文文本缩进 Char"/>
    <w:link w:val="19"/>
    <w:qFormat/>
    <w:uiPriority w:val="0"/>
    <w:rPr>
      <w:rFonts w:ascii="Times New Roman" w:hAnsi="Times New Roman"/>
      <w:szCs w:val="21"/>
    </w:rPr>
  </w:style>
  <w:style w:type="character" w:customStyle="1" w:styleId="70">
    <w:name w:val="纯文本 Char"/>
    <w:link w:val="23"/>
    <w:qFormat/>
    <w:uiPriority w:val="0"/>
    <w:rPr>
      <w:rFonts w:ascii="宋体" w:hAnsi="Times New Roman"/>
      <w:szCs w:val="21"/>
    </w:rPr>
  </w:style>
  <w:style w:type="character" w:customStyle="1" w:styleId="71">
    <w:name w:val="日期 Char"/>
    <w:link w:val="25"/>
    <w:qFormat/>
    <w:uiPriority w:val="0"/>
    <w:rPr>
      <w:rFonts w:ascii="Times New Roman" w:hAnsi="Times New Roman"/>
      <w:szCs w:val="24"/>
    </w:rPr>
  </w:style>
  <w:style w:type="character" w:customStyle="1" w:styleId="72">
    <w:name w:val="正文文本缩进 2 Char"/>
    <w:link w:val="26"/>
    <w:qFormat/>
    <w:uiPriority w:val="0"/>
    <w:rPr>
      <w:rFonts w:ascii="Times New Roman" w:hAnsi="Times New Roman"/>
      <w:szCs w:val="21"/>
    </w:rPr>
  </w:style>
  <w:style w:type="character" w:customStyle="1" w:styleId="73">
    <w:name w:val="批注框文本 Char"/>
    <w:link w:val="27"/>
    <w:semiHidden/>
    <w:qFormat/>
    <w:uiPriority w:val="99"/>
    <w:rPr>
      <w:rFonts w:ascii="Times New Roman" w:hAnsi="Times New Roman" w:eastAsia="宋体" w:cs="Times New Roman"/>
      <w:sz w:val="18"/>
      <w:szCs w:val="18"/>
    </w:rPr>
  </w:style>
  <w:style w:type="character" w:customStyle="1" w:styleId="74">
    <w:name w:val="页脚 Char"/>
    <w:link w:val="28"/>
    <w:qFormat/>
    <w:uiPriority w:val="99"/>
    <w:rPr>
      <w:rFonts w:ascii="Times New Roman" w:hAnsi="Times New Roman" w:eastAsia="宋体" w:cs="Times New Roman"/>
      <w:sz w:val="18"/>
      <w:szCs w:val="18"/>
    </w:rPr>
  </w:style>
  <w:style w:type="character" w:customStyle="1" w:styleId="75">
    <w:name w:val="页眉 Char"/>
    <w:link w:val="29"/>
    <w:qFormat/>
    <w:uiPriority w:val="99"/>
    <w:rPr>
      <w:rFonts w:ascii="Times New Roman" w:hAnsi="Times New Roman" w:eastAsia="宋体" w:cs="Times New Roman"/>
      <w:sz w:val="18"/>
      <w:szCs w:val="18"/>
    </w:rPr>
  </w:style>
  <w:style w:type="character" w:customStyle="1" w:styleId="76">
    <w:name w:val="副标题 Char"/>
    <w:link w:val="32"/>
    <w:qFormat/>
    <w:uiPriority w:val="11"/>
    <w:rPr>
      <w:rFonts w:eastAsia="等线"/>
      <w:color w:val="5A5A5A"/>
      <w:spacing w:val="15"/>
      <w:kern w:val="2"/>
    </w:rPr>
  </w:style>
  <w:style w:type="character" w:customStyle="1" w:styleId="77">
    <w:name w:val="脚注文本 Char"/>
    <w:link w:val="34"/>
    <w:semiHidden/>
    <w:qFormat/>
    <w:uiPriority w:val="0"/>
    <w:rPr>
      <w:rFonts w:ascii="Times New Roman" w:hAnsi="Times New Roman"/>
      <w:sz w:val="18"/>
      <w:szCs w:val="18"/>
    </w:rPr>
  </w:style>
  <w:style w:type="character" w:customStyle="1" w:styleId="78">
    <w:name w:val="正文文本缩进 3 Char"/>
    <w:link w:val="37"/>
    <w:qFormat/>
    <w:uiPriority w:val="0"/>
    <w:rPr>
      <w:rFonts w:ascii="Times New Roman" w:hAnsi="Times New Roman"/>
      <w:sz w:val="16"/>
      <w:szCs w:val="16"/>
    </w:rPr>
  </w:style>
  <w:style w:type="character" w:customStyle="1" w:styleId="79">
    <w:name w:val="标题 Char"/>
    <w:link w:val="42"/>
    <w:qFormat/>
    <w:uiPriority w:val="0"/>
    <w:rPr>
      <w:rFonts w:ascii="Times New Roman" w:hAnsi="Times New Roman" w:eastAsia="BatangChe"/>
      <w:sz w:val="40"/>
      <w:lang w:eastAsia="ko-KR"/>
    </w:rPr>
  </w:style>
  <w:style w:type="character" w:customStyle="1" w:styleId="80">
    <w:name w:val="批注主题 Char"/>
    <w:link w:val="43"/>
    <w:qFormat/>
    <w:uiPriority w:val="99"/>
    <w:rPr>
      <w:rFonts w:ascii="Times New Roman" w:hAnsi="Times New Roman"/>
      <w:b/>
      <w:bCs/>
      <w:kern w:val="2"/>
      <w:sz w:val="21"/>
    </w:rPr>
  </w:style>
  <w:style w:type="character" w:customStyle="1" w:styleId="81">
    <w:name w:val="正文首行缩进 Char"/>
    <w:link w:val="44"/>
    <w:qFormat/>
    <w:uiPriority w:val="0"/>
    <w:rPr>
      <w:rFonts w:ascii="Times New Roman" w:hAnsi="Times New Roman"/>
      <w:szCs w:val="24"/>
    </w:rPr>
  </w:style>
  <w:style w:type="character" w:customStyle="1" w:styleId="82">
    <w:name w:val="正文首行缩进 2 Char"/>
    <w:link w:val="45"/>
    <w:qFormat/>
    <w:uiPriority w:val="0"/>
    <w:rPr>
      <w:rFonts w:ascii="Times New Roman" w:hAnsi="Times New Roman"/>
      <w:sz w:val="24"/>
      <w:szCs w:val="21"/>
    </w:rPr>
  </w:style>
  <w:style w:type="paragraph" w:styleId="83">
    <w:name w:val="List Paragraph"/>
    <w:basedOn w:val="1"/>
    <w:qFormat/>
    <w:uiPriority w:val="34"/>
    <w:pPr>
      <w:ind w:firstLine="420" w:firstLineChars="200"/>
    </w:pPr>
  </w:style>
  <w:style w:type="paragraph" w:customStyle="1" w:styleId="84">
    <w:name w:val="_Style 83"/>
    <w:semiHidden/>
    <w:qFormat/>
    <w:uiPriority w:val="99"/>
    <w:rPr>
      <w:rFonts w:ascii="Times New Roman" w:hAnsi="Times New Roman" w:eastAsia="宋体" w:cs="Times New Roman"/>
      <w:kern w:val="2"/>
      <w:sz w:val="21"/>
      <w:lang w:val="en-US" w:eastAsia="zh-CN" w:bidi="ar-SA"/>
    </w:rPr>
  </w:style>
  <w:style w:type="paragraph" w:customStyle="1" w:styleId="85">
    <w:name w:val="Default"/>
    <w:qFormat/>
    <w:uiPriority w:val="0"/>
    <w:pPr>
      <w:widowControl w:val="0"/>
      <w:autoSpaceDE w:val="0"/>
      <w:autoSpaceDN w:val="0"/>
      <w:adjustRightInd w:val="0"/>
    </w:pPr>
    <w:rPr>
      <w:rFonts w:ascii="FZDaBiaoSong-B06S" w:hAnsi="Times New Roman" w:eastAsia="FZDaBiaoSong-B06S" w:cs="FZDaBiaoSong-B06S"/>
      <w:color w:val="000000"/>
      <w:sz w:val="24"/>
      <w:szCs w:val="24"/>
      <w:lang w:val="en-US" w:eastAsia="zh-CN" w:bidi="ar-SA"/>
    </w:rPr>
  </w:style>
  <w:style w:type="paragraph" w:customStyle="1" w:styleId="86">
    <w:name w:val="CM1"/>
    <w:basedOn w:val="85"/>
    <w:next w:val="85"/>
    <w:qFormat/>
    <w:uiPriority w:val="0"/>
    <w:rPr>
      <w:rFonts w:cs="Times New Roman"/>
      <w:color w:val="auto"/>
    </w:rPr>
  </w:style>
  <w:style w:type="paragraph" w:customStyle="1" w:styleId="87">
    <w:name w:val="CM96"/>
    <w:basedOn w:val="85"/>
    <w:next w:val="85"/>
    <w:qFormat/>
    <w:uiPriority w:val="0"/>
    <w:pPr>
      <w:spacing w:after="1093"/>
    </w:pPr>
    <w:rPr>
      <w:rFonts w:cs="Times New Roman"/>
      <w:color w:val="auto"/>
    </w:rPr>
  </w:style>
  <w:style w:type="paragraph" w:customStyle="1" w:styleId="88">
    <w:name w:val="CM97"/>
    <w:basedOn w:val="85"/>
    <w:next w:val="85"/>
    <w:qFormat/>
    <w:uiPriority w:val="0"/>
    <w:pPr>
      <w:spacing w:after="133"/>
    </w:pPr>
    <w:rPr>
      <w:rFonts w:cs="Times New Roman"/>
      <w:color w:val="auto"/>
    </w:rPr>
  </w:style>
  <w:style w:type="paragraph" w:customStyle="1" w:styleId="89">
    <w:name w:val="CM98"/>
    <w:basedOn w:val="85"/>
    <w:next w:val="85"/>
    <w:qFormat/>
    <w:uiPriority w:val="0"/>
    <w:pPr>
      <w:spacing w:after="303"/>
    </w:pPr>
    <w:rPr>
      <w:rFonts w:cs="Times New Roman"/>
      <w:color w:val="auto"/>
    </w:rPr>
  </w:style>
  <w:style w:type="paragraph" w:customStyle="1" w:styleId="90">
    <w:name w:val="CM99"/>
    <w:basedOn w:val="85"/>
    <w:next w:val="85"/>
    <w:qFormat/>
    <w:uiPriority w:val="0"/>
    <w:pPr>
      <w:spacing w:after="813"/>
    </w:pPr>
    <w:rPr>
      <w:rFonts w:cs="Times New Roman"/>
      <w:color w:val="auto"/>
    </w:rPr>
  </w:style>
  <w:style w:type="paragraph" w:customStyle="1" w:styleId="91">
    <w:name w:val="CM3"/>
    <w:basedOn w:val="85"/>
    <w:next w:val="85"/>
    <w:qFormat/>
    <w:uiPriority w:val="0"/>
    <w:pPr>
      <w:spacing w:line="373" w:lineRule="atLeast"/>
    </w:pPr>
    <w:rPr>
      <w:rFonts w:cs="Times New Roman"/>
      <w:color w:val="auto"/>
    </w:rPr>
  </w:style>
  <w:style w:type="paragraph" w:customStyle="1" w:styleId="92">
    <w:name w:val="CM5"/>
    <w:basedOn w:val="85"/>
    <w:next w:val="85"/>
    <w:qFormat/>
    <w:uiPriority w:val="0"/>
    <w:pPr>
      <w:spacing w:line="371" w:lineRule="atLeast"/>
    </w:pPr>
    <w:rPr>
      <w:rFonts w:cs="Times New Roman"/>
      <w:color w:val="auto"/>
    </w:rPr>
  </w:style>
  <w:style w:type="paragraph" w:customStyle="1" w:styleId="93">
    <w:name w:val="CM102"/>
    <w:basedOn w:val="85"/>
    <w:next w:val="85"/>
    <w:qFormat/>
    <w:uiPriority w:val="0"/>
    <w:pPr>
      <w:spacing w:after="595"/>
    </w:pPr>
    <w:rPr>
      <w:rFonts w:cs="Times New Roman"/>
      <w:color w:val="auto"/>
    </w:rPr>
  </w:style>
  <w:style w:type="paragraph" w:customStyle="1" w:styleId="94">
    <w:name w:val="CM103"/>
    <w:basedOn w:val="85"/>
    <w:next w:val="85"/>
    <w:qFormat/>
    <w:uiPriority w:val="0"/>
    <w:pPr>
      <w:spacing w:after="1143"/>
    </w:pPr>
    <w:rPr>
      <w:rFonts w:cs="Times New Roman"/>
      <w:color w:val="auto"/>
    </w:rPr>
  </w:style>
  <w:style w:type="paragraph" w:customStyle="1" w:styleId="95">
    <w:name w:val="CM2"/>
    <w:basedOn w:val="85"/>
    <w:next w:val="85"/>
    <w:qFormat/>
    <w:uiPriority w:val="0"/>
    <w:rPr>
      <w:color w:val="auto"/>
    </w:rPr>
  </w:style>
  <w:style w:type="paragraph" w:customStyle="1" w:styleId="96">
    <w:name w:val="CM4"/>
    <w:basedOn w:val="85"/>
    <w:next w:val="85"/>
    <w:qFormat/>
    <w:uiPriority w:val="0"/>
    <w:pPr>
      <w:spacing w:line="371" w:lineRule="atLeast"/>
    </w:pPr>
    <w:rPr>
      <w:color w:val="auto"/>
    </w:rPr>
  </w:style>
  <w:style w:type="paragraph" w:customStyle="1" w:styleId="97">
    <w:name w:val="CM100"/>
    <w:basedOn w:val="85"/>
    <w:next w:val="85"/>
    <w:qFormat/>
    <w:uiPriority w:val="0"/>
    <w:pPr>
      <w:spacing w:after="1210"/>
    </w:pPr>
    <w:rPr>
      <w:color w:val="auto"/>
    </w:rPr>
  </w:style>
  <w:style w:type="paragraph" w:customStyle="1" w:styleId="98">
    <w:name w:val="CM101"/>
    <w:basedOn w:val="85"/>
    <w:next w:val="85"/>
    <w:qFormat/>
    <w:uiPriority w:val="0"/>
    <w:pPr>
      <w:spacing w:after="605"/>
    </w:pPr>
    <w:rPr>
      <w:color w:val="auto"/>
    </w:rPr>
  </w:style>
  <w:style w:type="paragraph" w:customStyle="1" w:styleId="99">
    <w:name w:val="CM6"/>
    <w:basedOn w:val="85"/>
    <w:next w:val="85"/>
    <w:qFormat/>
    <w:uiPriority w:val="0"/>
    <w:pPr>
      <w:spacing w:line="1156" w:lineRule="atLeast"/>
    </w:pPr>
    <w:rPr>
      <w:color w:val="auto"/>
    </w:rPr>
  </w:style>
  <w:style w:type="paragraph" w:customStyle="1" w:styleId="100">
    <w:name w:val="CM7"/>
    <w:basedOn w:val="85"/>
    <w:next w:val="85"/>
    <w:qFormat/>
    <w:uiPriority w:val="0"/>
    <w:pPr>
      <w:spacing w:line="403" w:lineRule="atLeast"/>
    </w:pPr>
    <w:rPr>
      <w:color w:val="auto"/>
    </w:rPr>
  </w:style>
  <w:style w:type="paragraph" w:customStyle="1" w:styleId="101">
    <w:name w:val="CM8"/>
    <w:basedOn w:val="85"/>
    <w:next w:val="85"/>
    <w:qFormat/>
    <w:uiPriority w:val="0"/>
    <w:pPr>
      <w:spacing w:line="403" w:lineRule="atLeast"/>
    </w:pPr>
    <w:rPr>
      <w:color w:val="auto"/>
    </w:rPr>
  </w:style>
  <w:style w:type="paragraph" w:customStyle="1" w:styleId="102">
    <w:name w:val="CM9"/>
    <w:basedOn w:val="85"/>
    <w:next w:val="85"/>
    <w:qFormat/>
    <w:uiPriority w:val="0"/>
    <w:pPr>
      <w:spacing w:line="403" w:lineRule="atLeast"/>
    </w:pPr>
    <w:rPr>
      <w:color w:val="auto"/>
    </w:rPr>
  </w:style>
  <w:style w:type="paragraph" w:customStyle="1" w:styleId="103">
    <w:name w:val="CM10"/>
    <w:basedOn w:val="85"/>
    <w:next w:val="85"/>
    <w:qFormat/>
    <w:uiPriority w:val="0"/>
    <w:pPr>
      <w:spacing w:line="403" w:lineRule="atLeast"/>
    </w:pPr>
    <w:rPr>
      <w:color w:val="auto"/>
    </w:rPr>
  </w:style>
  <w:style w:type="paragraph" w:customStyle="1" w:styleId="104">
    <w:name w:val="CM104"/>
    <w:basedOn w:val="85"/>
    <w:next w:val="85"/>
    <w:qFormat/>
    <w:uiPriority w:val="0"/>
    <w:pPr>
      <w:spacing w:after="493"/>
    </w:pPr>
    <w:rPr>
      <w:color w:val="auto"/>
    </w:rPr>
  </w:style>
  <w:style w:type="paragraph" w:customStyle="1" w:styleId="105">
    <w:name w:val="CM11"/>
    <w:basedOn w:val="85"/>
    <w:next w:val="85"/>
    <w:qFormat/>
    <w:uiPriority w:val="0"/>
    <w:pPr>
      <w:spacing w:line="403" w:lineRule="atLeast"/>
    </w:pPr>
    <w:rPr>
      <w:color w:val="auto"/>
    </w:rPr>
  </w:style>
  <w:style w:type="paragraph" w:customStyle="1" w:styleId="106">
    <w:name w:val="CM12"/>
    <w:basedOn w:val="85"/>
    <w:next w:val="85"/>
    <w:qFormat/>
    <w:uiPriority w:val="0"/>
    <w:pPr>
      <w:spacing w:line="403" w:lineRule="atLeast"/>
    </w:pPr>
    <w:rPr>
      <w:color w:val="auto"/>
    </w:rPr>
  </w:style>
  <w:style w:type="paragraph" w:customStyle="1" w:styleId="107">
    <w:name w:val="CM13"/>
    <w:basedOn w:val="85"/>
    <w:next w:val="85"/>
    <w:qFormat/>
    <w:uiPriority w:val="0"/>
    <w:pPr>
      <w:spacing w:line="403" w:lineRule="atLeast"/>
    </w:pPr>
    <w:rPr>
      <w:color w:val="auto"/>
    </w:rPr>
  </w:style>
  <w:style w:type="paragraph" w:customStyle="1" w:styleId="108">
    <w:name w:val="CM14"/>
    <w:basedOn w:val="85"/>
    <w:next w:val="85"/>
    <w:qFormat/>
    <w:uiPriority w:val="0"/>
    <w:pPr>
      <w:spacing w:line="403" w:lineRule="atLeast"/>
    </w:pPr>
    <w:rPr>
      <w:color w:val="auto"/>
    </w:rPr>
  </w:style>
  <w:style w:type="paragraph" w:customStyle="1" w:styleId="109">
    <w:name w:val="CM15"/>
    <w:basedOn w:val="85"/>
    <w:next w:val="85"/>
    <w:qFormat/>
    <w:uiPriority w:val="0"/>
    <w:pPr>
      <w:spacing w:line="403" w:lineRule="atLeast"/>
    </w:pPr>
    <w:rPr>
      <w:color w:val="auto"/>
    </w:rPr>
  </w:style>
  <w:style w:type="paragraph" w:customStyle="1" w:styleId="110">
    <w:name w:val="CM16"/>
    <w:basedOn w:val="85"/>
    <w:next w:val="85"/>
    <w:qFormat/>
    <w:uiPriority w:val="0"/>
    <w:pPr>
      <w:spacing w:line="403" w:lineRule="atLeast"/>
    </w:pPr>
    <w:rPr>
      <w:color w:val="auto"/>
    </w:rPr>
  </w:style>
  <w:style w:type="paragraph" w:customStyle="1" w:styleId="111">
    <w:name w:val="CM17"/>
    <w:basedOn w:val="85"/>
    <w:next w:val="85"/>
    <w:qFormat/>
    <w:uiPriority w:val="0"/>
    <w:pPr>
      <w:spacing w:line="403" w:lineRule="atLeast"/>
    </w:pPr>
    <w:rPr>
      <w:color w:val="auto"/>
    </w:rPr>
  </w:style>
  <w:style w:type="paragraph" w:customStyle="1" w:styleId="112">
    <w:name w:val="CM18"/>
    <w:basedOn w:val="85"/>
    <w:next w:val="85"/>
    <w:qFormat/>
    <w:uiPriority w:val="0"/>
    <w:pPr>
      <w:spacing w:line="403" w:lineRule="atLeast"/>
    </w:pPr>
    <w:rPr>
      <w:color w:val="auto"/>
    </w:rPr>
  </w:style>
  <w:style w:type="paragraph" w:customStyle="1" w:styleId="113">
    <w:name w:val="CM19"/>
    <w:basedOn w:val="85"/>
    <w:next w:val="85"/>
    <w:qFormat/>
    <w:uiPriority w:val="0"/>
    <w:pPr>
      <w:spacing w:line="403" w:lineRule="atLeast"/>
    </w:pPr>
    <w:rPr>
      <w:color w:val="auto"/>
    </w:rPr>
  </w:style>
  <w:style w:type="paragraph" w:customStyle="1" w:styleId="114">
    <w:name w:val="CM20"/>
    <w:basedOn w:val="85"/>
    <w:next w:val="85"/>
    <w:qFormat/>
    <w:uiPriority w:val="0"/>
    <w:pPr>
      <w:spacing w:line="403" w:lineRule="atLeast"/>
    </w:pPr>
    <w:rPr>
      <w:color w:val="auto"/>
    </w:rPr>
  </w:style>
  <w:style w:type="paragraph" w:customStyle="1" w:styleId="115">
    <w:name w:val="CM21"/>
    <w:basedOn w:val="85"/>
    <w:next w:val="85"/>
    <w:qFormat/>
    <w:uiPriority w:val="0"/>
    <w:pPr>
      <w:spacing w:line="403" w:lineRule="atLeast"/>
    </w:pPr>
    <w:rPr>
      <w:color w:val="auto"/>
    </w:rPr>
  </w:style>
  <w:style w:type="paragraph" w:customStyle="1" w:styleId="116">
    <w:name w:val="CM22"/>
    <w:basedOn w:val="85"/>
    <w:next w:val="85"/>
    <w:qFormat/>
    <w:uiPriority w:val="0"/>
    <w:pPr>
      <w:spacing w:line="403" w:lineRule="atLeast"/>
    </w:pPr>
    <w:rPr>
      <w:color w:val="auto"/>
    </w:rPr>
  </w:style>
  <w:style w:type="paragraph" w:customStyle="1" w:styleId="117">
    <w:name w:val="CM23"/>
    <w:basedOn w:val="85"/>
    <w:next w:val="85"/>
    <w:qFormat/>
    <w:uiPriority w:val="0"/>
    <w:pPr>
      <w:spacing w:line="403" w:lineRule="atLeast"/>
    </w:pPr>
    <w:rPr>
      <w:color w:val="auto"/>
    </w:rPr>
  </w:style>
  <w:style w:type="paragraph" w:customStyle="1" w:styleId="118">
    <w:name w:val="CM24"/>
    <w:basedOn w:val="85"/>
    <w:next w:val="85"/>
    <w:qFormat/>
    <w:uiPriority w:val="0"/>
    <w:rPr>
      <w:color w:val="auto"/>
    </w:rPr>
  </w:style>
  <w:style w:type="paragraph" w:customStyle="1" w:styleId="119">
    <w:name w:val="CM25"/>
    <w:basedOn w:val="85"/>
    <w:next w:val="85"/>
    <w:qFormat/>
    <w:uiPriority w:val="0"/>
    <w:pPr>
      <w:spacing w:line="403" w:lineRule="atLeast"/>
    </w:pPr>
    <w:rPr>
      <w:color w:val="auto"/>
    </w:rPr>
  </w:style>
  <w:style w:type="paragraph" w:customStyle="1" w:styleId="120">
    <w:name w:val="CM26"/>
    <w:basedOn w:val="85"/>
    <w:next w:val="85"/>
    <w:qFormat/>
    <w:uiPriority w:val="0"/>
    <w:rPr>
      <w:color w:val="auto"/>
    </w:rPr>
  </w:style>
  <w:style w:type="paragraph" w:customStyle="1" w:styleId="121">
    <w:name w:val="CM27"/>
    <w:basedOn w:val="85"/>
    <w:next w:val="85"/>
    <w:qFormat/>
    <w:uiPriority w:val="0"/>
    <w:pPr>
      <w:spacing w:line="403" w:lineRule="atLeast"/>
    </w:pPr>
    <w:rPr>
      <w:color w:val="auto"/>
    </w:rPr>
  </w:style>
  <w:style w:type="paragraph" w:customStyle="1" w:styleId="122">
    <w:name w:val="CM28"/>
    <w:basedOn w:val="85"/>
    <w:next w:val="85"/>
    <w:qFormat/>
    <w:uiPriority w:val="0"/>
    <w:pPr>
      <w:spacing w:line="403" w:lineRule="atLeast"/>
    </w:pPr>
    <w:rPr>
      <w:color w:val="auto"/>
    </w:rPr>
  </w:style>
  <w:style w:type="paragraph" w:customStyle="1" w:styleId="123">
    <w:name w:val="CM29"/>
    <w:basedOn w:val="85"/>
    <w:next w:val="85"/>
    <w:qFormat/>
    <w:uiPriority w:val="0"/>
    <w:pPr>
      <w:spacing w:line="403" w:lineRule="atLeast"/>
    </w:pPr>
    <w:rPr>
      <w:color w:val="auto"/>
    </w:rPr>
  </w:style>
  <w:style w:type="paragraph" w:customStyle="1" w:styleId="124">
    <w:name w:val="CM30"/>
    <w:basedOn w:val="85"/>
    <w:next w:val="85"/>
    <w:qFormat/>
    <w:uiPriority w:val="0"/>
    <w:rPr>
      <w:color w:val="auto"/>
    </w:rPr>
  </w:style>
  <w:style w:type="paragraph" w:customStyle="1" w:styleId="125">
    <w:name w:val="CM32"/>
    <w:basedOn w:val="85"/>
    <w:next w:val="85"/>
    <w:qFormat/>
    <w:uiPriority w:val="0"/>
    <w:pPr>
      <w:spacing w:line="403" w:lineRule="atLeast"/>
    </w:pPr>
    <w:rPr>
      <w:color w:val="auto"/>
    </w:rPr>
  </w:style>
  <w:style w:type="paragraph" w:customStyle="1" w:styleId="126">
    <w:name w:val="CM33"/>
    <w:basedOn w:val="85"/>
    <w:next w:val="85"/>
    <w:qFormat/>
    <w:uiPriority w:val="0"/>
    <w:pPr>
      <w:spacing w:line="403" w:lineRule="atLeast"/>
    </w:pPr>
    <w:rPr>
      <w:color w:val="auto"/>
    </w:rPr>
  </w:style>
  <w:style w:type="paragraph" w:customStyle="1" w:styleId="127">
    <w:name w:val="CM34"/>
    <w:basedOn w:val="85"/>
    <w:next w:val="85"/>
    <w:qFormat/>
    <w:uiPriority w:val="0"/>
    <w:pPr>
      <w:spacing w:line="403" w:lineRule="atLeast"/>
    </w:pPr>
    <w:rPr>
      <w:color w:val="auto"/>
    </w:rPr>
  </w:style>
  <w:style w:type="paragraph" w:customStyle="1" w:styleId="128">
    <w:name w:val="CM35"/>
    <w:basedOn w:val="85"/>
    <w:next w:val="85"/>
    <w:qFormat/>
    <w:uiPriority w:val="0"/>
    <w:pPr>
      <w:spacing w:line="403" w:lineRule="atLeast"/>
    </w:pPr>
    <w:rPr>
      <w:color w:val="auto"/>
    </w:rPr>
  </w:style>
  <w:style w:type="paragraph" w:customStyle="1" w:styleId="129">
    <w:name w:val="CM36"/>
    <w:basedOn w:val="85"/>
    <w:next w:val="85"/>
    <w:qFormat/>
    <w:uiPriority w:val="0"/>
    <w:pPr>
      <w:spacing w:line="403" w:lineRule="atLeast"/>
    </w:pPr>
    <w:rPr>
      <w:color w:val="auto"/>
    </w:rPr>
  </w:style>
  <w:style w:type="paragraph" w:customStyle="1" w:styleId="130">
    <w:name w:val="CM37"/>
    <w:basedOn w:val="85"/>
    <w:next w:val="85"/>
    <w:qFormat/>
    <w:uiPriority w:val="0"/>
    <w:pPr>
      <w:spacing w:line="403" w:lineRule="atLeast"/>
    </w:pPr>
    <w:rPr>
      <w:color w:val="auto"/>
    </w:rPr>
  </w:style>
  <w:style w:type="paragraph" w:customStyle="1" w:styleId="131">
    <w:name w:val="CM38"/>
    <w:basedOn w:val="85"/>
    <w:next w:val="85"/>
    <w:qFormat/>
    <w:uiPriority w:val="0"/>
    <w:pPr>
      <w:spacing w:line="403" w:lineRule="atLeast"/>
    </w:pPr>
    <w:rPr>
      <w:color w:val="auto"/>
    </w:rPr>
  </w:style>
  <w:style w:type="paragraph" w:customStyle="1" w:styleId="132">
    <w:name w:val="CM39"/>
    <w:basedOn w:val="85"/>
    <w:next w:val="85"/>
    <w:qFormat/>
    <w:uiPriority w:val="0"/>
    <w:pPr>
      <w:spacing w:line="403" w:lineRule="atLeast"/>
    </w:pPr>
    <w:rPr>
      <w:color w:val="auto"/>
    </w:rPr>
  </w:style>
  <w:style w:type="paragraph" w:customStyle="1" w:styleId="133">
    <w:name w:val="CM40"/>
    <w:basedOn w:val="85"/>
    <w:next w:val="85"/>
    <w:qFormat/>
    <w:uiPriority w:val="0"/>
    <w:rPr>
      <w:color w:val="auto"/>
    </w:rPr>
  </w:style>
  <w:style w:type="paragraph" w:customStyle="1" w:styleId="134">
    <w:name w:val="CM41"/>
    <w:basedOn w:val="85"/>
    <w:next w:val="85"/>
    <w:qFormat/>
    <w:uiPriority w:val="0"/>
    <w:pPr>
      <w:spacing w:line="403" w:lineRule="atLeast"/>
    </w:pPr>
    <w:rPr>
      <w:color w:val="auto"/>
    </w:rPr>
  </w:style>
  <w:style w:type="paragraph" w:customStyle="1" w:styleId="135">
    <w:name w:val="CM42"/>
    <w:basedOn w:val="85"/>
    <w:next w:val="85"/>
    <w:qFormat/>
    <w:uiPriority w:val="0"/>
    <w:pPr>
      <w:spacing w:line="403" w:lineRule="atLeast"/>
    </w:pPr>
    <w:rPr>
      <w:color w:val="auto"/>
    </w:rPr>
  </w:style>
  <w:style w:type="paragraph" w:customStyle="1" w:styleId="136">
    <w:name w:val="CM43"/>
    <w:basedOn w:val="85"/>
    <w:next w:val="85"/>
    <w:qFormat/>
    <w:uiPriority w:val="0"/>
    <w:pPr>
      <w:spacing w:line="403" w:lineRule="atLeast"/>
    </w:pPr>
    <w:rPr>
      <w:color w:val="auto"/>
    </w:rPr>
  </w:style>
  <w:style w:type="paragraph" w:customStyle="1" w:styleId="137">
    <w:name w:val="CM44"/>
    <w:basedOn w:val="85"/>
    <w:next w:val="85"/>
    <w:qFormat/>
    <w:uiPriority w:val="0"/>
    <w:pPr>
      <w:spacing w:line="403" w:lineRule="atLeast"/>
    </w:pPr>
    <w:rPr>
      <w:color w:val="auto"/>
    </w:rPr>
  </w:style>
  <w:style w:type="paragraph" w:customStyle="1" w:styleId="138">
    <w:name w:val="CM45"/>
    <w:basedOn w:val="85"/>
    <w:next w:val="85"/>
    <w:qFormat/>
    <w:uiPriority w:val="0"/>
    <w:pPr>
      <w:spacing w:line="403" w:lineRule="atLeast"/>
    </w:pPr>
    <w:rPr>
      <w:color w:val="auto"/>
    </w:rPr>
  </w:style>
  <w:style w:type="paragraph" w:customStyle="1" w:styleId="139">
    <w:name w:val="CM46"/>
    <w:basedOn w:val="85"/>
    <w:next w:val="85"/>
    <w:qFormat/>
    <w:uiPriority w:val="0"/>
    <w:pPr>
      <w:spacing w:line="403" w:lineRule="atLeast"/>
    </w:pPr>
    <w:rPr>
      <w:color w:val="auto"/>
    </w:rPr>
  </w:style>
  <w:style w:type="paragraph" w:customStyle="1" w:styleId="140">
    <w:name w:val="CM47"/>
    <w:basedOn w:val="85"/>
    <w:next w:val="85"/>
    <w:qFormat/>
    <w:uiPriority w:val="0"/>
    <w:pPr>
      <w:spacing w:line="403" w:lineRule="atLeast"/>
    </w:pPr>
    <w:rPr>
      <w:color w:val="auto"/>
    </w:rPr>
  </w:style>
  <w:style w:type="paragraph" w:customStyle="1" w:styleId="141">
    <w:name w:val="CM48"/>
    <w:basedOn w:val="85"/>
    <w:next w:val="85"/>
    <w:qFormat/>
    <w:uiPriority w:val="0"/>
    <w:pPr>
      <w:spacing w:line="403" w:lineRule="atLeast"/>
    </w:pPr>
    <w:rPr>
      <w:color w:val="auto"/>
    </w:rPr>
  </w:style>
  <w:style w:type="paragraph" w:customStyle="1" w:styleId="142">
    <w:name w:val="CM49"/>
    <w:basedOn w:val="85"/>
    <w:next w:val="85"/>
    <w:qFormat/>
    <w:uiPriority w:val="0"/>
    <w:pPr>
      <w:spacing w:line="403" w:lineRule="atLeast"/>
    </w:pPr>
    <w:rPr>
      <w:color w:val="auto"/>
    </w:rPr>
  </w:style>
  <w:style w:type="paragraph" w:customStyle="1" w:styleId="143">
    <w:name w:val="CM106"/>
    <w:basedOn w:val="85"/>
    <w:next w:val="85"/>
    <w:qFormat/>
    <w:uiPriority w:val="0"/>
    <w:pPr>
      <w:spacing w:after="905"/>
    </w:pPr>
    <w:rPr>
      <w:color w:val="auto"/>
    </w:rPr>
  </w:style>
  <w:style w:type="paragraph" w:customStyle="1" w:styleId="144">
    <w:name w:val="CM50"/>
    <w:basedOn w:val="85"/>
    <w:next w:val="85"/>
    <w:qFormat/>
    <w:uiPriority w:val="0"/>
    <w:pPr>
      <w:spacing w:line="403" w:lineRule="atLeast"/>
    </w:pPr>
    <w:rPr>
      <w:color w:val="auto"/>
    </w:rPr>
  </w:style>
  <w:style w:type="paragraph" w:customStyle="1" w:styleId="145">
    <w:name w:val="CM105"/>
    <w:basedOn w:val="85"/>
    <w:next w:val="85"/>
    <w:qFormat/>
    <w:uiPriority w:val="0"/>
    <w:pPr>
      <w:spacing w:after="108"/>
    </w:pPr>
    <w:rPr>
      <w:color w:val="auto"/>
    </w:rPr>
  </w:style>
  <w:style w:type="paragraph" w:customStyle="1" w:styleId="146">
    <w:name w:val="CM51"/>
    <w:basedOn w:val="85"/>
    <w:next w:val="85"/>
    <w:qFormat/>
    <w:uiPriority w:val="0"/>
    <w:rPr>
      <w:color w:val="auto"/>
    </w:rPr>
  </w:style>
  <w:style w:type="paragraph" w:customStyle="1" w:styleId="147">
    <w:name w:val="CM52"/>
    <w:basedOn w:val="85"/>
    <w:next w:val="85"/>
    <w:qFormat/>
    <w:uiPriority w:val="0"/>
    <w:pPr>
      <w:spacing w:line="280" w:lineRule="atLeast"/>
    </w:pPr>
    <w:rPr>
      <w:color w:val="auto"/>
    </w:rPr>
  </w:style>
  <w:style w:type="paragraph" w:customStyle="1" w:styleId="148">
    <w:name w:val="CM53"/>
    <w:basedOn w:val="85"/>
    <w:next w:val="85"/>
    <w:qFormat/>
    <w:uiPriority w:val="0"/>
    <w:pPr>
      <w:spacing w:line="403" w:lineRule="atLeast"/>
    </w:pPr>
    <w:rPr>
      <w:color w:val="auto"/>
    </w:rPr>
  </w:style>
  <w:style w:type="paragraph" w:customStyle="1" w:styleId="149">
    <w:name w:val="CM55"/>
    <w:basedOn w:val="85"/>
    <w:next w:val="85"/>
    <w:qFormat/>
    <w:uiPriority w:val="0"/>
    <w:pPr>
      <w:spacing w:line="403" w:lineRule="atLeast"/>
    </w:pPr>
    <w:rPr>
      <w:color w:val="auto"/>
    </w:rPr>
  </w:style>
  <w:style w:type="paragraph" w:customStyle="1" w:styleId="150">
    <w:name w:val="CM56"/>
    <w:basedOn w:val="85"/>
    <w:next w:val="85"/>
    <w:qFormat/>
    <w:uiPriority w:val="0"/>
    <w:pPr>
      <w:spacing w:line="403" w:lineRule="atLeast"/>
    </w:pPr>
    <w:rPr>
      <w:color w:val="auto"/>
    </w:rPr>
  </w:style>
  <w:style w:type="paragraph" w:customStyle="1" w:styleId="151">
    <w:name w:val="CM31"/>
    <w:basedOn w:val="85"/>
    <w:next w:val="85"/>
    <w:qFormat/>
    <w:uiPriority w:val="0"/>
    <w:pPr>
      <w:spacing w:line="403" w:lineRule="atLeast"/>
    </w:pPr>
    <w:rPr>
      <w:color w:val="auto"/>
    </w:rPr>
  </w:style>
  <w:style w:type="paragraph" w:customStyle="1" w:styleId="152">
    <w:name w:val="CM57"/>
    <w:basedOn w:val="85"/>
    <w:next w:val="85"/>
    <w:qFormat/>
    <w:uiPriority w:val="0"/>
    <w:pPr>
      <w:spacing w:line="403" w:lineRule="atLeast"/>
    </w:pPr>
    <w:rPr>
      <w:color w:val="auto"/>
    </w:rPr>
  </w:style>
  <w:style w:type="paragraph" w:customStyle="1" w:styleId="153">
    <w:name w:val="CM58"/>
    <w:basedOn w:val="85"/>
    <w:next w:val="85"/>
    <w:qFormat/>
    <w:uiPriority w:val="0"/>
    <w:pPr>
      <w:spacing w:line="403" w:lineRule="atLeast"/>
    </w:pPr>
    <w:rPr>
      <w:color w:val="auto"/>
    </w:rPr>
  </w:style>
  <w:style w:type="paragraph" w:customStyle="1" w:styleId="154">
    <w:name w:val="CM59"/>
    <w:basedOn w:val="85"/>
    <w:next w:val="85"/>
    <w:qFormat/>
    <w:uiPriority w:val="0"/>
    <w:pPr>
      <w:spacing w:line="403" w:lineRule="atLeast"/>
    </w:pPr>
    <w:rPr>
      <w:color w:val="auto"/>
    </w:rPr>
  </w:style>
  <w:style w:type="paragraph" w:customStyle="1" w:styleId="155">
    <w:name w:val="CM60"/>
    <w:basedOn w:val="85"/>
    <w:next w:val="85"/>
    <w:qFormat/>
    <w:uiPriority w:val="0"/>
    <w:pPr>
      <w:spacing w:line="403" w:lineRule="atLeast"/>
    </w:pPr>
    <w:rPr>
      <w:color w:val="auto"/>
    </w:rPr>
  </w:style>
  <w:style w:type="paragraph" w:customStyle="1" w:styleId="156">
    <w:name w:val="CM61"/>
    <w:basedOn w:val="85"/>
    <w:next w:val="85"/>
    <w:qFormat/>
    <w:uiPriority w:val="0"/>
    <w:pPr>
      <w:spacing w:line="403" w:lineRule="atLeast"/>
    </w:pPr>
    <w:rPr>
      <w:color w:val="auto"/>
    </w:rPr>
  </w:style>
  <w:style w:type="paragraph" w:customStyle="1" w:styleId="157">
    <w:name w:val="CM62"/>
    <w:basedOn w:val="85"/>
    <w:next w:val="85"/>
    <w:qFormat/>
    <w:uiPriority w:val="0"/>
    <w:pPr>
      <w:spacing w:line="403" w:lineRule="atLeast"/>
    </w:pPr>
    <w:rPr>
      <w:color w:val="auto"/>
    </w:rPr>
  </w:style>
  <w:style w:type="paragraph" w:customStyle="1" w:styleId="158">
    <w:name w:val="CM107"/>
    <w:basedOn w:val="85"/>
    <w:next w:val="85"/>
    <w:qFormat/>
    <w:uiPriority w:val="0"/>
    <w:pPr>
      <w:spacing w:after="550"/>
    </w:pPr>
    <w:rPr>
      <w:color w:val="auto"/>
    </w:rPr>
  </w:style>
  <w:style w:type="paragraph" w:customStyle="1" w:styleId="159">
    <w:name w:val="CM63"/>
    <w:basedOn w:val="85"/>
    <w:next w:val="85"/>
    <w:qFormat/>
    <w:uiPriority w:val="0"/>
    <w:pPr>
      <w:spacing w:line="403" w:lineRule="atLeast"/>
    </w:pPr>
    <w:rPr>
      <w:color w:val="auto"/>
    </w:rPr>
  </w:style>
  <w:style w:type="paragraph" w:customStyle="1" w:styleId="160">
    <w:name w:val="CM64"/>
    <w:basedOn w:val="85"/>
    <w:next w:val="85"/>
    <w:qFormat/>
    <w:uiPriority w:val="0"/>
    <w:pPr>
      <w:spacing w:line="403" w:lineRule="atLeast"/>
    </w:pPr>
    <w:rPr>
      <w:color w:val="auto"/>
    </w:rPr>
  </w:style>
  <w:style w:type="paragraph" w:customStyle="1" w:styleId="161">
    <w:name w:val="CM65"/>
    <w:basedOn w:val="85"/>
    <w:next w:val="85"/>
    <w:qFormat/>
    <w:uiPriority w:val="0"/>
    <w:rPr>
      <w:color w:val="auto"/>
    </w:rPr>
  </w:style>
  <w:style w:type="paragraph" w:customStyle="1" w:styleId="162">
    <w:name w:val="CM109"/>
    <w:basedOn w:val="85"/>
    <w:next w:val="85"/>
    <w:qFormat/>
    <w:uiPriority w:val="0"/>
    <w:pPr>
      <w:spacing w:after="1975"/>
    </w:pPr>
    <w:rPr>
      <w:color w:val="auto"/>
    </w:rPr>
  </w:style>
  <w:style w:type="paragraph" w:customStyle="1" w:styleId="163">
    <w:name w:val="CM66"/>
    <w:basedOn w:val="85"/>
    <w:next w:val="85"/>
    <w:qFormat/>
    <w:uiPriority w:val="0"/>
    <w:pPr>
      <w:spacing w:line="403" w:lineRule="atLeast"/>
    </w:pPr>
    <w:rPr>
      <w:color w:val="auto"/>
    </w:rPr>
  </w:style>
  <w:style w:type="paragraph" w:customStyle="1" w:styleId="164">
    <w:name w:val="CM67"/>
    <w:basedOn w:val="85"/>
    <w:next w:val="85"/>
    <w:qFormat/>
    <w:uiPriority w:val="0"/>
    <w:pPr>
      <w:spacing w:line="403" w:lineRule="atLeast"/>
    </w:pPr>
    <w:rPr>
      <w:color w:val="auto"/>
    </w:rPr>
  </w:style>
  <w:style w:type="paragraph" w:customStyle="1" w:styleId="165">
    <w:name w:val="CM68"/>
    <w:basedOn w:val="85"/>
    <w:next w:val="85"/>
    <w:qFormat/>
    <w:uiPriority w:val="0"/>
    <w:pPr>
      <w:spacing w:line="403" w:lineRule="atLeast"/>
    </w:pPr>
    <w:rPr>
      <w:color w:val="auto"/>
    </w:rPr>
  </w:style>
  <w:style w:type="paragraph" w:customStyle="1" w:styleId="166">
    <w:name w:val="CM69"/>
    <w:basedOn w:val="85"/>
    <w:next w:val="85"/>
    <w:qFormat/>
    <w:uiPriority w:val="0"/>
    <w:pPr>
      <w:spacing w:line="403" w:lineRule="atLeast"/>
    </w:pPr>
    <w:rPr>
      <w:color w:val="auto"/>
    </w:rPr>
  </w:style>
  <w:style w:type="paragraph" w:customStyle="1" w:styleId="167">
    <w:name w:val="CM70"/>
    <w:basedOn w:val="85"/>
    <w:next w:val="85"/>
    <w:qFormat/>
    <w:uiPriority w:val="0"/>
    <w:pPr>
      <w:spacing w:line="403" w:lineRule="atLeast"/>
    </w:pPr>
    <w:rPr>
      <w:color w:val="auto"/>
    </w:rPr>
  </w:style>
  <w:style w:type="paragraph" w:customStyle="1" w:styleId="168">
    <w:name w:val="CM71"/>
    <w:basedOn w:val="85"/>
    <w:next w:val="85"/>
    <w:qFormat/>
    <w:uiPriority w:val="0"/>
    <w:rPr>
      <w:color w:val="auto"/>
    </w:rPr>
  </w:style>
  <w:style w:type="paragraph" w:customStyle="1" w:styleId="169">
    <w:name w:val="CM72"/>
    <w:basedOn w:val="85"/>
    <w:next w:val="85"/>
    <w:qFormat/>
    <w:uiPriority w:val="0"/>
    <w:rPr>
      <w:color w:val="auto"/>
    </w:rPr>
  </w:style>
  <w:style w:type="paragraph" w:customStyle="1" w:styleId="170">
    <w:name w:val="CM73"/>
    <w:basedOn w:val="85"/>
    <w:next w:val="85"/>
    <w:qFormat/>
    <w:uiPriority w:val="0"/>
    <w:rPr>
      <w:color w:val="auto"/>
    </w:rPr>
  </w:style>
  <w:style w:type="paragraph" w:customStyle="1" w:styleId="171">
    <w:name w:val="CM74"/>
    <w:basedOn w:val="85"/>
    <w:next w:val="85"/>
    <w:qFormat/>
    <w:uiPriority w:val="0"/>
    <w:rPr>
      <w:color w:val="auto"/>
    </w:rPr>
  </w:style>
  <w:style w:type="paragraph" w:customStyle="1" w:styleId="172">
    <w:name w:val="CM75"/>
    <w:basedOn w:val="85"/>
    <w:next w:val="85"/>
    <w:qFormat/>
    <w:uiPriority w:val="0"/>
    <w:pPr>
      <w:spacing w:line="398" w:lineRule="atLeast"/>
    </w:pPr>
    <w:rPr>
      <w:color w:val="auto"/>
    </w:rPr>
  </w:style>
  <w:style w:type="paragraph" w:customStyle="1" w:styleId="173">
    <w:name w:val="CM76"/>
    <w:basedOn w:val="85"/>
    <w:next w:val="85"/>
    <w:qFormat/>
    <w:uiPriority w:val="0"/>
    <w:pPr>
      <w:spacing w:line="403" w:lineRule="atLeast"/>
    </w:pPr>
    <w:rPr>
      <w:color w:val="auto"/>
    </w:rPr>
  </w:style>
  <w:style w:type="paragraph" w:customStyle="1" w:styleId="174">
    <w:name w:val="CM108"/>
    <w:basedOn w:val="85"/>
    <w:next w:val="85"/>
    <w:qFormat/>
    <w:uiPriority w:val="0"/>
    <w:pPr>
      <w:spacing w:after="435"/>
    </w:pPr>
    <w:rPr>
      <w:color w:val="auto"/>
    </w:rPr>
  </w:style>
  <w:style w:type="paragraph" w:customStyle="1" w:styleId="175">
    <w:name w:val="CM77"/>
    <w:basedOn w:val="85"/>
    <w:next w:val="85"/>
    <w:qFormat/>
    <w:uiPriority w:val="0"/>
    <w:pPr>
      <w:spacing w:line="403" w:lineRule="atLeast"/>
    </w:pPr>
    <w:rPr>
      <w:color w:val="auto"/>
    </w:rPr>
  </w:style>
  <w:style w:type="paragraph" w:customStyle="1" w:styleId="176">
    <w:name w:val="CM78"/>
    <w:basedOn w:val="85"/>
    <w:next w:val="85"/>
    <w:qFormat/>
    <w:uiPriority w:val="0"/>
    <w:pPr>
      <w:spacing w:line="403" w:lineRule="atLeast"/>
    </w:pPr>
    <w:rPr>
      <w:color w:val="auto"/>
    </w:rPr>
  </w:style>
  <w:style w:type="paragraph" w:customStyle="1" w:styleId="177">
    <w:name w:val="CM79"/>
    <w:basedOn w:val="85"/>
    <w:next w:val="85"/>
    <w:qFormat/>
    <w:uiPriority w:val="0"/>
    <w:rPr>
      <w:color w:val="auto"/>
    </w:rPr>
  </w:style>
  <w:style w:type="paragraph" w:customStyle="1" w:styleId="178">
    <w:name w:val="CM80"/>
    <w:basedOn w:val="85"/>
    <w:next w:val="85"/>
    <w:qFormat/>
    <w:uiPriority w:val="0"/>
    <w:pPr>
      <w:spacing w:line="403" w:lineRule="atLeast"/>
    </w:pPr>
    <w:rPr>
      <w:color w:val="auto"/>
    </w:rPr>
  </w:style>
  <w:style w:type="paragraph" w:customStyle="1" w:styleId="179">
    <w:name w:val="CM81"/>
    <w:basedOn w:val="85"/>
    <w:next w:val="85"/>
    <w:qFormat/>
    <w:uiPriority w:val="0"/>
    <w:pPr>
      <w:spacing w:line="403" w:lineRule="atLeast"/>
    </w:pPr>
    <w:rPr>
      <w:color w:val="auto"/>
    </w:rPr>
  </w:style>
  <w:style w:type="paragraph" w:customStyle="1" w:styleId="180">
    <w:name w:val="CM82"/>
    <w:basedOn w:val="85"/>
    <w:next w:val="85"/>
    <w:qFormat/>
    <w:uiPriority w:val="0"/>
    <w:pPr>
      <w:spacing w:line="403" w:lineRule="atLeast"/>
    </w:pPr>
    <w:rPr>
      <w:color w:val="auto"/>
    </w:rPr>
  </w:style>
  <w:style w:type="paragraph" w:customStyle="1" w:styleId="181">
    <w:name w:val="CM83"/>
    <w:basedOn w:val="85"/>
    <w:next w:val="85"/>
    <w:qFormat/>
    <w:uiPriority w:val="0"/>
    <w:rPr>
      <w:color w:val="auto"/>
    </w:rPr>
  </w:style>
  <w:style w:type="paragraph" w:customStyle="1" w:styleId="182">
    <w:name w:val="CM84"/>
    <w:basedOn w:val="85"/>
    <w:next w:val="85"/>
    <w:qFormat/>
    <w:uiPriority w:val="0"/>
    <w:pPr>
      <w:spacing w:line="403" w:lineRule="atLeast"/>
    </w:pPr>
    <w:rPr>
      <w:color w:val="auto"/>
    </w:rPr>
  </w:style>
  <w:style w:type="paragraph" w:customStyle="1" w:styleId="183">
    <w:name w:val="CM85"/>
    <w:basedOn w:val="85"/>
    <w:next w:val="85"/>
    <w:qFormat/>
    <w:uiPriority w:val="0"/>
    <w:pPr>
      <w:spacing w:line="403" w:lineRule="atLeast"/>
    </w:pPr>
    <w:rPr>
      <w:color w:val="auto"/>
    </w:rPr>
  </w:style>
  <w:style w:type="paragraph" w:customStyle="1" w:styleId="184">
    <w:name w:val="CM86"/>
    <w:basedOn w:val="85"/>
    <w:next w:val="85"/>
    <w:qFormat/>
    <w:uiPriority w:val="0"/>
    <w:pPr>
      <w:spacing w:line="403" w:lineRule="atLeast"/>
    </w:pPr>
    <w:rPr>
      <w:color w:val="auto"/>
    </w:rPr>
  </w:style>
  <w:style w:type="paragraph" w:customStyle="1" w:styleId="185">
    <w:name w:val="CM87"/>
    <w:basedOn w:val="85"/>
    <w:next w:val="85"/>
    <w:qFormat/>
    <w:uiPriority w:val="0"/>
    <w:pPr>
      <w:spacing w:line="403" w:lineRule="atLeast"/>
    </w:pPr>
    <w:rPr>
      <w:color w:val="auto"/>
    </w:rPr>
  </w:style>
  <w:style w:type="paragraph" w:customStyle="1" w:styleId="186">
    <w:name w:val="CM88"/>
    <w:basedOn w:val="85"/>
    <w:next w:val="85"/>
    <w:qFormat/>
    <w:uiPriority w:val="0"/>
    <w:pPr>
      <w:spacing w:line="403" w:lineRule="atLeast"/>
    </w:pPr>
    <w:rPr>
      <w:color w:val="auto"/>
    </w:rPr>
  </w:style>
  <w:style w:type="paragraph" w:customStyle="1" w:styleId="187">
    <w:name w:val="CM89"/>
    <w:basedOn w:val="85"/>
    <w:next w:val="85"/>
    <w:qFormat/>
    <w:uiPriority w:val="0"/>
    <w:pPr>
      <w:spacing w:line="403" w:lineRule="atLeast"/>
    </w:pPr>
    <w:rPr>
      <w:color w:val="auto"/>
    </w:rPr>
  </w:style>
  <w:style w:type="paragraph" w:customStyle="1" w:styleId="188">
    <w:name w:val="CM90"/>
    <w:basedOn w:val="85"/>
    <w:next w:val="85"/>
    <w:qFormat/>
    <w:uiPriority w:val="0"/>
    <w:pPr>
      <w:spacing w:line="403" w:lineRule="atLeast"/>
    </w:pPr>
    <w:rPr>
      <w:color w:val="auto"/>
    </w:rPr>
  </w:style>
  <w:style w:type="paragraph" w:customStyle="1" w:styleId="189">
    <w:name w:val="CM91"/>
    <w:basedOn w:val="85"/>
    <w:next w:val="85"/>
    <w:qFormat/>
    <w:uiPriority w:val="0"/>
    <w:pPr>
      <w:spacing w:line="403" w:lineRule="atLeast"/>
    </w:pPr>
    <w:rPr>
      <w:color w:val="auto"/>
    </w:rPr>
  </w:style>
  <w:style w:type="paragraph" w:customStyle="1" w:styleId="190">
    <w:name w:val="CM92"/>
    <w:basedOn w:val="85"/>
    <w:next w:val="85"/>
    <w:qFormat/>
    <w:uiPriority w:val="0"/>
    <w:rPr>
      <w:color w:val="auto"/>
    </w:rPr>
  </w:style>
  <w:style w:type="paragraph" w:customStyle="1" w:styleId="191">
    <w:name w:val="CM94"/>
    <w:basedOn w:val="85"/>
    <w:next w:val="85"/>
    <w:qFormat/>
    <w:uiPriority w:val="0"/>
    <w:rPr>
      <w:color w:val="auto"/>
    </w:rPr>
  </w:style>
  <w:style w:type="paragraph" w:customStyle="1" w:styleId="192">
    <w:name w:val="CM95"/>
    <w:basedOn w:val="85"/>
    <w:next w:val="85"/>
    <w:qFormat/>
    <w:uiPriority w:val="0"/>
    <w:pPr>
      <w:spacing w:line="403" w:lineRule="atLeast"/>
    </w:pPr>
    <w:rPr>
      <w:color w:val="auto"/>
    </w:rPr>
  </w:style>
  <w:style w:type="character" w:customStyle="1" w:styleId="193">
    <w:name w:val="grame"/>
    <w:qFormat/>
    <w:uiPriority w:val="0"/>
  </w:style>
  <w:style w:type="table" w:customStyle="1" w:styleId="194">
    <w:name w:val="网格型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Char"/>
    <w:basedOn w:val="1"/>
    <w:qFormat/>
    <w:uiPriority w:val="0"/>
    <w:rPr>
      <w:rFonts w:ascii="Tahoma" w:hAnsi="Tahoma"/>
      <w:sz w:val="24"/>
    </w:rPr>
  </w:style>
  <w:style w:type="paragraph" w:customStyle="1" w:styleId="196">
    <w:name w:val="Standard Numbering"/>
    <w:basedOn w:val="1"/>
    <w:qFormat/>
    <w:uiPriority w:val="0"/>
    <w:pPr>
      <w:widowControl/>
      <w:tabs>
        <w:tab w:val="left" w:pos="851"/>
      </w:tabs>
      <w:spacing w:after="400"/>
      <w:ind w:left="851" w:hanging="851"/>
      <w:jc w:val="left"/>
    </w:pPr>
    <w:rPr>
      <w:rFonts w:ascii="Arial" w:hAnsi="Arial" w:eastAsia="Batang"/>
      <w:kern w:val="0"/>
      <w:sz w:val="24"/>
      <w:lang w:val="en-GB" w:eastAsia="en-US"/>
    </w:rPr>
  </w:style>
  <w:style w:type="character" w:customStyle="1" w:styleId="197">
    <w:name w:val="style7"/>
    <w:qFormat/>
    <w:uiPriority w:val="0"/>
  </w:style>
  <w:style w:type="character" w:customStyle="1" w:styleId="198">
    <w:name w:val="f1"/>
    <w:qFormat/>
    <w:uiPriority w:val="0"/>
    <w:rPr>
      <w:rFonts w:hint="eastAsia" w:ascii="黑体" w:eastAsia="黑体"/>
      <w:color w:val="000000"/>
      <w:sz w:val="24"/>
      <w:szCs w:val="24"/>
    </w:rPr>
  </w:style>
  <w:style w:type="paragraph" w:customStyle="1" w:styleId="199">
    <w:name w:val="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00">
    <w:name w:val="text1"/>
    <w:qFormat/>
    <w:uiPriority w:val="0"/>
    <w:rPr>
      <w:sz w:val="18"/>
      <w:szCs w:val="18"/>
    </w:rPr>
  </w:style>
  <w:style w:type="character" w:customStyle="1" w:styleId="201">
    <w:name w:val="p1"/>
    <w:qFormat/>
    <w:uiPriority w:val="0"/>
  </w:style>
  <w:style w:type="paragraph" w:customStyle="1" w:styleId="202">
    <w:name w:val="吹き出し1"/>
    <w:basedOn w:val="1"/>
    <w:semiHidden/>
    <w:qFormat/>
    <w:uiPriority w:val="0"/>
    <w:pPr>
      <w:numPr>
        <w:ilvl w:val="0"/>
        <w:numId w:val="2"/>
      </w:numPr>
      <w:tabs>
        <w:tab w:val="clear" w:pos="1050"/>
      </w:tabs>
      <w:ind w:left="0" w:firstLine="0"/>
      <w:jc w:val="left"/>
    </w:pPr>
    <w:rPr>
      <w:rFonts w:ascii="Arial" w:hAnsi="Arial" w:eastAsia="MS Gothic"/>
      <w:sz w:val="18"/>
      <w:szCs w:val="18"/>
      <w:lang w:eastAsia="zh-TW"/>
    </w:rPr>
  </w:style>
  <w:style w:type="character" w:customStyle="1" w:styleId="203">
    <w:name w:val="color07"/>
    <w:qFormat/>
    <w:uiPriority w:val="0"/>
  </w:style>
  <w:style w:type="paragraph" w:customStyle="1" w:styleId="204">
    <w:name w:val="MD1_L1"/>
    <w:basedOn w:val="1"/>
    <w:next w:val="205"/>
    <w:qFormat/>
    <w:uiPriority w:val="0"/>
    <w:pPr>
      <w:keepNext/>
      <w:widowControl/>
      <w:tabs>
        <w:tab w:val="left" w:pos="0"/>
      </w:tabs>
      <w:spacing w:after="240"/>
      <w:jc w:val="center"/>
      <w:outlineLvl w:val="0"/>
    </w:pPr>
    <w:rPr>
      <w:b/>
      <w:kern w:val="0"/>
      <w:sz w:val="24"/>
      <w:lang w:eastAsia="en-US"/>
    </w:rPr>
  </w:style>
  <w:style w:type="paragraph" w:customStyle="1" w:styleId="205">
    <w:name w:val="MD1_L2"/>
    <w:basedOn w:val="1"/>
    <w:qFormat/>
    <w:uiPriority w:val="0"/>
    <w:pPr>
      <w:widowControl/>
      <w:tabs>
        <w:tab w:val="left" w:pos="720"/>
      </w:tabs>
      <w:spacing w:after="240"/>
      <w:outlineLvl w:val="1"/>
    </w:pPr>
    <w:rPr>
      <w:kern w:val="0"/>
      <w:sz w:val="24"/>
      <w:lang w:eastAsia="en-US"/>
    </w:rPr>
  </w:style>
  <w:style w:type="paragraph" w:customStyle="1" w:styleId="206">
    <w:name w:val="MD1_L3"/>
    <w:basedOn w:val="1"/>
    <w:qFormat/>
    <w:uiPriority w:val="0"/>
    <w:pPr>
      <w:widowControl/>
      <w:tabs>
        <w:tab w:val="left" w:pos="1440"/>
      </w:tabs>
      <w:spacing w:after="240"/>
      <w:ind w:left="1440" w:hanging="720"/>
      <w:outlineLvl w:val="2"/>
    </w:pPr>
    <w:rPr>
      <w:kern w:val="0"/>
      <w:sz w:val="24"/>
      <w:lang w:eastAsia="en-US"/>
    </w:rPr>
  </w:style>
  <w:style w:type="paragraph" w:customStyle="1" w:styleId="207">
    <w:name w:val="MD1_L4"/>
    <w:basedOn w:val="1"/>
    <w:qFormat/>
    <w:uiPriority w:val="0"/>
    <w:pPr>
      <w:widowControl/>
      <w:tabs>
        <w:tab w:val="left" w:pos="2160"/>
      </w:tabs>
      <w:spacing w:after="240"/>
      <w:ind w:left="2160" w:hanging="720"/>
      <w:outlineLvl w:val="3"/>
    </w:pPr>
    <w:rPr>
      <w:kern w:val="0"/>
      <w:sz w:val="24"/>
      <w:lang w:eastAsia="en-US"/>
    </w:rPr>
  </w:style>
  <w:style w:type="paragraph" w:customStyle="1" w:styleId="208">
    <w:name w:val="MD1_L5"/>
    <w:basedOn w:val="1"/>
    <w:qFormat/>
    <w:uiPriority w:val="0"/>
    <w:pPr>
      <w:widowControl/>
      <w:tabs>
        <w:tab w:val="left" w:pos="2880"/>
      </w:tabs>
      <w:spacing w:after="240"/>
      <w:ind w:left="2880" w:hanging="720"/>
      <w:outlineLvl w:val="4"/>
    </w:pPr>
    <w:rPr>
      <w:kern w:val="0"/>
      <w:sz w:val="24"/>
      <w:lang w:eastAsia="en-US"/>
    </w:rPr>
  </w:style>
  <w:style w:type="paragraph" w:customStyle="1" w:styleId="209">
    <w:name w:val="MD1_L6"/>
    <w:basedOn w:val="1"/>
    <w:qFormat/>
    <w:uiPriority w:val="0"/>
    <w:pPr>
      <w:widowControl/>
      <w:tabs>
        <w:tab w:val="left" w:pos="720"/>
      </w:tabs>
      <w:spacing w:after="240"/>
      <w:outlineLvl w:val="5"/>
    </w:pPr>
    <w:rPr>
      <w:kern w:val="0"/>
      <w:sz w:val="24"/>
      <w:lang w:eastAsia="en-US"/>
    </w:rPr>
  </w:style>
  <w:style w:type="paragraph" w:customStyle="1" w:styleId="210">
    <w:name w:val="MD1_L7"/>
    <w:basedOn w:val="1"/>
    <w:qFormat/>
    <w:uiPriority w:val="0"/>
    <w:pPr>
      <w:widowControl/>
      <w:tabs>
        <w:tab w:val="left" w:pos="1440"/>
      </w:tabs>
      <w:spacing w:after="240"/>
      <w:ind w:left="1440" w:hanging="720"/>
      <w:outlineLvl w:val="6"/>
    </w:pPr>
    <w:rPr>
      <w:kern w:val="0"/>
      <w:sz w:val="24"/>
      <w:lang w:eastAsia="en-US"/>
    </w:rPr>
  </w:style>
  <w:style w:type="paragraph" w:customStyle="1" w:styleId="211">
    <w:name w:val="MD1_L8"/>
    <w:basedOn w:val="1"/>
    <w:qFormat/>
    <w:uiPriority w:val="0"/>
    <w:pPr>
      <w:widowControl/>
      <w:tabs>
        <w:tab w:val="left" w:pos="2160"/>
      </w:tabs>
      <w:spacing w:after="240"/>
      <w:ind w:left="2160" w:hanging="720"/>
      <w:outlineLvl w:val="7"/>
    </w:pPr>
    <w:rPr>
      <w:kern w:val="0"/>
      <w:sz w:val="24"/>
      <w:lang w:eastAsia="en-US"/>
    </w:rPr>
  </w:style>
  <w:style w:type="paragraph" w:customStyle="1" w:styleId="212">
    <w:name w:val="MD1_L9"/>
    <w:basedOn w:val="1"/>
    <w:qFormat/>
    <w:uiPriority w:val="0"/>
    <w:pPr>
      <w:widowControl/>
      <w:tabs>
        <w:tab w:val="left" w:pos="3780"/>
      </w:tabs>
      <w:spacing w:after="240"/>
      <w:ind w:left="3780" w:hanging="420"/>
      <w:outlineLvl w:val="8"/>
    </w:pPr>
    <w:rPr>
      <w:kern w:val="0"/>
      <w:sz w:val="24"/>
      <w:lang w:eastAsia="en-US"/>
    </w:rPr>
  </w:style>
  <w:style w:type="character" w:customStyle="1" w:styleId="213">
    <w:name w:val="google-src-text1"/>
    <w:qFormat/>
    <w:uiPriority w:val="0"/>
    <w:rPr>
      <w:vanish/>
    </w:rPr>
  </w:style>
  <w:style w:type="paragraph" w:customStyle="1" w:styleId="214">
    <w:name w:val="表题"/>
    <w:basedOn w:val="1"/>
    <w:qFormat/>
    <w:uiPriority w:val="0"/>
    <w:pPr>
      <w:autoSpaceDE w:val="0"/>
      <w:autoSpaceDN w:val="0"/>
      <w:adjustRightInd w:val="0"/>
      <w:spacing w:beforeLines="50"/>
      <w:jc w:val="center"/>
      <w:textAlignment w:val="baseline"/>
    </w:pPr>
    <w:rPr>
      <w:rFonts w:ascii="黑体" w:eastAsia="黑体"/>
      <w:kern w:val="0"/>
      <w:sz w:val="18"/>
    </w:rPr>
  </w:style>
  <w:style w:type="paragraph" w:customStyle="1" w:styleId="215">
    <w:name w:val="表文字"/>
    <w:basedOn w:val="13"/>
    <w:qFormat/>
    <w:uiPriority w:val="0"/>
    <w:pPr>
      <w:autoSpaceDE w:val="0"/>
      <w:autoSpaceDN w:val="0"/>
      <w:ind w:firstLine="0" w:firstLineChars="0"/>
      <w:jc w:val="center"/>
    </w:pPr>
    <w:rPr>
      <w:kern w:val="21"/>
      <w:sz w:val="15"/>
    </w:rPr>
  </w:style>
  <w:style w:type="paragraph" w:customStyle="1" w:styleId="216">
    <w:name w:val="参考文献"/>
    <w:basedOn w:val="13"/>
    <w:qFormat/>
    <w:uiPriority w:val="0"/>
    <w:pPr>
      <w:autoSpaceDE w:val="0"/>
      <w:autoSpaceDN w:val="0"/>
      <w:spacing w:line="270" w:lineRule="exact"/>
      <w:ind w:firstLine="360"/>
    </w:pPr>
    <w:rPr>
      <w:kern w:val="21"/>
      <w:sz w:val="18"/>
    </w:rPr>
  </w:style>
  <w:style w:type="paragraph" w:customStyle="1" w:styleId="217">
    <w:name w:val="公式"/>
    <w:basedOn w:val="13"/>
    <w:qFormat/>
    <w:uiPriority w:val="0"/>
    <w:pPr>
      <w:autoSpaceDE w:val="0"/>
      <w:autoSpaceDN w:val="0"/>
      <w:adjustRightInd w:val="0"/>
      <w:ind w:firstLine="0" w:firstLineChars="0"/>
      <w:jc w:val="center"/>
      <w:textAlignment w:val="baseline"/>
    </w:pPr>
    <w:rPr>
      <w:rFonts w:ascii="宋体"/>
      <w:sz w:val="24"/>
      <w:szCs w:val="20"/>
    </w:rPr>
  </w:style>
  <w:style w:type="paragraph" w:customStyle="1" w:styleId="218">
    <w:name w:val="图"/>
    <w:basedOn w:val="13"/>
    <w:qFormat/>
    <w:uiPriority w:val="0"/>
    <w:pPr>
      <w:autoSpaceDE w:val="0"/>
      <w:autoSpaceDN w:val="0"/>
      <w:spacing w:beforeLines="50"/>
      <w:ind w:firstLine="0" w:firstLineChars="0"/>
      <w:jc w:val="center"/>
    </w:pPr>
    <w:rPr>
      <w:kern w:val="21"/>
      <w:sz w:val="24"/>
    </w:rPr>
  </w:style>
  <w:style w:type="paragraph" w:customStyle="1" w:styleId="219">
    <w:name w:val="图题"/>
    <w:basedOn w:val="13"/>
    <w:qFormat/>
    <w:uiPriority w:val="0"/>
    <w:pPr>
      <w:autoSpaceDE w:val="0"/>
      <w:autoSpaceDN w:val="0"/>
      <w:spacing w:afterLines="50"/>
      <w:ind w:firstLine="0" w:firstLineChars="0"/>
      <w:jc w:val="center"/>
    </w:pPr>
    <w:rPr>
      <w:kern w:val="21"/>
      <w:sz w:val="18"/>
    </w:rPr>
  </w:style>
  <w:style w:type="paragraph" w:customStyle="1" w:styleId="220">
    <w:name w:val="图注"/>
    <w:basedOn w:val="1"/>
    <w:qFormat/>
    <w:uiPriority w:val="0"/>
    <w:pPr>
      <w:autoSpaceDE w:val="0"/>
      <w:autoSpaceDN w:val="0"/>
      <w:adjustRightInd w:val="0"/>
      <w:spacing w:afterLines="50"/>
      <w:jc w:val="center"/>
      <w:textAlignment w:val="baseline"/>
    </w:pPr>
    <w:rPr>
      <w:kern w:val="0"/>
      <w:sz w:val="18"/>
    </w:rPr>
  </w:style>
  <w:style w:type="paragraph" w:customStyle="1" w:styleId="221">
    <w:name w:val="编号列表"/>
    <w:basedOn w:val="13"/>
    <w:qFormat/>
    <w:uiPriority w:val="0"/>
    <w:pPr>
      <w:tabs>
        <w:tab w:val="left" w:pos="1050"/>
      </w:tabs>
      <w:autoSpaceDE w:val="0"/>
      <w:autoSpaceDN w:val="0"/>
      <w:adjustRightInd w:val="0"/>
      <w:spacing w:line="360" w:lineRule="auto"/>
      <w:ind w:left="1050" w:firstLine="0" w:firstLineChars="0"/>
      <w:textAlignment w:val="baseline"/>
    </w:pPr>
    <w:rPr>
      <w:rFonts w:ascii="宋体" w:hAnsi="宋体"/>
      <w:sz w:val="24"/>
      <w:szCs w:val="20"/>
    </w:rPr>
  </w:style>
  <w:style w:type="paragraph" w:customStyle="1" w:styleId="222">
    <w:name w:val="表格文字"/>
    <w:next w:val="1"/>
    <w:qFormat/>
    <w:uiPriority w:val="0"/>
    <w:pPr>
      <w:adjustRightInd w:val="0"/>
      <w:snapToGrid w:val="0"/>
      <w:jc w:val="center"/>
    </w:pPr>
    <w:rPr>
      <w:rFonts w:ascii="Times New Roman" w:hAnsi="Times New Roman" w:eastAsia="宋体" w:cs="Times New Roman"/>
      <w:snapToGrid w:val="0"/>
      <w:kern w:val="21"/>
      <w:sz w:val="21"/>
      <w:lang w:val="en-US" w:eastAsia="zh-CN" w:bidi="ar-SA"/>
    </w:rPr>
  </w:style>
  <w:style w:type="paragraph" w:customStyle="1" w:styleId="223">
    <w:name w:val="Char Char Char Char"/>
    <w:basedOn w:val="1"/>
    <w:qFormat/>
    <w:uiPriority w:val="0"/>
    <w:rPr>
      <w:rFonts w:ascii="Tahoma" w:hAnsi="Tahoma"/>
      <w:sz w:val="24"/>
    </w:rPr>
  </w:style>
  <w:style w:type="paragraph" w:customStyle="1" w:styleId="224">
    <w:name w:val="HP_Table_Title"/>
    <w:basedOn w:val="1"/>
    <w:next w:val="1"/>
    <w:qFormat/>
    <w:uiPriority w:val="0"/>
    <w:pPr>
      <w:keepNext/>
      <w:keepLines/>
      <w:widowControl/>
      <w:spacing w:before="240" w:after="60"/>
      <w:jc w:val="left"/>
    </w:pPr>
    <w:rPr>
      <w:rFonts w:ascii="Futura Hv" w:hAnsi="Futura Hv"/>
      <w:kern w:val="0"/>
      <w:sz w:val="18"/>
      <w:lang w:eastAsia="en-US"/>
    </w:rPr>
  </w:style>
  <w:style w:type="paragraph" w:customStyle="1" w:styleId="225">
    <w:name w:val="Table_Medium"/>
    <w:basedOn w:val="1"/>
    <w:qFormat/>
    <w:uiPriority w:val="0"/>
    <w:pPr>
      <w:widowControl/>
      <w:spacing w:before="40" w:after="40"/>
      <w:jc w:val="left"/>
    </w:pPr>
    <w:rPr>
      <w:rFonts w:ascii="Futura Bk" w:hAnsi="Futura Bk"/>
      <w:kern w:val="0"/>
      <w:sz w:val="18"/>
      <w:lang w:eastAsia="en-US"/>
    </w:rPr>
  </w:style>
  <w:style w:type="paragraph" w:customStyle="1" w:styleId="226">
    <w:name w:val="Char Char Char"/>
    <w:basedOn w:val="1"/>
    <w:qFormat/>
    <w:uiPriority w:val="0"/>
    <w:rPr>
      <w:rFonts w:ascii="Tahoma" w:hAnsi="Tahoma"/>
      <w:sz w:val="24"/>
    </w:rPr>
  </w:style>
  <w:style w:type="paragraph" w:customStyle="1" w:styleId="227">
    <w:name w:val="文档正文"/>
    <w:basedOn w:val="1"/>
    <w:qFormat/>
    <w:uiPriority w:val="0"/>
    <w:pPr>
      <w:spacing w:line="300" w:lineRule="auto"/>
      <w:ind w:firstLine="420" w:firstLineChars="200"/>
    </w:pPr>
    <w:rPr>
      <w:bCs/>
      <w:szCs w:val="21"/>
    </w:rPr>
  </w:style>
  <w:style w:type="paragraph" w:customStyle="1" w:styleId="228">
    <w:name w:val="Char Char Char Char Char Char Char Char Char Char Char Char Char Char Char Char"/>
    <w:basedOn w:val="1"/>
    <w:semiHidden/>
    <w:qFormat/>
    <w:uiPriority w:val="0"/>
    <w:pPr>
      <w:tabs>
        <w:tab w:val="left" w:pos="360"/>
      </w:tabs>
    </w:pPr>
    <w:rPr>
      <w:sz w:val="24"/>
      <w:szCs w:val="24"/>
    </w:rPr>
  </w:style>
  <w:style w:type="character" w:customStyle="1" w:styleId="229">
    <w:name w:val="h2 Char"/>
    <w:qFormat/>
    <w:uiPriority w:val="0"/>
    <w:rPr>
      <w:rFonts w:ascii="Arial" w:hAnsi="Arial" w:eastAsia="黑体"/>
      <w:b/>
      <w:bCs/>
      <w:kern w:val="2"/>
      <w:sz w:val="32"/>
      <w:szCs w:val="32"/>
      <w:lang w:val="en-US" w:eastAsia="zh-CN" w:bidi="ar-SA"/>
    </w:rPr>
  </w:style>
  <w:style w:type="character" w:customStyle="1" w:styleId="230">
    <w:name w:val="Char Char7"/>
    <w:qFormat/>
    <w:uiPriority w:val="0"/>
    <w:rPr>
      <w:rFonts w:eastAsia="宋体"/>
      <w:kern w:val="2"/>
      <w:sz w:val="18"/>
      <w:szCs w:val="18"/>
      <w:lang w:val="en-US" w:eastAsia="zh-CN" w:bidi="ar-SA"/>
    </w:rPr>
  </w:style>
  <w:style w:type="paragraph" w:customStyle="1" w:styleId="231">
    <w:name w:val="Char Char1 Char Char1"/>
    <w:basedOn w:val="1"/>
    <w:qFormat/>
    <w:uiPriority w:val="0"/>
    <w:rPr>
      <w:rFonts w:ascii="Tahoma" w:hAnsi="Tahoma"/>
      <w:sz w:val="24"/>
    </w:rPr>
  </w:style>
  <w:style w:type="paragraph" w:customStyle="1" w:styleId="232">
    <w:name w:val="Char Char1 Char Char1 Char Char"/>
    <w:basedOn w:val="1"/>
    <w:qFormat/>
    <w:uiPriority w:val="0"/>
    <w:rPr>
      <w:rFonts w:ascii="Tahoma" w:hAnsi="Tahoma"/>
      <w:sz w:val="24"/>
    </w:rPr>
  </w:style>
  <w:style w:type="paragraph" w:customStyle="1" w:styleId="233">
    <w:name w:val="Char1"/>
    <w:basedOn w:val="1"/>
    <w:qFormat/>
    <w:uiPriority w:val="0"/>
    <w:rPr>
      <w:rFonts w:ascii="Tahoma" w:hAnsi="Tahoma"/>
      <w:sz w:val="24"/>
    </w:rPr>
  </w:style>
  <w:style w:type="table" w:customStyle="1" w:styleId="234">
    <w:name w:val="简明型 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35">
    <w:name w:val="Char Char Char Char1"/>
    <w:basedOn w:val="1"/>
    <w:qFormat/>
    <w:uiPriority w:val="0"/>
    <w:rPr>
      <w:rFonts w:ascii="Tahoma" w:hAnsi="Tahoma"/>
      <w:sz w:val="24"/>
    </w:rPr>
  </w:style>
  <w:style w:type="paragraph" w:customStyle="1" w:styleId="236">
    <w:name w:val="Char Char Char1"/>
    <w:basedOn w:val="1"/>
    <w:qFormat/>
    <w:uiPriority w:val="0"/>
    <w:rPr>
      <w:rFonts w:ascii="Tahoma" w:hAnsi="Tahoma"/>
      <w:sz w:val="24"/>
    </w:rPr>
  </w:style>
  <w:style w:type="paragraph" w:customStyle="1" w:styleId="237">
    <w:name w:val="Char Char Char Char Char Char Char Char Char Char Char Char Char Char Char Char1"/>
    <w:basedOn w:val="1"/>
    <w:semiHidden/>
    <w:qFormat/>
    <w:uiPriority w:val="0"/>
    <w:pPr>
      <w:tabs>
        <w:tab w:val="left" w:pos="360"/>
      </w:tabs>
    </w:pPr>
    <w:rPr>
      <w:sz w:val="24"/>
      <w:szCs w:val="24"/>
    </w:rPr>
  </w:style>
  <w:style w:type="character" w:customStyle="1" w:styleId="238">
    <w:name w:val="Char Char71"/>
    <w:qFormat/>
    <w:uiPriority w:val="0"/>
    <w:rPr>
      <w:rFonts w:eastAsia="宋体"/>
      <w:kern w:val="2"/>
      <w:sz w:val="18"/>
      <w:szCs w:val="18"/>
      <w:lang w:val="en-US" w:eastAsia="zh-CN" w:bidi="ar-SA"/>
    </w:rPr>
  </w:style>
  <w:style w:type="paragraph" w:customStyle="1" w:styleId="239">
    <w:name w:val="Char Char1 Char Char11"/>
    <w:basedOn w:val="1"/>
    <w:qFormat/>
    <w:uiPriority w:val="0"/>
    <w:rPr>
      <w:rFonts w:ascii="Tahoma" w:hAnsi="Tahoma"/>
      <w:sz w:val="24"/>
    </w:rPr>
  </w:style>
  <w:style w:type="paragraph" w:customStyle="1" w:styleId="240">
    <w:name w:val="Char Char1 Char Char1 Char Char1"/>
    <w:basedOn w:val="1"/>
    <w:qFormat/>
    <w:uiPriority w:val="0"/>
    <w:rPr>
      <w:rFonts w:ascii="Tahoma" w:hAnsi="Tahoma"/>
      <w:sz w:val="24"/>
    </w:rPr>
  </w:style>
  <w:style w:type="table" w:customStyle="1" w:styleId="241">
    <w:name w:val="简明型 1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2">
    <w:name w:val="网格型2"/>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简明型 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4">
    <w:name w:val="网格型1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简明型 1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46">
    <w:name w:val="默认段落字体 Para Char"/>
    <w:basedOn w:val="1"/>
    <w:qFormat/>
    <w:uiPriority w:val="0"/>
    <w:pPr>
      <w:tabs>
        <w:tab w:val="left" w:pos="360"/>
      </w:tabs>
      <w:spacing w:before="312" w:after="312" w:line="360" w:lineRule="auto"/>
    </w:pPr>
  </w:style>
  <w:style w:type="paragraph" w:customStyle="1" w:styleId="247">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character" w:customStyle="1" w:styleId="248">
    <w:name w:val="font2"/>
    <w:qFormat/>
    <w:uiPriority w:val="0"/>
  </w:style>
  <w:style w:type="character" w:customStyle="1" w:styleId="249">
    <w:name w:val="font3"/>
    <w:qFormat/>
    <w:uiPriority w:val="0"/>
  </w:style>
  <w:style w:type="character" w:customStyle="1" w:styleId="250">
    <w:name w:val="bigger"/>
    <w:qFormat/>
    <w:uiPriority w:val="0"/>
  </w:style>
  <w:style w:type="character" w:customStyle="1" w:styleId="251">
    <w:name w:val="medium"/>
    <w:qFormat/>
    <w:uiPriority w:val="0"/>
  </w:style>
  <w:style w:type="character" w:customStyle="1" w:styleId="252">
    <w:name w:val="smaller"/>
    <w:qFormat/>
    <w:uiPriority w:val="0"/>
  </w:style>
  <w:style w:type="character" w:customStyle="1" w:styleId="253">
    <w:name w:val="gwdtitle1"/>
    <w:qFormat/>
    <w:uiPriority w:val="0"/>
  </w:style>
  <w:style w:type="character" w:customStyle="1" w:styleId="254">
    <w:name w:val="linknamespan1"/>
    <w:qFormat/>
    <w:uiPriority w:val="0"/>
  </w:style>
  <w:style w:type="character" w:customStyle="1" w:styleId="255">
    <w:name w:val="gwds_more1"/>
    <w:qFormat/>
    <w:uiPriority w:val="0"/>
  </w:style>
  <w:style w:type="character" w:customStyle="1" w:styleId="256">
    <w:name w:val="style_kwd"/>
    <w:qFormat/>
    <w:uiPriority w:val="0"/>
  </w:style>
  <w:style w:type="paragraph" w:customStyle="1" w:styleId="257">
    <w:name w:val=" Char"/>
    <w:basedOn w:val="1"/>
    <w:qFormat/>
    <w:uiPriority w:val="0"/>
    <w:rPr>
      <w:rFonts w:ascii="Tahoma" w:hAnsi="Tahoma"/>
      <w:sz w:val="24"/>
    </w:rPr>
  </w:style>
  <w:style w:type="paragraph" w:customStyle="1" w:styleId="258">
    <w:name w:val=" Char Char Char Char"/>
    <w:basedOn w:val="1"/>
    <w:qFormat/>
    <w:uiPriority w:val="0"/>
    <w:rPr>
      <w:rFonts w:ascii="Tahoma" w:hAnsi="Tahoma"/>
      <w:sz w:val="24"/>
    </w:rPr>
  </w:style>
  <w:style w:type="paragraph" w:customStyle="1" w:styleId="259">
    <w:name w:val=" Char Char Char"/>
    <w:basedOn w:val="1"/>
    <w:qFormat/>
    <w:uiPriority w:val="0"/>
    <w:rPr>
      <w:rFonts w:ascii="Tahoma" w:hAnsi="Tahoma"/>
      <w:sz w:val="24"/>
    </w:rPr>
  </w:style>
  <w:style w:type="paragraph" w:customStyle="1" w:styleId="260">
    <w:name w:val=" Char Char Char Char Char Char Char Char Char Char Char Char Char Char Char Char"/>
    <w:basedOn w:val="1"/>
    <w:semiHidden/>
    <w:qFormat/>
    <w:uiPriority w:val="0"/>
    <w:pPr>
      <w:tabs>
        <w:tab w:val="left" w:pos="360"/>
      </w:tabs>
    </w:pPr>
    <w:rPr>
      <w:sz w:val="24"/>
      <w:szCs w:val="24"/>
    </w:rPr>
  </w:style>
  <w:style w:type="character" w:customStyle="1" w:styleId="261">
    <w:name w:val=" Char Char7"/>
    <w:qFormat/>
    <w:uiPriority w:val="0"/>
    <w:rPr>
      <w:rFonts w:eastAsia="宋体"/>
      <w:kern w:val="2"/>
      <w:sz w:val="18"/>
      <w:szCs w:val="18"/>
      <w:lang w:val="en-US" w:eastAsia="zh-CN" w:bidi="ar-SA"/>
    </w:rPr>
  </w:style>
  <w:style w:type="paragraph" w:customStyle="1" w:styleId="262">
    <w:name w:val=" Char Char1 Char Char1"/>
    <w:basedOn w:val="1"/>
    <w:qFormat/>
    <w:uiPriority w:val="0"/>
    <w:rPr>
      <w:rFonts w:ascii="Tahoma" w:hAnsi="Tahoma"/>
      <w:sz w:val="24"/>
    </w:rPr>
  </w:style>
  <w:style w:type="paragraph" w:customStyle="1" w:styleId="263">
    <w:name w:val=" Char Char1 Char Char1 Char Char"/>
    <w:basedOn w:val="1"/>
    <w:qFormat/>
    <w:uiPriority w:val="0"/>
    <w:rPr>
      <w:rFonts w:ascii="Tahoma" w:hAnsi="Tahoma"/>
      <w:sz w:val="24"/>
    </w:rPr>
  </w:style>
  <w:style w:type="paragraph" w:customStyle="1" w:styleId="264">
    <w:name w:val=" Char Char Char Char Char Char1 Char Char Char"/>
    <w:basedOn w:val="1"/>
    <w:qFormat/>
    <w:uiPriority w:val="0"/>
    <w:pPr>
      <w:autoSpaceDE w:val="0"/>
      <w:autoSpaceDN w:val="0"/>
      <w:adjustRightInd w:val="0"/>
      <w:jc w:val="left"/>
      <w:textAlignment w:val="baseline"/>
    </w:pPr>
    <w:rPr>
      <w:rFonts w:eastAsia="方正仿宋简体"/>
      <w:sz w:val="32"/>
    </w:rPr>
  </w:style>
  <w:style w:type="paragraph" w:customStyle="1" w:styleId="265">
    <w:name w:val="TOC Heading"/>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266">
    <w:name w:val="标题 11"/>
    <w:next w:val="1"/>
    <w:qFormat/>
    <w:uiPriority w:val="0"/>
    <w:pPr>
      <w:keepNext/>
      <w:keepLines/>
      <w:widowControl w:val="0"/>
      <w:spacing w:before="480"/>
      <w:jc w:val="both"/>
      <w:outlineLvl w:val="0"/>
    </w:pPr>
    <w:rPr>
      <w:rFonts w:ascii="Cambria" w:hAnsi="Cambria" w:eastAsia="Cambria" w:cs="Cambria"/>
      <w:b/>
      <w:bCs/>
      <w:color w:val="365F91"/>
      <w:sz w:val="28"/>
      <w:szCs w:val="28"/>
      <w:u w:val="none" w:color="365F91"/>
      <w:lang w:val="en-US" w:eastAsia="zh-CN" w:bidi="ar-SA"/>
    </w:rPr>
  </w:style>
  <w:style w:type="paragraph" w:customStyle="1" w:styleId="2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8">
    <w:name w:val="font6"/>
    <w:basedOn w:val="1"/>
    <w:qFormat/>
    <w:uiPriority w:val="0"/>
    <w:pPr>
      <w:widowControl/>
      <w:spacing w:before="100" w:beforeAutospacing="1" w:after="100" w:afterAutospacing="1"/>
      <w:jc w:val="left"/>
    </w:pPr>
    <w:rPr>
      <w:rFonts w:ascii="Arial" w:hAnsi="Arial" w:cs="Arial"/>
      <w:color w:val="212121"/>
      <w:kern w:val="0"/>
      <w:sz w:val="22"/>
      <w:szCs w:val="22"/>
    </w:rPr>
  </w:style>
  <w:style w:type="paragraph" w:customStyle="1" w:styleId="269">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70">
    <w:name w:val="font8"/>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71">
    <w:name w:val="font9"/>
    <w:basedOn w:val="1"/>
    <w:qFormat/>
    <w:uiPriority w:val="0"/>
    <w:pPr>
      <w:widowControl/>
      <w:spacing w:before="100" w:beforeAutospacing="1" w:after="100" w:afterAutospacing="1"/>
      <w:jc w:val="left"/>
    </w:pPr>
    <w:rPr>
      <w:rFonts w:ascii="宋体" w:hAnsi="宋体" w:cs="宋体"/>
      <w:color w:val="212121"/>
      <w:kern w:val="0"/>
      <w:sz w:val="22"/>
      <w:szCs w:val="22"/>
    </w:rPr>
  </w:style>
  <w:style w:type="paragraph" w:customStyle="1" w:styleId="272">
    <w:name w:val="font10"/>
    <w:basedOn w:val="1"/>
    <w:qFormat/>
    <w:uiPriority w:val="0"/>
    <w:pPr>
      <w:widowControl/>
      <w:spacing w:before="100" w:beforeAutospacing="1" w:after="100" w:afterAutospacing="1"/>
      <w:jc w:val="left"/>
    </w:pPr>
    <w:rPr>
      <w:rFonts w:ascii="Arial" w:hAnsi="Arial" w:cs="Arial"/>
      <w:color w:val="212121"/>
      <w:kern w:val="0"/>
      <w:sz w:val="20"/>
    </w:rPr>
  </w:style>
  <w:style w:type="paragraph" w:customStyle="1" w:styleId="273">
    <w:name w:val="font11"/>
    <w:basedOn w:val="1"/>
    <w:qFormat/>
    <w:uiPriority w:val="0"/>
    <w:pPr>
      <w:widowControl/>
      <w:spacing w:before="100" w:beforeAutospacing="1" w:after="100" w:afterAutospacing="1"/>
      <w:jc w:val="left"/>
    </w:pPr>
    <w:rPr>
      <w:rFonts w:ascii="宋体" w:hAnsi="宋体" w:cs="宋体"/>
      <w:color w:val="212121"/>
      <w:kern w:val="0"/>
      <w:sz w:val="20"/>
    </w:rPr>
  </w:style>
  <w:style w:type="paragraph" w:customStyle="1" w:styleId="274">
    <w:name w:val="font1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5">
    <w:name w:val="xl6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76">
    <w:name w:val="xl65"/>
    <w:basedOn w:val="1"/>
    <w:qFormat/>
    <w:uiPriority w:val="0"/>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7">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8">
    <w:name w:val="xl6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4">
    <w:name w:val="xl7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285">
    <w:name w:val="xl7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0">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4">
    <w:name w:val="xl83"/>
    <w:basedOn w:val="1"/>
    <w:qFormat/>
    <w:uiPriority w:val="0"/>
    <w:pPr>
      <w:widowControl/>
      <w:spacing w:before="100" w:beforeAutospacing="1" w:after="100" w:afterAutospacing="1"/>
      <w:jc w:val="center"/>
    </w:pPr>
    <w:rPr>
      <w:rFonts w:ascii="Arial" w:hAnsi="Arial" w:cs="Arial"/>
      <w:kern w:val="0"/>
      <w:sz w:val="24"/>
      <w:szCs w:val="24"/>
    </w:rPr>
  </w:style>
  <w:style w:type="paragraph" w:customStyle="1" w:styleId="295">
    <w:name w:val="xl84"/>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96">
    <w:name w:val="xl8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8">
    <w:name w:val="正文 A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299">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300">
    <w:name w:val="TOC 标题1"/>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01">
    <w:name w:val="网格型3"/>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简明型 13"/>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303">
    <w:name w:val="_Style 302"/>
    <w:basedOn w:val="1"/>
    <w:next w:val="1"/>
    <w:link w:val="304"/>
    <w:unhideWhenUsed/>
    <w:qFormat/>
    <w:uiPriority w:val="99"/>
    <w:pPr>
      <w:widowControl/>
      <w:pBdr>
        <w:bottom w:val="single" w:color="auto" w:sz="6" w:space="1"/>
      </w:pBdr>
      <w:jc w:val="center"/>
    </w:pPr>
    <w:rPr>
      <w:rFonts w:ascii="Arial" w:hAnsi="Arial"/>
      <w:vanish/>
      <w:kern w:val="0"/>
      <w:sz w:val="16"/>
      <w:szCs w:val="16"/>
    </w:rPr>
  </w:style>
  <w:style w:type="character" w:customStyle="1" w:styleId="304">
    <w:name w:val="z-窗体顶端 Char"/>
    <w:link w:val="303"/>
    <w:semiHidden/>
    <w:qFormat/>
    <w:uiPriority w:val="99"/>
    <w:rPr>
      <w:rFonts w:ascii="Arial" w:hAnsi="Arial"/>
      <w:vanish/>
      <w:sz w:val="16"/>
      <w:szCs w:val="16"/>
    </w:rPr>
  </w:style>
  <w:style w:type="paragraph" w:customStyle="1" w:styleId="305">
    <w:name w:val="_Style 304"/>
    <w:basedOn w:val="1"/>
    <w:next w:val="1"/>
    <w:link w:val="306"/>
    <w:unhideWhenUsed/>
    <w:qFormat/>
    <w:uiPriority w:val="99"/>
    <w:pPr>
      <w:widowControl/>
      <w:pBdr>
        <w:top w:val="single" w:color="auto" w:sz="6" w:space="1"/>
      </w:pBdr>
      <w:jc w:val="center"/>
    </w:pPr>
    <w:rPr>
      <w:rFonts w:ascii="Arial" w:hAnsi="Arial"/>
      <w:vanish/>
      <w:kern w:val="0"/>
      <w:sz w:val="16"/>
      <w:szCs w:val="16"/>
    </w:rPr>
  </w:style>
  <w:style w:type="character" w:customStyle="1" w:styleId="306">
    <w:name w:val="z-窗体底端 Char"/>
    <w:link w:val="305"/>
    <w:semiHidden/>
    <w:qFormat/>
    <w:uiPriority w:val="99"/>
    <w:rPr>
      <w:rFonts w:ascii="Arial" w:hAnsi="Arial"/>
      <w:vanish/>
      <w:sz w:val="16"/>
      <w:szCs w:val="16"/>
    </w:rPr>
  </w:style>
  <w:style w:type="paragraph" w:customStyle="1" w:styleId="307">
    <w:name w:val="articl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23</Pages>
  <Words>6721</Words>
  <Characters>38316</Characters>
  <Lines>319</Lines>
  <Paragraphs>89</Paragraphs>
  <TotalTime>1</TotalTime>
  <ScaleCrop>false</ScaleCrop>
  <LinksUpToDate>false</LinksUpToDate>
  <CharactersWithSpaces>44948</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2021-06-08T01:05:00Z</dcterms:created>
  <dc:creator>朱济民</dc:creator>
  <cp:lastModifiedBy>guanz</cp:lastModifiedBy>
  <cp:lastPrinted>2026-03-09T06:41:00Z</cp:lastPrinted>
  <dcterms:modified xsi:type="dcterms:W3CDTF">2026-05-12T11:13:05Z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3D324D3EEF1722808214B1699263D44E</vt:lpwstr>
  </property>
</Properties>
</file>