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default" w:ascii="Times New Roman" w:hAnsi="Times New Roman" w:eastAsia="方正大标宋简体" w:cs="Times New Roman"/>
          <w:b/>
          <w:kern w:val="36"/>
          <w:sz w:val="42"/>
          <w:szCs w:val="42"/>
        </w:rPr>
      </w:pPr>
      <w:bookmarkStart w:id="0" w:name="_GoBack"/>
      <w:bookmarkEnd w:id="0"/>
    </w:p>
    <w:p>
      <w:pPr>
        <w:widowControl/>
        <w:spacing w:line="600" w:lineRule="exact"/>
        <w:jc w:val="center"/>
        <w:rPr>
          <w:rFonts w:hint="default" w:ascii="Times New Roman" w:hAnsi="Times New Roman" w:eastAsia="方正大标宋简体" w:cs="Times New Roman"/>
          <w:b/>
          <w:kern w:val="36"/>
          <w:sz w:val="42"/>
          <w:szCs w:val="42"/>
        </w:rPr>
      </w:pPr>
      <w:r>
        <w:rPr>
          <w:rFonts w:hint="default" w:ascii="Times New Roman" w:hAnsi="Times New Roman" w:eastAsia="方正大标宋简体" w:cs="Times New Roman"/>
          <w:b/>
          <w:kern w:val="36"/>
          <w:sz w:val="42"/>
          <w:szCs w:val="42"/>
        </w:rPr>
        <w:t>Rehearsal Guide of the Trading System</w:t>
      </w:r>
    </w:p>
    <w:p>
      <w:pPr>
        <w:pStyle w:val="2"/>
        <w:numPr>
          <w:ilvl w:val="0"/>
          <w:numId w:val="1"/>
        </w:numPr>
        <w:bidi w:val="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The Participants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All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SHFE</w:t>
      </w:r>
      <w:r>
        <w:rPr>
          <w:rFonts w:hint="default" w:ascii="Times New Roman" w:hAnsi="Times New Roman" w:cs="Times New Roman"/>
          <w:sz w:val="30"/>
          <w:szCs w:val="30"/>
        </w:rPr>
        <w:t xml:space="preserve"> members and market data vendors.</w:t>
      </w:r>
    </w:p>
    <w:p>
      <w:pPr>
        <w:pStyle w:val="2"/>
        <w:numPr>
          <w:ilvl w:val="0"/>
          <w:numId w:val="1"/>
        </w:numPr>
        <w:bidi w:val="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Rehearsal Schedule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The rehearsal on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June</w:t>
      </w: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cs="Times New Roman"/>
          <w:sz w:val="30"/>
          <w:szCs w:val="30"/>
        </w:rPr>
        <w:t xml:space="preserve">, 2026 (Saturday) simulates the trading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and settlement </w:t>
      </w:r>
      <w:r>
        <w:rPr>
          <w:rFonts w:hint="default" w:ascii="Times New Roman" w:hAnsi="Times New Roman" w:cs="Times New Roman"/>
          <w:sz w:val="30"/>
          <w:szCs w:val="30"/>
        </w:rPr>
        <w:t xml:space="preserve">of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June</w:t>
      </w: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/>
          <w:sz w:val="30"/>
          <w:szCs w:val="30"/>
        </w:rPr>
        <w:t>, 2026 (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Friday</w:t>
      </w:r>
      <w:r>
        <w:rPr>
          <w:rFonts w:hint="default" w:ascii="Times New Roman" w:hAnsi="Times New Roman" w:cs="Times New Roman"/>
          <w:sz w:val="30"/>
          <w:szCs w:val="30"/>
        </w:rPr>
        <w:t xml:space="preserve">), using the data after settlement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of</w:t>
      </w: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June</w:t>
      </w: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cs="Times New Roman"/>
          <w:sz w:val="30"/>
          <w:szCs w:val="30"/>
        </w:rPr>
        <w:t>, 2026 (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Thursday</w:t>
      </w:r>
      <w:r>
        <w:rPr>
          <w:rFonts w:hint="default" w:ascii="Times New Roman" w:hAnsi="Times New Roman" w:cs="Times New Roman"/>
          <w:sz w:val="30"/>
          <w:szCs w:val="30"/>
        </w:rPr>
        <w:t>).</w:t>
      </w:r>
    </w:p>
    <w:tbl>
      <w:tblPr>
        <w:tblStyle w:val="7"/>
        <w:tblW w:w="7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426"/>
        <w:gridCol w:w="4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shd w:val="clear" w:color="auto" w:fill="A6A6A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Simulated Trading Day</w:t>
            </w:r>
          </w:p>
        </w:tc>
        <w:tc>
          <w:tcPr>
            <w:tcW w:w="1426" w:type="dxa"/>
            <w:shd w:val="clear" w:color="auto" w:fill="A6A6A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4284" w:type="dxa"/>
            <w:shd w:val="clear" w:color="auto" w:fill="A6A6A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Content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June 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2026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08:30:00</w:t>
            </w:r>
          </w:p>
        </w:tc>
        <w:tc>
          <w:tcPr>
            <w:tcW w:w="428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Members login to the new generation trading system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08:55:00</w:t>
            </w:r>
          </w:p>
        </w:tc>
        <w:tc>
          <w:tcPr>
            <w:tcW w:w="428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The beginning of central auction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08:59:00</w:t>
            </w:r>
          </w:p>
        </w:tc>
        <w:tc>
          <w:tcPr>
            <w:tcW w:w="4284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Matching of central auction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09:00:00</w:t>
            </w:r>
          </w:p>
        </w:tc>
        <w:tc>
          <w:tcPr>
            <w:tcW w:w="4284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Continuous trading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11:00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284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Market close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11:00-12:00</w:t>
            </w:r>
          </w:p>
        </w:tc>
        <w:tc>
          <w:tcPr>
            <w:tcW w:w="4284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SHFE settlement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12:00-13:00</w:t>
            </w:r>
          </w:p>
        </w:tc>
        <w:tc>
          <w:tcPr>
            <w:tcW w:w="4284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Members settlement，download settlement data and check settlement results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Before 13:30</w:t>
            </w:r>
          </w:p>
        </w:tc>
        <w:tc>
          <w:tcPr>
            <w:tcW w:w="4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Members submit data to CFMMC</w:t>
            </w:r>
          </w:p>
        </w:tc>
      </w:tr>
    </w:tbl>
    <w:p>
      <w:pPr>
        <w:pStyle w:val="2"/>
        <w:numPr>
          <w:ilvl w:val="0"/>
          <w:numId w:val="1"/>
        </w:numPr>
        <w:bidi w:val="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A</w:t>
      </w:r>
      <w:r>
        <w:rPr>
          <w:rFonts w:hint="default" w:ascii="Times New Roman" w:hAnsi="Times New Roman" w:cs="Times New Roman"/>
          <w:sz w:val="30"/>
          <w:szCs w:val="30"/>
        </w:rPr>
        <w:t>pply for Hedging Quot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Members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may</w:t>
      </w:r>
      <w:r>
        <w:rPr>
          <w:rFonts w:hint="default" w:ascii="Times New Roman" w:hAnsi="Times New Roman" w:cs="Times New Roman"/>
          <w:sz w:val="30"/>
          <w:szCs w:val="30"/>
        </w:rPr>
        <w:t xml:space="preserve"> apply for hedging quota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s</w:t>
      </w:r>
      <w:r>
        <w:rPr>
          <w:rFonts w:hint="default" w:ascii="Times New Roman" w:hAnsi="Times New Roman" w:cs="Times New Roman"/>
          <w:sz w:val="30"/>
          <w:szCs w:val="30"/>
        </w:rPr>
        <w:t xml:space="preserve"> for clients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via</w:t>
      </w:r>
      <w:r>
        <w:rPr>
          <w:rFonts w:hint="default" w:ascii="Times New Roman" w:hAnsi="Times New Roman" w:cs="Times New Roman"/>
          <w:sz w:val="30"/>
          <w:szCs w:val="30"/>
        </w:rPr>
        <w:t xml:space="preserve"> the SHFE Member Service Test System on the day of rehearsal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, with passwords consistent with the production environment</w:t>
      </w:r>
      <w:r>
        <w:rPr>
          <w:rFonts w:hint="default" w:ascii="Times New Roman" w:hAnsi="Times New Roman" w:cs="Times New Roman"/>
          <w:sz w:val="30"/>
          <w:szCs w:val="30"/>
        </w:rPr>
        <w:t>.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SHFE would approve applications in real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time.</w:t>
      </w:r>
    </w:p>
    <w:p>
      <w:pPr>
        <w:pStyle w:val="15"/>
        <w:widowControl/>
        <w:numPr>
          <w:ilvl w:val="0"/>
          <w:numId w:val="0"/>
        </w:numPr>
        <w:spacing w:line="600" w:lineRule="exact"/>
        <w:ind w:leftChars="0"/>
        <w:rPr>
          <w:rFonts w:hint="default" w:ascii="Times New Roman" w:hAnsi="Times New Roman" w:eastAsia="SimSun" w:cs="Times New Roman"/>
          <w:b/>
          <w:sz w:val="30"/>
          <w:szCs w:val="30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Communication Parameters</w:t>
      </w:r>
    </w:p>
    <w:p>
      <w:pPr>
        <w:pStyle w:val="3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ind w:left="0" w:firstLine="602" w:firstLineChars="200"/>
        <w:textAlignment w:val="auto"/>
        <w:rPr>
          <w:rFonts w:hint="default" w:ascii="Times New Roman" w:hAnsi="Times New Roman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sz w:val="30"/>
          <w:szCs w:val="30"/>
          <w:lang w:val="en-US" w:eastAsia="zh-CN"/>
        </w:rPr>
        <w:t>Trading System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Trading system (including second generation market data) uses the production environment.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All members should configure their trading and market data systems with FENS pattern to obtain the IP addresses of trading fronts.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FENS Server IP addresses: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192.168.12.41, 192.168.12.42, 192.168.11.31,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192.168.11.32, 192.168.16.31, 192.168.16.32.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To obtain the IP addresses of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 SHFE</w:t>
      </w:r>
      <w:r>
        <w:rPr>
          <w:rFonts w:hint="default" w:ascii="Times New Roman" w:hAnsi="Times New Roman" w:cs="Times New Roman"/>
          <w:sz w:val="30"/>
          <w:szCs w:val="30"/>
        </w:rPr>
        <w:t xml:space="preserve"> trading systems through the FENS servers, please use TCP port 4901 for connections; to obtain the IP addresses of market data systems through the FENS servers, please use TCP port 4903 for connections.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SHFE Level 1 market data has the subscription number of 1001 and is sent out twice each second.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When dealing with the network security control strategy, all members and market data vendors should open the TCP port 4901, 4903, 33005, 33011 to the network segment 192.168.12.*, 192.168.11.*, 192.168.16.* and the TCP port 80, 443 to the network segment 192.168.9.*, 192.168.13.*, 192.168.17.*. Please ensure that the communication of the network segment and the protocol port mentioned above is normal.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Please refer to the link on the SHFE official website for the second-generation market data parameters</w:t>
      </w:r>
      <w:r>
        <w:rPr>
          <w:rFonts w:hint="default" w:ascii="Times New Roman" w:hAnsi="Times New Roman" w:cs="Times New Roman"/>
          <w:sz w:val="30"/>
          <w:szCs w:val="30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instrText xml:space="preserve"> HYPERLINK "https://www.shfe.com.cn/services/technology/technical_download/202605/t20260512_831644.html" \t "/home/yu.xiaoyu@outshfe/Documents\\x/_blank" </w:instrTex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z w:val="30"/>
          <w:szCs w:val="30"/>
        </w:rPr>
        <w:t>https://www.shfe.com.cn/services/technology/technical_download/202605/t20260512_831644.html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fldChar w:fldCharType="end"/>
      </w:r>
    </w:p>
    <w:p>
      <w:pPr>
        <w:pStyle w:val="3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ind w:left="0" w:firstLine="602" w:firstLineChars="200"/>
        <w:textAlignment w:val="auto"/>
        <w:rPr>
          <w:rFonts w:hint="default" w:ascii="Times New Roman" w:hAnsi="Times New Roman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sz w:val="30"/>
          <w:szCs w:val="30"/>
          <w:lang w:val="en-US" w:eastAsia="zh-CN"/>
        </w:rPr>
        <w:t>Member Service Test System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Dedicated line network: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http:// 192.168.9.215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Securities and futures industry test network: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http:// 42.24.1.244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</w:rPr>
        <w:t>The username and password are the same as the production environment.</w:t>
      </w:r>
    </w:p>
    <w:p>
      <w:pPr>
        <w:pStyle w:val="3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ind w:left="0" w:firstLine="602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M</w:t>
      </w:r>
      <w:r>
        <w:rPr>
          <w:rFonts w:hint="default" w:ascii="Times New Roman" w:hAnsi="Times New Roman" w:cs="Times New Roman"/>
          <w:sz w:val="30"/>
          <w:szCs w:val="30"/>
        </w:rPr>
        <w:t>ember Service API Test System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Dedicated line network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IP: 192.168.9.219</w:t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ab/>
      </w:r>
      <w:r>
        <w:rPr>
          <w:rFonts w:hint="default" w:ascii="Times New Roman" w:hAnsi="Times New Roman" w:cs="Times New Roman"/>
          <w:sz w:val="30"/>
          <w:szCs w:val="30"/>
        </w:rPr>
        <w:t>Port: 443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The username, password and certificate information are the same as the production environment.</w:t>
      </w:r>
    </w:p>
    <w:p>
      <w:pPr>
        <w:pStyle w:val="3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ind w:left="0" w:firstLine="602" w:firstLineChars="200"/>
        <w:textAlignment w:val="auto"/>
        <w:rPr>
          <w:rFonts w:hint="default" w:ascii="Times New Roman" w:hAnsi="Times New Roman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sz w:val="30"/>
          <w:szCs w:val="30"/>
          <w:lang w:val="en-US" w:eastAsia="zh-CN"/>
        </w:rPr>
        <w:t>Submit Post-trade Data to CFMMC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Securities and futures industry test network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IP: 42.0.10.27  Port：9000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</w:rPr>
        <w:t>The username and password are the same as the production environment</w:t>
      </w:r>
    </w:p>
    <w:p>
      <w:pPr>
        <w:pStyle w:val="2"/>
        <w:numPr>
          <w:ilvl w:val="0"/>
          <w:numId w:val="1"/>
        </w:numPr>
        <w:bidi w:val="0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Notes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All members and market data vendors should do the following work well: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Contact your software suppliers before rehearsal and make a detailed rehearsal plan. Please check the settlement data carefully after rehearsal.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Backup your systems and data before rehearsal, and restore backup after rehearsal to prevent affecting the normal business of the next trading day.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Please focus on the settlement procedures and settlement data.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All members, overseas intermediaries and market data vendors should isolate the test data well so as not to affect the production data.</w:t>
      </w:r>
    </w:p>
    <w:p>
      <w:pPr>
        <w:pStyle w:val="2"/>
        <w:numPr>
          <w:ilvl w:val="0"/>
          <w:numId w:val="1"/>
        </w:numPr>
        <w:bidi w:val="0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Contact information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Phone: 021-68400802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E-mail: </w:t>
      </w:r>
      <w:r>
        <w:rPr>
          <w:rFonts w:hint="default" w:ascii="Times New Roman" w:hAnsi="Times New Roman" w:cs="Times New Roman"/>
          <w:sz w:val="30"/>
          <w:szCs w:val="30"/>
        </w:rPr>
        <w:fldChar w:fldCharType="begin"/>
      </w:r>
      <w:r>
        <w:rPr>
          <w:rFonts w:hint="default" w:ascii="Times New Roman" w:hAnsi="Times New Roman" w:cs="Times New Roman"/>
          <w:sz w:val="30"/>
          <w:szCs w:val="30"/>
        </w:rPr>
        <w:instrText xml:space="preserve"> HYPERLINK "mailto:tech@shfe.com.cn" </w:instrText>
      </w:r>
      <w:r>
        <w:rPr>
          <w:rFonts w:hint="default" w:ascii="Times New Roman" w:hAnsi="Times New Roman" w:cs="Times New Roman"/>
          <w:sz w:val="30"/>
          <w:szCs w:val="30"/>
        </w:rPr>
        <w:fldChar w:fldCharType="separate"/>
      </w:r>
      <w:r>
        <w:rPr>
          <w:rFonts w:hint="default" w:ascii="Times New Roman" w:hAnsi="Times New Roman" w:cs="Times New Roman"/>
          <w:sz w:val="30"/>
          <w:szCs w:val="30"/>
        </w:rPr>
        <w:t>tech@shfe.com.cn</w:t>
      </w:r>
      <w:r>
        <w:rPr>
          <w:rFonts w:hint="default" w:ascii="Times New Roman" w:hAnsi="Times New Roman" w:cs="Times New Roman"/>
          <w:sz w:val="30"/>
          <w:szCs w:val="30"/>
        </w:rPr>
        <w:fldChar w:fldCharType="end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text" w:hAnchor="margin" w:xAlign="center" w:y="1"/>
      <w:rPr>
        <w:rStyle w:val="9"/>
        <w:sz w:val="24"/>
        <w:szCs w:val="24"/>
      </w:rPr>
    </w:pPr>
    <w:r>
      <w:rPr>
        <w:rStyle w:val="9"/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rStyle w:val="9"/>
        <w:sz w:val="24"/>
        <w:szCs w:val="24"/>
      </w:rPr>
      <w:fldChar w:fldCharType="separate"/>
    </w:r>
    <w:r>
      <w:rPr>
        <w:rStyle w:val="9"/>
        <w:sz w:val="24"/>
        <w:szCs w:val="24"/>
      </w:rPr>
      <w:t>- 5 -</w:t>
    </w:r>
    <w:r>
      <w:rPr>
        <w:rStyle w:val="9"/>
        <w:sz w:val="24"/>
        <w:szCs w:val="24"/>
      </w:rPr>
      <w:fldChar w:fldCharType="end"/>
    </w:r>
  </w:p>
  <w:p>
    <w:pPr>
      <w:pStyle w:val="5"/>
      <w:jc w:val="center"/>
      <w:rPr>
        <w:sz w:val="24"/>
        <w:szCs w:val="24"/>
      </w:rPr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BD886A"/>
    <w:multiLevelType w:val="singleLevel"/>
    <w:tmpl w:val="EEBD886A"/>
    <w:lvl w:ilvl="0" w:tentative="0">
      <w:start w:val="1"/>
      <w:numFmt w:val="lowerLetter"/>
      <w:suff w:val="space"/>
      <w:lvlText w:val="%1)"/>
      <w:lvlJc w:val="left"/>
    </w:lvl>
  </w:abstractNum>
  <w:abstractNum w:abstractNumId="1">
    <w:nsid w:val="42FB4E4E"/>
    <w:multiLevelType w:val="multilevel"/>
    <w:tmpl w:val="42FB4E4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8E3BBD"/>
    <w:multiLevelType w:val="multilevel"/>
    <w:tmpl w:val="7B8E3BBD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4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4C"/>
    <w:rsid w:val="00011C05"/>
    <w:rsid w:val="00034338"/>
    <w:rsid w:val="000479D0"/>
    <w:rsid w:val="000D11F4"/>
    <w:rsid w:val="000F0D71"/>
    <w:rsid w:val="0014609E"/>
    <w:rsid w:val="00167F65"/>
    <w:rsid w:val="0017339A"/>
    <w:rsid w:val="001B361F"/>
    <w:rsid w:val="001D4175"/>
    <w:rsid w:val="001E23ED"/>
    <w:rsid w:val="002804DF"/>
    <w:rsid w:val="002B533C"/>
    <w:rsid w:val="002D3421"/>
    <w:rsid w:val="00305ECD"/>
    <w:rsid w:val="003215A1"/>
    <w:rsid w:val="0033069B"/>
    <w:rsid w:val="0033495A"/>
    <w:rsid w:val="00362C9C"/>
    <w:rsid w:val="00386B72"/>
    <w:rsid w:val="0039378A"/>
    <w:rsid w:val="003A6587"/>
    <w:rsid w:val="003A6D88"/>
    <w:rsid w:val="003B55EF"/>
    <w:rsid w:val="003D1E31"/>
    <w:rsid w:val="003D4AFE"/>
    <w:rsid w:val="004053B1"/>
    <w:rsid w:val="00414875"/>
    <w:rsid w:val="00435290"/>
    <w:rsid w:val="00443DB5"/>
    <w:rsid w:val="0045454D"/>
    <w:rsid w:val="004A1BE4"/>
    <w:rsid w:val="004B5164"/>
    <w:rsid w:val="004B72F9"/>
    <w:rsid w:val="004C1896"/>
    <w:rsid w:val="00587D88"/>
    <w:rsid w:val="00613516"/>
    <w:rsid w:val="00614159"/>
    <w:rsid w:val="00654C76"/>
    <w:rsid w:val="00681ECA"/>
    <w:rsid w:val="00693DBE"/>
    <w:rsid w:val="006C4426"/>
    <w:rsid w:val="006E6BE3"/>
    <w:rsid w:val="006F1D7A"/>
    <w:rsid w:val="00710092"/>
    <w:rsid w:val="00713742"/>
    <w:rsid w:val="00771422"/>
    <w:rsid w:val="00825759"/>
    <w:rsid w:val="00892D3C"/>
    <w:rsid w:val="008E0CE6"/>
    <w:rsid w:val="008F158D"/>
    <w:rsid w:val="00953846"/>
    <w:rsid w:val="00991A17"/>
    <w:rsid w:val="00A36CCE"/>
    <w:rsid w:val="00A867B7"/>
    <w:rsid w:val="00AC2DA0"/>
    <w:rsid w:val="00AD61D4"/>
    <w:rsid w:val="00B27CE8"/>
    <w:rsid w:val="00B52E82"/>
    <w:rsid w:val="00BA11D6"/>
    <w:rsid w:val="00BE2A7D"/>
    <w:rsid w:val="00BF5678"/>
    <w:rsid w:val="00C00738"/>
    <w:rsid w:val="00C239F0"/>
    <w:rsid w:val="00C54083"/>
    <w:rsid w:val="00C62454"/>
    <w:rsid w:val="00CF264D"/>
    <w:rsid w:val="00CF6B1B"/>
    <w:rsid w:val="00D212A7"/>
    <w:rsid w:val="00D61BE8"/>
    <w:rsid w:val="00DB5B51"/>
    <w:rsid w:val="00E2582A"/>
    <w:rsid w:val="00EB4DF6"/>
    <w:rsid w:val="00EE7707"/>
    <w:rsid w:val="00EF47A5"/>
    <w:rsid w:val="00F1110C"/>
    <w:rsid w:val="00F11B1E"/>
    <w:rsid w:val="00F25B09"/>
    <w:rsid w:val="00F56593"/>
    <w:rsid w:val="00F6084C"/>
    <w:rsid w:val="00F87EEA"/>
    <w:rsid w:val="00F87F3B"/>
    <w:rsid w:val="0FEB864A"/>
    <w:rsid w:val="1DDD2424"/>
    <w:rsid w:val="1E2380DB"/>
    <w:rsid w:val="23D333CC"/>
    <w:rsid w:val="2B27DF52"/>
    <w:rsid w:val="2BF9059C"/>
    <w:rsid w:val="2BFFCAC8"/>
    <w:rsid w:val="2FBF1B71"/>
    <w:rsid w:val="37B9100B"/>
    <w:rsid w:val="3B3FF0DD"/>
    <w:rsid w:val="3BDDB055"/>
    <w:rsid w:val="3EB51EA1"/>
    <w:rsid w:val="3F1F63E3"/>
    <w:rsid w:val="3F7BF016"/>
    <w:rsid w:val="3F7EF643"/>
    <w:rsid w:val="44EFD18A"/>
    <w:rsid w:val="47F75B79"/>
    <w:rsid w:val="4AFE2931"/>
    <w:rsid w:val="4FDEDE91"/>
    <w:rsid w:val="562DBF5B"/>
    <w:rsid w:val="5B6F82B6"/>
    <w:rsid w:val="5BEFED5E"/>
    <w:rsid w:val="5BFE88D0"/>
    <w:rsid w:val="5EBED0D3"/>
    <w:rsid w:val="5F3BFB64"/>
    <w:rsid w:val="5FAF8F0E"/>
    <w:rsid w:val="5FFB2997"/>
    <w:rsid w:val="6BFB2B0F"/>
    <w:rsid w:val="6BFF3C0C"/>
    <w:rsid w:val="6BFF45DC"/>
    <w:rsid w:val="6EA73BB1"/>
    <w:rsid w:val="6EB7975C"/>
    <w:rsid w:val="6FE9EFDF"/>
    <w:rsid w:val="6FF45B71"/>
    <w:rsid w:val="6FFDA86F"/>
    <w:rsid w:val="6FFEB4A2"/>
    <w:rsid w:val="6FFFFB27"/>
    <w:rsid w:val="73FD94AD"/>
    <w:rsid w:val="747D19BB"/>
    <w:rsid w:val="75BFC45E"/>
    <w:rsid w:val="76E3AC40"/>
    <w:rsid w:val="76F55580"/>
    <w:rsid w:val="77B7240C"/>
    <w:rsid w:val="77EFDDF6"/>
    <w:rsid w:val="79BF008B"/>
    <w:rsid w:val="7AFF5004"/>
    <w:rsid w:val="7B5E56B0"/>
    <w:rsid w:val="7B7F9D62"/>
    <w:rsid w:val="7CED887A"/>
    <w:rsid w:val="7CFF37D5"/>
    <w:rsid w:val="7D3F7384"/>
    <w:rsid w:val="7DBFFD94"/>
    <w:rsid w:val="7E3B63C7"/>
    <w:rsid w:val="7E7E1913"/>
    <w:rsid w:val="7EEDDE9C"/>
    <w:rsid w:val="7F7F2D14"/>
    <w:rsid w:val="7FBFA513"/>
    <w:rsid w:val="7FD61CC8"/>
    <w:rsid w:val="7FDE398C"/>
    <w:rsid w:val="7FDF400C"/>
    <w:rsid w:val="7FE90982"/>
    <w:rsid w:val="7FEBB181"/>
    <w:rsid w:val="7FF69954"/>
    <w:rsid w:val="7FFFC736"/>
    <w:rsid w:val="8CBBC2A6"/>
    <w:rsid w:val="97FEEC3F"/>
    <w:rsid w:val="9967E2B6"/>
    <w:rsid w:val="9DBF9621"/>
    <w:rsid w:val="9DF73CCD"/>
    <w:rsid w:val="9DFF0F82"/>
    <w:rsid w:val="A97DF941"/>
    <w:rsid w:val="ABCE0C43"/>
    <w:rsid w:val="AFDD7FD3"/>
    <w:rsid w:val="B3FB2C6E"/>
    <w:rsid w:val="B6778EC8"/>
    <w:rsid w:val="B733D5B6"/>
    <w:rsid w:val="B77FA8F3"/>
    <w:rsid w:val="BAA7C544"/>
    <w:rsid w:val="BABE1C6F"/>
    <w:rsid w:val="BBD95634"/>
    <w:rsid w:val="BCDDD089"/>
    <w:rsid w:val="BD8FA2E0"/>
    <w:rsid w:val="BDC72782"/>
    <w:rsid w:val="BEC79B20"/>
    <w:rsid w:val="BEFD0E9A"/>
    <w:rsid w:val="C844B1B1"/>
    <w:rsid w:val="CBDF3A88"/>
    <w:rsid w:val="CF7FBB6E"/>
    <w:rsid w:val="CFBBABD3"/>
    <w:rsid w:val="D2EB6510"/>
    <w:rsid w:val="D59DA7AE"/>
    <w:rsid w:val="D6BED04B"/>
    <w:rsid w:val="D7B38FDE"/>
    <w:rsid w:val="D94DCCF1"/>
    <w:rsid w:val="D9BF7BEA"/>
    <w:rsid w:val="DBFFA3C7"/>
    <w:rsid w:val="DBFFE055"/>
    <w:rsid w:val="DDBBF2CD"/>
    <w:rsid w:val="DDFD052D"/>
    <w:rsid w:val="E1BF5577"/>
    <w:rsid w:val="E31EE204"/>
    <w:rsid w:val="E5DFCFE9"/>
    <w:rsid w:val="E75FA65B"/>
    <w:rsid w:val="E7D4767B"/>
    <w:rsid w:val="E7EFCEBD"/>
    <w:rsid w:val="E7FF3EB8"/>
    <w:rsid w:val="EDE63C65"/>
    <w:rsid w:val="EEBE84F0"/>
    <w:rsid w:val="EFDB7D81"/>
    <w:rsid w:val="EFF7D39D"/>
    <w:rsid w:val="EFFEE431"/>
    <w:rsid w:val="F0DFFCF5"/>
    <w:rsid w:val="F2FBA682"/>
    <w:rsid w:val="F37975C3"/>
    <w:rsid w:val="F6F6D7AD"/>
    <w:rsid w:val="F7EB9904"/>
    <w:rsid w:val="F7EF9B2B"/>
    <w:rsid w:val="F7F60D9F"/>
    <w:rsid w:val="F7FD53E7"/>
    <w:rsid w:val="F7FFA82C"/>
    <w:rsid w:val="F85F3E21"/>
    <w:rsid w:val="F97A0CA2"/>
    <w:rsid w:val="F9B5675B"/>
    <w:rsid w:val="FBBC0568"/>
    <w:rsid w:val="FBBF11A8"/>
    <w:rsid w:val="FBD91685"/>
    <w:rsid w:val="FBF367D9"/>
    <w:rsid w:val="FBF3A9B4"/>
    <w:rsid w:val="FC9D3E4F"/>
    <w:rsid w:val="FCFD4DC4"/>
    <w:rsid w:val="FD13AF43"/>
    <w:rsid w:val="FD5E04DD"/>
    <w:rsid w:val="FD9B29C8"/>
    <w:rsid w:val="FD9BACC3"/>
    <w:rsid w:val="FDB93EFE"/>
    <w:rsid w:val="FDBDE9B5"/>
    <w:rsid w:val="FDD5C621"/>
    <w:rsid w:val="FE7CF689"/>
    <w:rsid w:val="FE9FE8F5"/>
    <w:rsid w:val="FED9AC63"/>
    <w:rsid w:val="FEFBA8A3"/>
    <w:rsid w:val="FF2B6324"/>
    <w:rsid w:val="FFBF6DF2"/>
    <w:rsid w:val="FFD2AB8D"/>
    <w:rsid w:val="FFDAC3E7"/>
    <w:rsid w:val="FFDFC390"/>
    <w:rsid w:val="FFE62CCB"/>
    <w:rsid w:val="FFEA6D90"/>
    <w:rsid w:val="FFF1A64F"/>
    <w:rsid w:val="FFF1CB51"/>
    <w:rsid w:val="FFF2F65A"/>
    <w:rsid w:val="FFFEC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styleId="9">
    <w:name w:val="page number"/>
    <w:basedOn w:val="8"/>
    <w:qFormat/>
    <w:uiPriority w:val="99"/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2">
    <w:name w:val="页脚 字符"/>
    <w:link w:val="5"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3">
    <w:name w:val="页眉 Char"/>
    <w:basedOn w:val="8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4">
    <w:name w:val="页眉 字符"/>
    <w:link w:val="6"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SHFE</Company>
  <Pages>5</Pages>
  <Words>615</Words>
  <Characters>3508</Characters>
  <Lines>29</Lines>
  <Paragraphs>8</Paragraphs>
  <TotalTime>22</TotalTime>
  <ScaleCrop>false</ScaleCrop>
  <LinksUpToDate>false</LinksUpToDate>
  <CharactersWithSpaces>4115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2023-01-22T18:14:00Z</dcterms:created>
  <dc:creator>wjj</dc:creator>
  <cp:lastModifiedBy>yu.xiaoyu</cp:lastModifiedBy>
  <dcterms:modified xsi:type="dcterms:W3CDTF">2026-06-01T11:00:18Z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E20A97F8469DA8EC0E9AF068EBD08D77</vt:lpwstr>
  </property>
</Properties>
</file>