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大标宋简体" w:cs="Times New Roman"/>
        </w:rPr>
      </w:pPr>
      <w:r>
        <w:rPr>
          <w:rFonts w:ascii="Times New Roman" w:hAnsi="Times New Roman" w:eastAsia="方正大标宋简体" w:cs="Times New Roman"/>
        </w:rPr>
        <w:t xml:space="preserve">Appendix </w:t>
      </w:r>
      <w:r>
        <w:rPr>
          <w:rFonts w:hint="eastAsia" w:ascii="Times New Roman" w:hAnsi="Times New Roman" w:eastAsia="方正大标宋简体" w:cs="Times New Roman"/>
        </w:rPr>
        <w:t>1</w:t>
      </w:r>
    </w:p>
    <w:p>
      <w:pPr>
        <w:keepNext w:val="0"/>
        <w:keepLines w:val="0"/>
        <w:pageBreakBefore w:val="0"/>
        <w:widowControl w:val="0"/>
        <w:kinsoku/>
        <w:wordWrap/>
        <w:overflowPunct/>
        <w:topLinePunct w:val="0"/>
        <w:autoSpaceDE/>
        <w:autoSpaceDN/>
        <w:bidi w:val="0"/>
        <w:adjustRightInd/>
        <w:snapToGrid/>
        <w:spacing w:after="0" w:line="276" w:lineRule="auto"/>
        <w:jc w:val="center"/>
        <w:textAlignment w:val="auto"/>
        <w:rPr>
          <w:rFonts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rPr>
        <w:t>Comparative Table</w:t>
      </w:r>
    </w:p>
    <w:p>
      <w:pPr>
        <w:spacing w:after="156" w:afterLines="50" w:line="276" w:lineRule="auto"/>
        <w:ind w:firstLine="240" w:firstLineChars="100"/>
        <w:rPr>
          <w:rFonts w:ascii="Times New Roman" w:hAnsi="Times New Roman" w:cs="Times New Roman"/>
          <w:sz w:val="24"/>
        </w:rPr>
      </w:pPr>
      <w:r>
        <w:rPr>
          <w:rFonts w:ascii="Times New Roman" w:hAnsi="Times New Roman" w:cs="Times New Roman"/>
          <w:sz w:val="24"/>
        </w:rPr>
        <w:t>Note: Bolded sections in red are newly added and sections with double strikethroughs are deleted.</w:t>
      </w:r>
    </w:p>
    <w:tbl>
      <w:tblPr>
        <w:tblStyle w:val="16"/>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0" w:type="dxa"/>
            <w:gridSpan w:val="2"/>
            <w:shd w:val="clear" w:color="auto" w:fill="4472C4" w:themeFill="accent1"/>
            <w:vAlign w:val="center"/>
          </w:tcPr>
          <w:p>
            <w:pPr>
              <w:snapToGrid w:val="0"/>
              <w:spacing w:after="312" w:afterLines="100" w:line="276" w:lineRule="auto"/>
              <w:jc w:val="center"/>
              <w:rPr>
                <w:rFonts w:hint="default" w:ascii="Times New Roman" w:hAnsi="Times New Roman" w:eastAsia="宋体" w:cs="Times New Roman"/>
                <w:b/>
                <w:color w:val="FFFFFF" w:themeColor="background1"/>
                <w:kern w:val="0"/>
                <w:sz w:val="24"/>
                <w14:textFill>
                  <w14:solidFill>
                    <w14:schemeClr w14:val="bg1"/>
                  </w14:solidFill>
                </w14:textFill>
                <w14:ligatures w14:val="none"/>
              </w:rPr>
            </w:pPr>
            <w:r>
              <w:rPr>
                <w:rFonts w:hint="default" w:ascii="Times New Roman" w:hAnsi="Times New Roman" w:eastAsia="宋体" w:cs="Times New Roman"/>
                <w:b/>
                <w:color w:val="FFFFFF" w:themeColor="background1"/>
                <w:kern w:val="0"/>
                <w:sz w:val="24"/>
                <w14:textFill>
                  <w14:solidFill>
                    <w14:schemeClr w14:val="bg1"/>
                  </w14:solidFill>
                </w14:textFill>
                <w14:ligatures w14:val="none"/>
              </w:rPr>
              <w:t>Delivery Rules of the Shanghai International Energy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70" w:type="dxa"/>
            <w:shd w:val="clear" w:color="auto" w:fill="4472C4" w:themeFill="accent1"/>
            <w:vAlign w:val="center"/>
          </w:tcPr>
          <w:p>
            <w:pPr>
              <w:snapToGrid w:val="0"/>
              <w:spacing w:after="312" w:afterLines="100" w:line="276" w:lineRule="auto"/>
              <w:jc w:val="center"/>
              <w:rPr>
                <w:rFonts w:hint="default" w:ascii="Times New Roman" w:hAnsi="Times New Roman" w:eastAsia="宋体" w:cs="Times New Roman"/>
                <w:b/>
                <w:color w:val="FFFFFF" w:themeColor="background1"/>
                <w:kern w:val="0"/>
                <w:sz w:val="24"/>
                <w14:textFill>
                  <w14:solidFill>
                    <w14:schemeClr w14:val="bg1"/>
                  </w14:solidFill>
                </w14:textFill>
                <w14:ligatures w14:val="none"/>
              </w:rPr>
            </w:pPr>
            <w:r>
              <w:rPr>
                <w:rFonts w:hint="default" w:ascii="Times New Roman" w:hAnsi="Times New Roman" w:eastAsia="宋体" w:cs="Times New Roman"/>
                <w:b/>
                <w:color w:val="FFFFFF" w:themeColor="background1"/>
                <w:kern w:val="0"/>
                <w:sz w:val="24"/>
                <w14:textFill>
                  <w14:solidFill>
                    <w14:schemeClr w14:val="bg1"/>
                  </w14:solidFill>
                </w14:textFill>
                <w14:ligatures w14:val="none"/>
              </w:rPr>
              <w:t>Revised Version</w:t>
            </w:r>
          </w:p>
        </w:tc>
        <w:tc>
          <w:tcPr>
            <w:tcW w:w="7370" w:type="dxa"/>
            <w:shd w:val="clear" w:color="auto" w:fill="4472C4" w:themeFill="accent1"/>
            <w:vAlign w:val="center"/>
          </w:tcPr>
          <w:p>
            <w:pPr>
              <w:snapToGrid w:val="0"/>
              <w:spacing w:after="312" w:afterLines="100" w:line="276" w:lineRule="auto"/>
              <w:jc w:val="center"/>
              <w:rPr>
                <w:rFonts w:hint="default" w:ascii="Times New Roman" w:hAnsi="Times New Roman" w:eastAsia="宋体" w:cs="Times New Roman"/>
                <w:b/>
                <w:color w:val="FFFFFF" w:themeColor="background1"/>
                <w:kern w:val="0"/>
                <w:sz w:val="24"/>
                <w14:textFill>
                  <w14:solidFill>
                    <w14:schemeClr w14:val="bg1"/>
                  </w14:solidFill>
                </w14:textFill>
                <w14:ligatures w14:val="none"/>
              </w:rPr>
            </w:pPr>
            <w:r>
              <w:rPr>
                <w:rFonts w:hint="default" w:ascii="Times New Roman" w:hAnsi="Times New Roman" w:eastAsia="宋体" w:cs="Times New Roman"/>
                <w:b/>
                <w:color w:val="FFFFFF" w:themeColor="background1"/>
                <w:kern w:val="0"/>
                <w:sz w:val="24"/>
                <w14:textFill>
                  <w14:solidFill>
                    <w14:schemeClr w14:val="bg1"/>
                  </w14:solidFill>
                </w14:textFill>
                <w14:ligatures w14:val="none"/>
              </w:rPr>
              <w:t>Current Version (Effective February 9,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center"/>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General Provisions</w:t>
            </w:r>
          </w:p>
        </w:tc>
        <w:tc>
          <w:tcPr>
            <w:tcW w:w="7370" w:type="dxa"/>
          </w:tcPr>
          <w:p>
            <w:pPr>
              <w:snapToGrid w:val="0"/>
              <w:spacing w:after="312" w:afterLines="100" w:line="276" w:lineRule="auto"/>
              <w:jc w:val="center"/>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General Provisions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b/>
                <w:kern w:val="0"/>
                <w:sz w:val="24"/>
                <w:szCs w:val="20"/>
                <w14:ligatures w14:val="none"/>
              </w:rPr>
              <w:t>Article 5</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b/>
                <w:bCs/>
                <w:color w:val="EE0000"/>
                <w:kern w:val="0"/>
                <w:sz w:val="24"/>
                <w:szCs w:val="20"/>
                <w14:ligatures w14:val="none"/>
              </w:rPr>
              <w:t>Physical delivery of a futures contract may be categorized into domestic delivery or overseas delivery based on the region of the delivery venue.</w:t>
            </w:r>
            <w:r>
              <w:rPr>
                <w:rFonts w:hint="default" w:ascii="Times New Roman" w:hAnsi="Times New Roman" w:eastAsia="宋体" w:cs="Times New Roman"/>
                <w:kern w:val="0"/>
                <w:sz w:val="24"/>
                <w:szCs w:val="20"/>
                <w14:ligatures w14:val="none"/>
              </w:rPr>
              <w:t xml:space="preserve"> </w:t>
            </w:r>
            <w:r>
              <w:rPr>
                <w:rFonts w:hint="default" w:ascii="Times New Roman" w:hAnsi="Times New Roman" w:eastAsia="宋体" w:cs="Times New Roman"/>
                <w:b/>
                <w:bCs/>
                <w:color w:val="EE0000"/>
                <w:kern w:val="0"/>
                <w:sz w:val="24"/>
                <w:szCs w:val="20"/>
                <w14:ligatures w14:val="none"/>
              </w:rPr>
              <w:t>Domestic</w:t>
            </w:r>
            <w:r>
              <w:rPr>
                <w:rFonts w:hint="default" w:ascii="Times New Roman" w:hAnsi="Times New Roman" w:eastAsia="宋体" w:cs="Times New Roman"/>
                <w:kern w:val="0"/>
                <w:sz w:val="24"/>
                <w:szCs w:val="20"/>
                <w14:ligatures w14:val="none"/>
              </w:rPr>
              <w:t xml:space="preserve"> physical delivery of a futures contract is further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w:t>
            </w:r>
            <w:r>
              <w:rPr>
                <w:rFonts w:hint="default" w:ascii="Times New Roman" w:hAnsi="Times New Roman" w:eastAsia="宋体" w:cs="Times New Roman"/>
                <w:b/>
                <w:bCs/>
                <w:color w:val="EE0000"/>
                <w:kern w:val="0"/>
                <w:sz w:val="24"/>
                <w:szCs w:val="20"/>
                <w14:ligatures w14:val="none"/>
              </w:rPr>
              <w:t xml:space="preserve"> Overseas delivery means the physical delivery of the underlying commodity of a futures contract that does not actually enter or exit China’s customs territory and is not included in China’s customs merchandise trade statistics.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szCs w:val="20"/>
                <w14:ligatures w14:val="none"/>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physical delivery of a futures contract is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b/>
                <w:kern w:val="0"/>
                <w:sz w:val="24"/>
                <w:szCs w:val="20"/>
                <w14:ligatures w14:val="none"/>
              </w:rPr>
              <w:t>Article 6</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Designated Delivery Storage Facilities are categorized as domestic Designated Delivery Storage Facilities and overseas Designated Delivery Storage Facilities based on the region where the physical delivery of the futures contract takes place.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szCs w:val="20"/>
                <w14:ligatures w14:val="none"/>
              </w:rPr>
              <w:t>The Designated Delivery Storage Facilities shall be announced separately upon the verification and approval of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14:ligatures w14:val="none"/>
              </w:rPr>
              <w:t>The Designated Delivery Storage Facilities shall be announced separately upon the verification and approval of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等线" w:cs="Times New Roman"/>
                <w:b/>
                <w:kern w:val="0"/>
                <w:sz w:val="24"/>
              </w:rPr>
              <w:t>Article 7</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snapToGrid w:val="0"/>
              <w:spacing w:after="312" w:afterLines="100" w:line="276" w:lineRule="auto"/>
              <w:jc w:val="both"/>
              <w:rPr>
                <w:rFonts w:hint="default" w:ascii="Times New Roman" w:hAnsi="Times New Roman" w:eastAsia="宋体" w:cs="Times New Roman"/>
                <w:b/>
                <w:bCs/>
                <w:color w:val="EE0000"/>
                <w:kern w:val="0"/>
                <w:sz w:val="24"/>
                <w14:ligatures w14:val="none"/>
              </w:rPr>
            </w:pPr>
            <w:r>
              <w:rPr>
                <w:rFonts w:hint="default" w:ascii="Times New Roman" w:hAnsi="Times New Roman" w:eastAsia="宋体" w:cs="Times New Roman"/>
                <w:b/>
                <w:bCs/>
                <w:color w:val="EE0000"/>
                <w:kern w:val="0"/>
                <w:sz w:val="24"/>
                <w:szCs w:val="20"/>
                <w14:ligatures w14:val="none"/>
              </w:rPr>
              <w:t>Standard warrant is divided into domestic standard warrant and overseas standard warrant based on the region where the corresponding commodity is located.</w:t>
            </w:r>
          </w:p>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bCs/>
                <w:color w:val="EE0000"/>
                <w:kern w:val="0"/>
                <w:sz w:val="24"/>
                <w:szCs w:val="20"/>
                <w14:ligatures w14:val="none"/>
              </w:rPr>
              <w:t>Domestic</w:t>
            </w:r>
            <w:r>
              <w:rPr>
                <w:rFonts w:hint="default" w:ascii="Times New Roman" w:hAnsi="Times New Roman" w:eastAsia="宋体" w:cs="Times New Roman"/>
                <w:bCs/>
                <w:kern w:val="0"/>
                <w:sz w:val="24"/>
                <w14:ligatures w14:val="none"/>
              </w:rPr>
              <w:t xml:space="preserve"> </w:t>
            </w:r>
            <w:r>
              <w:rPr>
                <w:rFonts w:hint="default" w:ascii="Times New Roman" w:hAnsi="Times New Roman" w:eastAsia="宋体" w:cs="Times New Roman"/>
                <w:bCs/>
                <w:dstrike/>
                <w:kern w:val="0"/>
                <w:sz w:val="24"/>
                <w14:ligatures w14:val="none"/>
              </w:rPr>
              <w:t>S</w:t>
            </w:r>
            <w:r>
              <w:rPr>
                <w:rFonts w:hint="default" w:ascii="Times New Roman" w:hAnsi="Times New Roman" w:eastAsia="宋体" w:cs="Times New Roman"/>
                <w:bCs/>
                <w:kern w:val="0"/>
                <w:sz w:val="24"/>
                <w14:ligatures w14:val="none"/>
              </w:rPr>
              <w:t xml:space="preserve">standard warrant is divided into the bonded standard warrant and duty-paid standard warrant based on different duty payment statuses of the </w:t>
            </w:r>
            <w:r>
              <w:rPr>
                <w:rFonts w:hint="default" w:ascii="Times New Roman" w:hAnsi="Times New Roman" w:eastAsia="宋体" w:cs="Times New Roman"/>
                <w:b/>
                <w:bCs/>
                <w:color w:val="EE0000"/>
                <w:kern w:val="0"/>
                <w:sz w:val="24"/>
                <w:szCs w:val="20"/>
                <w14:ligatures w14:val="none"/>
              </w:rPr>
              <w:t>corresponding</w:t>
            </w:r>
            <w:r>
              <w:rPr>
                <w:rFonts w:hint="default" w:ascii="Times New Roman" w:hAnsi="Times New Roman" w:eastAsia="宋体" w:cs="Times New Roman"/>
                <w:kern w:val="0"/>
                <w:sz w:val="24"/>
                <w:szCs w:val="20"/>
                <w14:ligatures w14:val="none"/>
              </w:rPr>
              <w:t xml:space="preserve"> </w:t>
            </w:r>
            <w:r>
              <w:rPr>
                <w:rFonts w:hint="default" w:ascii="Times New Roman" w:hAnsi="Times New Roman" w:eastAsia="宋体" w:cs="Times New Roman"/>
                <w:bCs/>
                <w:dstrike/>
                <w:kern w:val="0"/>
                <w:sz w:val="24"/>
                <w14:ligatures w14:val="none"/>
              </w:rPr>
              <w:t>futures</w:t>
            </w:r>
            <w:r>
              <w:rPr>
                <w:rFonts w:hint="default" w:ascii="Times New Roman" w:hAnsi="Times New Roman" w:eastAsia="宋体" w:cs="Times New Roman"/>
                <w:bCs/>
                <w:kern w:val="0"/>
                <w:sz w:val="24"/>
                <w14:ligatures w14:val="none"/>
              </w:rPr>
              <w:t xml:space="preserve"> commodities.</w:t>
            </w:r>
          </w:p>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等线" w:cs="Times New Roman"/>
                <w:kern w:val="0"/>
                <w:sz w:val="24"/>
              </w:rPr>
              <w:t>Standard warrant is divided into warehouse standard warrant and factory standard warrant based on the nature of a Designated Delivery Storage Facility</w:t>
            </w:r>
            <w:r>
              <w:rPr>
                <w:rFonts w:hint="default" w:ascii="Times New Roman" w:hAnsi="Times New Roman" w:eastAsia="宋体" w:cs="Times New Roman"/>
                <w:kern w:val="0"/>
                <w:sz w:val="24"/>
                <w14:ligatures w14:val="none"/>
              </w:rPr>
              <w:t>.</w:t>
            </w:r>
          </w:p>
        </w:tc>
        <w:tc>
          <w:tcPr>
            <w:tcW w:w="7370" w:type="dxa"/>
          </w:tcPr>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kern w:val="0"/>
                <w:sz w:val="24"/>
                <w14:ligatures w14:val="none"/>
              </w:rPr>
              <w:t>Article 7</w:t>
            </w:r>
            <w:r>
              <w:rPr>
                <w:rFonts w:hint="default" w:ascii="Times New Roman" w:hAnsi="Times New Roman" w:eastAsia="宋体" w:cs="Times New Roman"/>
                <w:b/>
                <w:kern w:val="0"/>
                <w:sz w:val="24"/>
                <w14:ligatures w14:val="none"/>
              </w:rPr>
              <w:tab/>
            </w:r>
            <w:r>
              <w:rPr>
                <w:rFonts w:hint="default" w:ascii="Times New Roman" w:hAnsi="Times New Roman" w:eastAsia="宋体" w:cs="Times New Roman"/>
                <w:bCs/>
                <w:kern w:val="0"/>
                <w:sz w:val="24"/>
                <w14:ligatures w14:val="none"/>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tabs>
                <w:tab w:val="left" w:pos="0"/>
                <w:tab w:val="left" w:pos="709"/>
              </w:tabs>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Cs/>
                <w:kern w:val="0"/>
                <w:sz w:val="24"/>
                <w14:ligatures w14:val="none"/>
              </w:rPr>
              <w:t>Standard warrant is divided into the bonded standard warrant and duty-paid standard warrant based on different duty payment statuses of the futures commodities.</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Cs/>
                <w:kern w:val="0"/>
                <w:sz w:val="24"/>
                <w14:ligatures w14:val="none"/>
              </w:rPr>
              <w:t xml:space="preserve">Standard warrant is divided into warehouse standard warrant and factory standard warrant based </w:t>
            </w:r>
            <w:r>
              <w:rPr>
                <w:rFonts w:hint="default" w:ascii="Times New Roman" w:hAnsi="Times New Roman" w:eastAsia="等线" w:cs="Times New Roman"/>
                <w:kern w:val="0"/>
                <w:sz w:val="24"/>
              </w:rPr>
              <w:t>on the nature of a Designated Delivery Storage Facility</w:t>
            </w:r>
            <w:r>
              <w:rPr>
                <w:rFonts w:hint="default" w:ascii="Times New Roman" w:hAnsi="Times New Roman" w:eastAsia="宋体" w:cs="Times New Roman"/>
                <w:bCs/>
                <w:kern w:val="0"/>
                <w:sz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2</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Standard Physical Delivery</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2</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Standard Physical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kern w:val="0"/>
                <w:sz w:val="24"/>
                <w14:ligatures w14:val="none"/>
              </w:rPr>
              <w:t>Article 13 …</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Second Delivery Day (Matching)</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Exchange matches and allocates available standard warrants in accordance with the principles of “time priority, quantity rounding, nearest matching, and overall arrangement”.</w:t>
            </w:r>
          </w:p>
          <w:p>
            <w:pPr>
              <w:snapToGrid w:val="0"/>
              <w:spacing w:after="312" w:afterLines="100" w:line="276" w:lineRule="auto"/>
              <w:jc w:val="both"/>
              <w:rPr>
                <w:rFonts w:hint="default" w:ascii="Times New Roman" w:hAnsi="Times New Roman" w:eastAsia="宋体" w:cs="Times New Roman"/>
                <w:b/>
                <w:bCs/>
                <w:color w:val="EE0000"/>
                <w:kern w:val="0"/>
                <w:sz w:val="24"/>
                <w14:ligatures w14:val="none"/>
              </w:rPr>
            </w:pPr>
            <w:r>
              <w:rPr>
                <w:rFonts w:hint="default" w:ascii="Times New Roman" w:hAnsi="Times New Roman" w:eastAsia="宋体" w:cs="Times New Roman"/>
                <w:b/>
                <w:bCs/>
                <w:color w:val="EE0000"/>
                <w:kern w:val="0"/>
                <w:sz w:val="24"/>
                <w:szCs w:val="20"/>
                <w14:ligatures w14:val="none"/>
              </w:rPr>
              <w:t>Overseas standard warrants shall be matched and then allocated in accordance with the principle of “intention priority, overseas buyer priority”. The term “overseas buyer” referred to in this Article does not include Qualified Foreign Institutional Investors (QFIIs) and RMB Qualified Foreign Institutional Investors (RQFIIs).</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w:t>
            </w:r>
          </w:p>
        </w:tc>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kern w:val="0"/>
                <w:sz w:val="24"/>
                <w14:ligatures w14:val="none"/>
              </w:rPr>
              <w:t>Article 13</w:t>
            </w:r>
            <w:r>
              <w:rPr>
                <w:rFonts w:hint="default" w:ascii="Times New Roman" w:hAnsi="Times New Roman" w:eastAsia="宋体" w:cs="Times New Roman"/>
                <w:b/>
                <w:kern w:val="0"/>
                <w:sz w:val="24"/>
                <w14:ligatures w14:val="none"/>
              </w:rPr>
              <w:tab/>
            </w:r>
            <w:r>
              <w:rPr>
                <w:rFonts w:hint="default" w:ascii="Times New Roman" w:hAnsi="Times New Roman" w:eastAsia="宋体" w:cs="Times New Roman"/>
                <w:b/>
                <w:kern w:val="0"/>
                <w:sz w:val="24"/>
                <w14:ligatures w14:val="none"/>
              </w:rPr>
              <w:t>…</w:t>
            </w:r>
          </w:p>
          <w:p>
            <w:pPr>
              <w:tabs>
                <w:tab w:val="left" w:pos="0"/>
                <w:tab w:val="left" w:pos="454"/>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Second Delivery Day (Matching)</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Exchange matches and allocates available standard warrants in accordance with the principles of “time priority, quantity rounding, nearest matching, and overall arrangement”.</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Exchange of Futures for Physicals</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Exchange of Futures for Physicals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szCs w:val="20"/>
                <w14:ligatures w14:val="none"/>
              </w:rPr>
            </w:pPr>
            <w:r>
              <w:rPr>
                <w:rFonts w:hint="default" w:ascii="Times New Roman" w:hAnsi="Times New Roman" w:eastAsia="等线" w:cs="Times New Roman"/>
                <w:b/>
                <w:kern w:val="0"/>
                <w:sz w:val="24"/>
              </w:rPr>
              <w:t>Article 26</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 xml:space="preserve">The final settlement price of the EFPs is the price agreed by the buyer and the seller, while in case the bonded standard warrant </w:t>
            </w:r>
            <w:r>
              <w:rPr>
                <w:rFonts w:hint="default" w:ascii="Times New Roman" w:hAnsi="Times New Roman" w:eastAsia="等线" w:cs="Times New Roman"/>
                <w:b/>
                <w:bCs/>
                <w:color w:val="EE0000"/>
                <w:kern w:val="0"/>
                <w:sz w:val="24"/>
              </w:rPr>
              <w:t>or overseas standard warrant</w:t>
            </w:r>
            <w:r>
              <w:rPr>
                <w:rFonts w:hint="default" w:ascii="Times New Roman" w:hAnsi="Times New Roman" w:eastAsia="等线" w:cs="Times New Roman"/>
                <w:kern w:val="0"/>
                <w:sz w:val="24"/>
              </w:rPr>
              <w:t xml:space="preserve"> is used and the settlement is conducted through the Exchange, the final settlement price of the EFPs shall be calculated according to the specific provisions regarding the listed futures contract in these Delivery Rules.</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szCs w:val="20"/>
                <w14:ligatures w14:val="none"/>
              </w:rPr>
            </w:pPr>
            <w:r>
              <w:rPr>
                <w:rFonts w:hint="default" w:ascii="Times New Roman" w:hAnsi="Times New Roman" w:eastAsia="宋体" w:cs="Times New Roman"/>
                <w:b/>
                <w:bCs/>
                <w:kern w:val="0"/>
                <w:sz w:val="24"/>
                <w14:ligatures w14:val="none"/>
              </w:rPr>
              <w:t>Article 26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final settlement price of the EFPs is the price agreed by the buyer and the seller, while in case the bonded standard warrant is used and the settlement is conducted through the Exchange, the final settlement price of the EFPs shall be calculated according to the specific provisions regarding the listed futures contract in these Delivery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kern w:val="0"/>
                <w:sz w:val="24"/>
                <w:szCs w:val="20"/>
                <w14:ligatures w14:val="none"/>
              </w:rPr>
              <w:t>Article 29</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 xml:space="preserve">If a </w:t>
            </w:r>
            <w:r>
              <w:rPr>
                <w:rFonts w:hint="default" w:ascii="Times New Roman" w:hAnsi="Times New Roman" w:eastAsia="宋体" w:cs="Times New Roman"/>
                <w:b/>
                <w:bCs/>
                <w:color w:val="EE0000"/>
                <w:kern w:val="0"/>
                <w:sz w:val="24"/>
                <w:szCs w:val="20"/>
                <w14:ligatures w14:val="none"/>
              </w:rPr>
              <w:t>bonded</w:t>
            </w:r>
            <w:r>
              <w:rPr>
                <w:rFonts w:hint="default" w:ascii="Times New Roman" w:hAnsi="Times New Roman" w:eastAsia="宋体" w:cs="Times New Roman"/>
                <w:kern w:val="0"/>
                <w:sz w:val="24"/>
                <w:szCs w:val="20"/>
                <w14:ligatures w14:val="none"/>
              </w:rPr>
              <w:t xml:space="preserve"> standard warrant is used for an EFP transaction and the settlement is conducted via the Exchange, the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shall submit a tax invoice to the Exchange within five (5) trading days immediately after exchanging the payment for underlying commodities and the standard warrant. If the invoice is submitted before 14:00, the Exchange shall, upon verification, release the corresponding margin to the</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 xml:space="preserve"> 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during the daily clearing on the same day. If submitted after 14:00, the Exchange shall, upon verification, release the margin to the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during the daily clearing on the next trading day. After receiving the invoice from the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the Exchange shall issue a tax invoice to the buyer’s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on the following trading day. If the</w:t>
            </w:r>
            <w:r>
              <w:rPr>
                <w:rFonts w:hint="default" w:ascii="Times New Roman" w:hAnsi="Times New Roman" w:eastAsia="宋体" w:cs="Times New Roman"/>
                <w:b/>
                <w:bCs/>
                <w:color w:val="EE0000"/>
                <w:kern w:val="0"/>
                <w:sz w:val="24"/>
                <w:szCs w:val="20"/>
                <w14:ligatures w14:val="none"/>
              </w:rPr>
              <w:t xml:space="preserve"> </w:t>
            </w:r>
            <w:r>
              <w:rPr>
                <w:rFonts w:hint="default" w:ascii="Times New Roman" w:hAnsi="Times New Roman" w:eastAsia="宋体" w:cs="Times New Roman"/>
                <w:color w:val="000000" w:themeColor="text1"/>
                <w:kern w:val="0"/>
                <w:sz w:val="24"/>
                <w:szCs w:val="20"/>
                <w14:textFill>
                  <w14:solidFill>
                    <w14:schemeClr w14:val="tx1"/>
                  </w14:solidFill>
                </w14:textFill>
                <w14:ligatures w14:val="none"/>
              </w:rPr>
              <w:t>seller’s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宋体" w:cs="Times New Roman"/>
                <w:kern w:val="0"/>
                <w:sz w:val="24"/>
                <w:szCs w:val="20"/>
                <w14:ligatures w14:val="none"/>
              </w:rPr>
              <w:t xml:space="preserve"> fails to submit the invoice within the prescribed period, the matter shall be handled in accordance with the relevant provisions of the Clearing Rules of the Shanghai International Energy Exchange.</w:t>
            </w:r>
          </w:p>
          <w:p>
            <w:pPr>
              <w:snapToGrid w:val="0"/>
              <w:spacing w:after="312" w:afterLines="100" w:line="276" w:lineRule="auto"/>
              <w:jc w:val="both"/>
              <w:rPr>
                <w:rFonts w:hint="default" w:ascii="Times New Roman" w:hAnsi="Times New Roman" w:eastAsia="等线" w:cs="Times New Roman"/>
                <w:b/>
                <w:kern w:val="0"/>
                <w:sz w:val="24"/>
                <w:szCs w:val="20"/>
                <w14:ligatures w14:val="none"/>
              </w:rPr>
            </w:pPr>
            <w:r>
              <w:rPr>
                <w:rFonts w:hint="default" w:ascii="Times New Roman" w:hAnsi="Times New Roman" w:eastAsia="等线" w:cs="Times New Roman"/>
                <w:b/>
                <w:bCs/>
                <w:color w:val="EE0000"/>
                <w:kern w:val="0"/>
                <w:sz w:val="24"/>
              </w:rPr>
              <w:t>If an overseas standard warrant is used for an EFP transaction and the settlement is conducted via the Exchange, the seller shall issue the tax invoice directly to the buyer. The carrying Members of the seller and the buyer shall be responsible for verifying, transmitting, and confirming the invoice and the specific information required for invoicing. The buyer’s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等线" w:cs="Times New Roman"/>
                <w:b/>
                <w:bCs/>
                <w:color w:val="EE0000"/>
                <w:kern w:val="0"/>
                <w:sz w:val="24"/>
              </w:rPr>
              <w:t xml:space="preserve"> shall provide the seller’s carrying Member with such information within one (1) trading day after completing the EFP transaction. The Members shall also mediate and resolve any related disputes. OSBPs and Overseas Intermediaries shall assist the Members in the above verification, transmission, and confirmation, as well as in the mediation and resolution of disputes.The seller’s carrying Member shall deliver the invoice to the buyer’s</w:t>
            </w:r>
            <w:r>
              <w:rPr>
                <w:rFonts w:hint="default" w:ascii="Times New Roman" w:hAnsi="Times New Roman" w:eastAsia="宋体" w:cs="Times New Roman"/>
                <w:b/>
                <w:bCs/>
                <w:color w:val="EE0000"/>
                <w:kern w:val="0"/>
                <w:sz w:val="24"/>
                <w:szCs w:val="20"/>
                <w14:ligatures w14:val="none"/>
              </w:rPr>
              <w:t xml:space="preserve"> carrying Member</w:t>
            </w:r>
            <w:r>
              <w:rPr>
                <w:rFonts w:hint="default" w:ascii="Times New Roman" w:hAnsi="Times New Roman" w:eastAsia="等线" w:cs="Times New Roman"/>
                <w:b/>
                <w:bCs/>
                <w:color w:val="EE0000"/>
                <w:kern w:val="0"/>
                <w:sz w:val="24"/>
              </w:rPr>
              <w:t xml:space="preserve"> within five (5) trading days after completing the EFP transaction. If the invoicing matters remain unresolved by 14:00 on the trading day immediately following the completion of the EFP transaction, the Exchange shall, on that day, collect a margin of no less than 15% on the corresponding delivery position, calculated using the EFP final settlement price of the relevant contract. Such margin shall be released after the invoicing matters are resolved by the buyer and seller and upon application and confirmation by their carrying Members. If the seller’s carrying Member fails to submit the invoice within the prescribed period, the matter shall be handled by reference to the relevant provisions of the </w:t>
            </w:r>
            <w:r>
              <w:rPr>
                <w:rFonts w:hint="default" w:ascii="Times New Roman" w:hAnsi="Times New Roman" w:eastAsia="等线" w:cs="Times New Roman"/>
                <w:b/>
                <w:bCs/>
                <w:i/>
                <w:iCs/>
                <w:color w:val="EE0000"/>
                <w:kern w:val="0"/>
                <w:sz w:val="24"/>
              </w:rPr>
              <w:t>Clearing Rules of the Shanghai International Energy Exchange</w:t>
            </w:r>
            <w:r>
              <w:rPr>
                <w:rFonts w:hint="default" w:ascii="Times New Roman" w:hAnsi="Times New Roman" w:eastAsia="等线" w:cs="Times New Roman"/>
                <w:b/>
                <w:bCs/>
                <w:color w:val="EE0000"/>
                <w:kern w:val="0"/>
                <w:sz w:val="24"/>
              </w:rPr>
              <w:t>.</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szCs w:val="20"/>
                <w14:ligatures w14:val="none"/>
              </w:rPr>
            </w:pPr>
            <w:r>
              <w:rPr>
                <w:rFonts w:hint="default" w:ascii="Times New Roman" w:hAnsi="Times New Roman" w:eastAsia="宋体" w:cs="Times New Roman"/>
                <w:b/>
                <w:bCs/>
                <w:kern w:val="0"/>
                <w:sz w:val="24"/>
                <w14:ligatures w14:val="none"/>
              </w:rPr>
              <w:t>Article 29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 xml:space="preserve">If a standard warrant is used for </w:t>
            </w:r>
            <w:r>
              <w:rPr>
                <w:rFonts w:hint="default" w:ascii="Times New Roman" w:hAnsi="Times New Roman" w:eastAsia="宋体" w:cs="Times New Roman"/>
                <w:kern w:val="0"/>
                <w:sz w:val="24"/>
                <w:szCs w:val="20"/>
                <w14:ligatures w14:val="none"/>
              </w:rPr>
              <w:t xml:space="preserve">an EFP transaction </w:t>
            </w:r>
            <w:r>
              <w:rPr>
                <w:rFonts w:hint="default" w:ascii="Times New Roman" w:hAnsi="Times New Roman" w:eastAsia="宋体" w:cs="Times New Roman"/>
                <w:kern w:val="0"/>
                <w:sz w:val="24"/>
                <w14:ligatures w14:val="none"/>
              </w:rPr>
              <w:t xml:space="preserve">and the settlement is conducted via the Exchange, the seller shall submit </w:t>
            </w:r>
            <w:r>
              <w:rPr>
                <w:rFonts w:hint="default" w:ascii="Times New Roman" w:hAnsi="Times New Roman" w:eastAsia="宋体" w:cs="Times New Roman"/>
                <w:kern w:val="0"/>
                <w:sz w:val="24"/>
                <w:szCs w:val="20"/>
                <w14:ligatures w14:val="none"/>
              </w:rPr>
              <w:t>a tax invoice</w:t>
            </w:r>
            <w:r>
              <w:rPr>
                <w:rFonts w:hint="default" w:ascii="Times New Roman" w:hAnsi="Times New Roman" w:eastAsia="宋体" w:cs="Times New Roman"/>
                <w:kern w:val="0"/>
                <w:sz w:val="24"/>
                <w14:ligatures w14:val="none"/>
              </w:rPr>
              <w:t xml:space="preserve"> to the Exchange within five (5) trading days immediately after exchanging the payment for underlying commodities and the standard warrant.</w:t>
            </w:r>
            <w:r>
              <w:rPr>
                <w:rFonts w:hint="default" w:ascii="Times New Roman" w:hAnsi="Times New Roman" w:eastAsia="等线" w:cs="Times New Roman"/>
                <w:kern w:val="0"/>
                <w:sz w:val="24"/>
              </w:rPr>
              <w:t xml:space="preserve"> If the invoice is submitted before 14:00, the Exchange shall, upon verification, release the corresponding margin to the seller during the daily clearing on the same day. If submitted after 14:00, the Exchange shall, upon verification, release the margin to the seller during the daily clearing on the next trading day. After receiving the invoice from the seller, the Exchange shall issue a tax invoice to the buyer on the following trading day. If the seller fails to submit the invoice within the prescribed period, the matter shall be handled in accordance with the relevant provisions of the Clearing Rules of the Shanghai International Energy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4</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Warehouse Delivery</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4</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Warehouse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bCs/>
                <w:kern w:val="0"/>
                <w:sz w:val="24"/>
                <w14:ligatures w14:val="none"/>
              </w:rPr>
              <w:t xml:space="preserve">Article 45 </w:t>
            </w:r>
            <w:r>
              <w:rPr>
                <w:rFonts w:hint="default" w:ascii="Times New Roman" w:hAnsi="Times New Roman" w:eastAsia="宋体" w:cs="Times New Roman"/>
                <w:bCs/>
                <w:kern w:val="0"/>
                <w:sz w:val="24"/>
                <w14:ligatures w14:val="none"/>
              </w:rPr>
              <w:t>…</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kern w:val="0"/>
                <w:sz w:val="24"/>
              </w:rPr>
              <w:t>When the holder of a standard warrant disputes the quality</w:t>
            </w:r>
            <w:r>
              <w:rPr>
                <w:rFonts w:hint="default" w:ascii="Times New Roman" w:hAnsi="Times New Roman" w:eastAsia="等线" w:cs="Times New Roman"/>
                <w:b/>
                <w:bCs/>
                <w:color w:val="EE0000"/>
                <w:kern w:val="0"/>
                <w:sz w:val="24"/>
              </w:rPr>
              <w:t xml:space="preserve"> or quantity (weight) of</w:t>
            </w:r>
            <w:r>
              <w:rPr>
                <w:rFonts w:hint="default" w:ascii="Times New Roman" w:hAnsi="Times New Roman" w:eastAsia="等线" w:cs="Times New Roman"/>
                <w:kern w:val="0"/>
                <w:sz w:val="24"/>
              </w:rPr>
              <w:t xml:space="preserve">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45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w:t>
            </w:r>
          </w:p>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Cs/>
                <w:kern w:val="0"/>
                <w:sz w:val="24"/>
                <w14:ligatures w14:val="none"/>
              </w:rPr>
              <w:t>When the holder of a standard warrant has any dispute against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Factory Delivery</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Factory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56</w:t>
            </w:r>
            <w:r>
              <w:rPr>
                <w:rFonts w:hint="default" w:ascii="Times New Roman" w:hAnsi="Times New Roman" w:eastAsia="等线" w:cs="Times New Roman"/>
                <w:b/>
                <w:kern w:val="0"/>
                <w:sz w:val="24"/>
              </w:rPr>
              <w:tab/>
            </w:r>
            <w:r>
              <w:rPr>
                <w:rFonts w:hint="default" w:ascii="Times New Roman" w:hAnsi="Times New Roman" w:eastAsia="等线" w:cs="Times New Roman"/>
                <w:kern w:val="0"/>
                <w:sz w:val="24"/>
              </w:rPr>
              <w:t>A factory shall ensure that the quality of futures commodities loaded out meets the quality standards prescribed in the corresponding futures contracts listed on the Exchange.</w:t>
            </w:r>
          </w:p>
          <w:p>
            <w:pPr>
              <w:tabs>
                <w:tab w:val="left" w:pos="0"/>
                <w:tab w:val="left" w:pos="709"/>
              </w:tabs>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等线" w:cs="Times New Roman"/>
                <w:kern w:val="0"/>
                <w:sz w:val="24"/>
              </w:rPr>
              <w:t>When the holder of a factory standard warrant disputes the quality</w:t>
            </w:r>
            <w:r>
              <w:rPr>
                <w:rFonts w:hint="default" w:ascii="Times New Roman" w:hAnsi="Times New Roman" w:eastAsia="等线" w:cs="Times New Roman"/>
                <w:b/>
                <w:bCs/>
                <w:color w:val="EE0000"/>
                <w:kern w:val="0"/>
                <w:sz w:val="24"/>
              </w:rPr>
              <w:t xml:space="preserve"> or quantity (weight) of</w:t>
            </w:r>
            <w:r>
              <w:rPr>
                <w:rFonts w:hint="default" w:ascii="Times New Roman" w:hAnsi="Times New Roman" w:eastAsia="等线" w:cs="Times New Roman"/>
                <w:kern w:val="0"/>
                <w:sz w:val="24"/>
              </w:rPr>
              <w:t xml:space="preserve">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56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 factory shall ensure that the quality of futures commodities loaded out meets the quality standards prescribed in the corresponding futures contracts listed on the Exchange.</w:t>
            </w:r>
          </w:p>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kern w:val="0"/>
                <w:sz w:val="24"/>
                <w14:ligatures w14:val="none"/>
              </w:rPr>
              <w:t>When the holder of a factory standard warrant has any dispute against the quality of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8</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Management of Designated Delivery Storage Facilities</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8</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Management of Designated Delivery Storage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b/>
                <w:kern w:val="0"/>
                <w:sz w:val="24"/>
                <w:szCs w:val="20"/>
                <w14:ligatures w14:val="none"/>
              </w:rPr>
              <w:t>Article 71</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An applicant applying to be a Designated Delivery Storage Facility shall meet the following criteria:</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1.</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2.</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sound financial condition and comparatively strong risk resistance capacity; having the amount of registered capital and net assets as prescribed by the Exchange;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3.</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Its warehouse storage capacity or factory production capacity, or trading volume satisfying the requirements prescribed by the Exchange;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4.</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good business reputation and no record of severe violations or disqualification of the Designated Delivery Storage Facility within the last three (3) years;</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5.</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6.</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a professional management team in which the senior managers shall have over five (5) years of production, trading, or storage facility management experience;</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7.</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Having sound transportation, as well as sound and complete terminal facilities, ports and equipment thereof;</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8.</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Recognizing and undertaking to abide by the General Exchange Rules, these Delivery Rules, etc.; and</w:t>
            </w:r>
          </w:p>
          <w:p>
            <w:pPr>
              <w:snapToGrid w:val="0"/>
              <w:spacing w:after="312" w:afterLines="100" w:line="276" w:lineRule="auto"/>
              <w:jc w:val="both"/>
              <w:rPr>
                <w:rFonts w:hint="default" w:ascii="Times New Roman" w:hAnsi="Times New Roman" w:eastAsia="宋体" w:cs="Times New Roman"/>
                <w:kern w:val="0"/>
                <w:sz w:val="24"/>
                <w:szCs w:val="20"/>
                <w14:ligatures w14:val="none"/>
              </w:rPr>
            </w:pPr>
            <w:r>
              <w:rPr>
                <w:rFonts w:hint="default" w:ascii="Times New Roman" w:hAnsi="Times New Roman" w:eastAsia="宋体" w:cs="Times New Roman"/>
                <w:kern w:val="0"/>
                <w:sz w:val="24"/>
                <w:szCs w:val="20"/>
                <w14:ligatures w14:val="none"/>
              </w:rPr>
              <w:t>9.</w:t>
            </w:r>
            <w:r>
              <w:rPr>
                <w:rFonts w:hint="default" w:ascii="Times New Roman" w:hAnsi="Times New Roman" w:eastAsia="宋体" w:cs="Times New Roman"/>
                <w:kern w:val="0"/>
                <w:sz w:val="24"/>
                <w:szCs w:val="20"/>
                <w14:ligatures w14:val="none"/>
              </w:rPr>
              <w:tab/>
            </w:r>
            <w:r>
              <w:rPr>
                <w:rFonts w:hint="default" w:ascii="Times New Roman" w:hAnsi="Times New Roman" w:eastAsia="宋体" w:cs="Times New Roman"/>
                <w:kern w:val="0"/>
                <w:sz w:val="24"/>
                <w:szCs w:val="20"/>
                <w14:ligatures w14:val="none"/>
              </w:rPr>
              <w:t>Other requirements prescribed by the Exchange.</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In addition to the criteria specified in items 1</w:t>
            </w:r>
            <w:r>
              <w:rPr>
                <w:rFonts w:hint="default" w:ascii="Times New Roman" w:hAnsi="Times New Roman" w:eastAsia="宋体" w:cs="Times New Roman"/>
                <w:b/>
                <w:bCs/>
                <w:color w:val="EE0000"/>
                <w:kern w:val="0"/>
                <w:sz w:val="24"/>
                <w:szCs w:val="20"/>
                <w:lang w:val="en-US" w:eastAsia="zh-CN"/>
                <w14:ligatures w14:val="none"/>
              </w:rPr>
              <w:t xml:space="preserve"> </w:t>
            </w:r>
            <w:r>
              <w:rPr>
                <w:rFonts w:hint="default" w:ascii="Times New Roman" w:hAnsi="Times New Roman" w:eastAsia="宋体" w:cs="Times New Roman"/>
                <w:b/>
                <w:bCs/>
                <w:color w:val="EE0000"/>
                <w:kern w:val="0"/>
                <w:sz w:val="24"/>
                <w:szCs w:val="20"/>
                <w14:ligatures w14:val="none"/>
              </w:rPr>
              <w:t>to 9</w:t>
            </w:r>
            <w:r>
              <w:rPr>
                <w:rFonts w:hint="default" w:ascii="Times New Roman" w:hAnsi="Times New Roman" w:eastAsia="宋体" w:cs="Times New Roman"/>
                <w:b/>
                <w:bCs/>
                <w:color w:val="EE0000"/>
                <w:kern w:val="0"/>
                <w:sz w:val="24"/>
                <w:szCs w:val="20"/>
                <w:lang w:val="en-US" w:eastAsia="zh-CN"/>
                <w14:ligatures w14:val="none"/>
              </w:rPr>
              <w:t xml:space="preserve"> </w:t>
            </w:r>
            <w:r>
              <w:rPr>
                <w:rFonts w:hint="default" w:ascii="Times New Roman" w:hAnsi="Times New Roman" w:eastAsia="宋体" w:cs="Times New Roman"/>
                <w:b/>
                <w:bCs/>
                <w:color w:val="EE0000"/>
                <w:kern w:val="0"/>
                <w:sz w:val="24"/>
                <w:szCs w:val="20"/>
                <w14:ligatures w14:val="none"/>
              </w:rPr>
              <w:t>of the first paragraph of this Article, an applicant applying to be an overseas Designated Delivery Storage Facility shall also meet the following criteria:</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(1) Its selection and setup shall meet the requirements for, among others, the functioning, smooth trading, and delivery safety of the relevant domestic futures products; and</w:t>
            </w:r>
          </w:p>
          <w:p>
            <w:pPr>
              <w:snapToGrid w:val="0"/>
              <w:spacing w:after="312" w:afterLines="100" w:line="276" w:lineRule="auto"/>
              <w:jc w:val="both"/>
              <w:rPr>
                <w:rFonts w:hint="default" w:ascii="Times New Roman" w:hAnsi="Times New Roman" w:eastAsia="宋体" w:cs="Times New Roman"/>
                <w:b/>
                <w:bCs/>
                <w:color w:val="EE0000"/>
                <w:kern w:val="0"/>
                <w:sz w:val="24"/>
                <w:szCs w:val="20"/>
                <w14:ligatures w14:val="none"/>
              </w:rPr>
            </w:pPr>
            <w:r>
              <w:rPr>
                <w:rFonts w:hint="default" w:ascii="Times New Roman" w:hAnsi="Times New Roman" w:eastAsia="宋体" w:cs="Times New Roman"/>
                <w:b/>
                <w:bCs/>
                <w:color w:val="EE0000"/>
                <w:kern w:val="0"/>
                <w:sz w:val="24"/>
                <w:szCs w:val="20"/>
                <w14:ligatures w14:val="none"/>
              </w:rPr>
              <w:t>(2) It shall have the personnel, business systems, and hardware facilities necessary for conducting overseas delivery operations.</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szCs w:val="20"/>
                <w14:ligatures w14:val="none"/>
              </w:rPr>
              <w:t>The Exchange is entitled to waive one or more conditions above depending on the financial condition, risk management capabilities and soundness of operation of the applicant.</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71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An applicant applying to be a Designated Delivery Storage Facility shall meet the following criteria:</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1.</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sound financial condition and comparatively strong risk resistance capacity; having the amount of registered capital and net assets as prescribed by the Exchange;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3.</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Its warehouse storage capacity or factory production capacity, or trading volume satisfying the requirements prescribed by the Exchange;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4.</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good business reputation and no record of severe violations or disqualification of the Designated Delivery Storage Facility within the last three (3) years;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5.</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6.</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a professional management team in which the senior managers shall have over five (5) years of production, trading, or storage facility management experience;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7.</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Having sound transportation, as well as sound and complete terminal facilities, ports and equipment thereof;</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8.</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Recognizing and undertaking to abide by the General Exchange Rules, these Delivery Rules, etc.; and</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9.</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Other requirements prescribed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kern w:val="0"/>
                <w:sz w:val="24"/>
                <w14:ligatures w14:val="none"/>
              </w:rPr>
              <w:t>The Exchange is entitled to waive one or more conditions above depending on the financial condition, risk management capabilities and soundness of operation of the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Delivery of TSR 20 Futures Contract</w:t>
            </w:r>
          </w:p>
        </w:tc>
        <w:tc>
          <w:tcPr>
            <w:tcW w:w="7370" w:type="dxa"/>
          </w:tcPr>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宋体" w:cs="Times New Roman"/>
                <w:b/>
                <w:bCs/>
                <w:kern w:val="0"/>
                <w:sz w:val="24"/>
                <w14:ligatures w14:val="none"/>
              </w:rPr>
              <w:t>Chapter 13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
                <w:bCs/>
                <w:kern w:val="0"/>
                <w:sz w:val="24"/>
                <w14:ligatures w14:val="none"/>
              </w:rPr>
              <w:t>Delivery of TSR 20 Futures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Cs/>
                <w:kern w:val="0"/>
                <w:sz w:val="24"/>
                <w14:ligatures w14:val="none"/>
              </w:rPr>
            </w:pPr>
            <w:r>
              <w:rPr>
                <w:rFonts w:hint="default" w:ascii="Times New Roman" w:hAnsi="Times New Roman" w:eastAsia="宋体" w:cs="Times New Roman"/>
                <w:b/>
                <w:bCs/>
                <w:kern w:val="0"/>
                <w:sz w:val="24"/>
                <w14:ligatures w14:val="none"/>
              </w:rPr>
              <w:t>Article 179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bCs/>
                <w:kern w:val="0"/>
                <w:sz w:val="24"/>
                <w14:ligatures w14:val="none"/>
              </w:rPr>
              <w:t>The TSR 20 futures contract adopts physical delivery, bonded delivery</w:t>
            </w:r>
            <w:r>
              <w:rPr>
                <w:rFonts w:hint="default" w:ascii="Times New Roman" w:hAnsi="Times New Roman" w:eastAsia="宋体" w:cs="Times New Roman"/>
                <w:bCs/>
                <w:dstrike/>
                <w:kern w:val="0"/>
                <w:sz w:val="24"/>
                <w14:ligatures w14:val="none"/>
              </w:rPr>
              <w:t xml:space="preserve"> and</w:t>
            </w:r>
            <w:r>
              <w:rPr>
                <w:rFonts w:hint="default" w:ascii="Times New Roman" w:hAnsi="Times New Roman" w:eastAsia="宋体" w:cs="Times New Roman"/>
                <w:b/>
                <w:color w:val="EE0000"/>
                <w:kern w:val="0"/>
                <w:sz w:val="24"/>
                <w14:ligatures w14:val="none"/>
              </w:rPr>
              <w:t xml:space="preserve">, </w:t>
            </w:r>
            <w:r>
              <w:rPr>
                <w:rFonts w:hint="default" w:ascii="Times New Roman" w:hAnsi="Times New Roman" w:eastAsia="等线" w:cs="Times New Roman"/>
                <w:b/>
                <w:color w:val="EE0000"/>
                <w:kern w:val="0"/>
                <w:sz w:val="24"/>
              </w:rPr>
              <w:t>overseas delivery</w:t>
            </w:r>
            <w:r>
              <w:rPr>
                <w:rFonts w:hint="default" w:ascii="Times New Roman" w:hAnsi="Times New Roman" w:eastAsia="等线" w:cs="Times New Roman"/>
                <w:kern w:val="0"/>
                <w:sz w:val="24"/>
              </w:rPr>
              <w:t xml:space="preserve">, </w:t>
            </w:r>
            <w:r>
              <w:rPr>
                <w:rFonts w:hint="default" w:ascii="Times New Roman" w:hAnsi="Times New Roman" w:eastAsia="宋体" w:cs="Times New Roman"/>
                <w:bCs/>
                <w:kern w:val="0"/>
                <w:sz w:val="24"/>
                <w14:ligatures w14:val="none"/>
              </w:rPr>
              <w:t>warehouse deliver</w:t>
            </w:r>
            <w:r>
              <w:rPr>
                <w:rFonts w:hint="default" w:ascii="Times New Roman" w:hAnsi="Times New Roman" w:eastAsia="宋体" w:cs="Times New Roman"/>
                <w:bCs/>
                <w:color w:val="000000" w:themeColor="text1"/>
                <w:kern w:val="0"/>
                <w:sz w:val="24"/>
                <w14:textFill>
                  <w14:solidFill>
                    <w14:schemeClr w14:val="tx1"/>
                  </w14:solidFill>
                </w14:textFill>
                <w14:ligatures w14:val="none"/>
              </w:rPr>
              <w:t>y</w:t>
            </w:r>
            <w:r>
              <w:rPr>
                <w:rFonts w:hint="default" w:ascii="Times New Roman" w:hAnsi="Times New Roman" w:eastAsia="宋体" w:cs="Times New Roman"/>
                <w:b/>
                <w:color w:val="EE0000"/>
                <w:kern w:val="0"/>
                <w:sz w:val="24"/>
                <w:szCs w:val="20"/>
                <w14:ligatures w14:val="none"/>
              </w:rPr>
              <w:t>, and factory delivery</w:t>
            </w:r>
            <w:r>
              <w:rPr>
                <w:rFonts w:hint="default" w:ascii="Times New Roman" w:hAnsi="Times New Roman" w:eastAsia="宋体" w:cs="Times New Roman"/>
                <w:bCs/>
                <w:kern w:val="0"/>
                <w:sz w:val="24"/>
                <w14:ligatures w14:val="none"/>
              </w:rPr>
              <w:t>.</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The specific procedures for warehouse delivery and factory delivery of the TSR 20 futures contract shall be governed by Chapters 4 and 5 of these Delivery Rules, respectively.</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179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TSR 20 futures contract adopts physical delivery, bonded delivery and warehouse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188</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Before issuing a factory standard warrant for TSR 20, a factory shall submit an application to the Exchange. The application shall include the product name, the name of the Member, the name of the owner, and the proposed number of standard warrants to be issued. When issuing an overseas standard warrant, a factory shall, based on its own production and processing capacity, submit an application to the Exchange naming itself as the owner.</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等线" w:cs="Times New Roman"/>
                <w:b/>
                <w:bCs/>
                <w:color w:val="EE0000"/>
                <w:kern w:val="0"/>
                <w:sz w:val="24"/>
              </w:rPr>
              <w:t>The Exchange may exempt a factory from providing guarantees if the factory can provide supporting documents proving that the storage arrangements for the commodity underlying the factory standard warrant continuously comply with the relevant requirements.</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188</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bCs/>
                <w:kern w:val="0"/>
                <w:sz w:val="24"/>
                <w14:ligatures w14:val="none"/>
              </w:rPr>
              <w:t>Article 189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 xml:space="preserve">Each </w:t>
            </w:r>
            <w:r>
              <w:rPr>
                <w:rFonts w:hint="default" w:ascii="Times New Roman" w:hAnsi="Times New Roman" w:eastAsia="宋体" w:cs="Times New Roman"/>
                <w:dstrike/>
                <w:kern w:val="0"/>
                <w:sz w:val="24"/>
                <w14:ligatures w14:val="none"/>
              </w:rPr>
              <w:t>bonded</w:t>
            </w:r>
            <w:r>
              <w:rPr>
                <w:rFonts w:hint="default" w:ascii="Times New Roman" w:hAnsi="Times New Roman" w:eastAsia="宋体" w:cs="Times New Roman"/>
                <w:kern w:val="0"/>
                <w:sz w:val="24"/>
                <w14:ligatures w14:val="none"/>
              </w:rPr>
              <w:t xml:space="preserve"> standard warrant for TSR 20 shall represent one hundred (100) metric tons in name, and shall be in the same registered brand, manufacturer (factory), and packaging specification.</w:t>
            </w:r>
          </w:p>
        </w:tc>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bCs/>
                <w:kern w:val="0"/>
                <w:sz w:val="24"/>
                <w14:ligatures w14:val="none"/>
              </w:rPr>
              <w:t>Article 189</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Each bonded standard warrant for TSR 20 shall represent one hundred (100) metric tons in name, and shall be in the same registered brand, manufacturer (factory), and packaging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191</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The range of manufacturing dates of the standard or substitute TSR 20 underlying each</w:t>
            </w:r>
            <w:r>
              <w:rPr>
                <w:rFonts w:hint="default" w:ascii="Times New Roman" w:hAnsi="Times New Roman" w:eastAsia="宋体" w:cs="Times New Roman"/>
                <w:kern w:val="0"/>
                <w:sz w:val="24"/>
                <w14:ligatures w14:val="none"/>
              </w:rPr>
              <w:t xml:space="preserve"> </w:t>
            </w:r>
            <w:r>
              <w:rPr>
                <w:rFonts w:hint="default" w:ascii="Times New Roman" w:hAnsi="Times New Roman" w:eastAsia="宋体" w:cs="Times New Roman"/>
                <w:dstrike/>
                <w:kern w:val="0"/>
                <w:sz w:val="24"/>
                <w14:ligatures w14:val="none"/>
              </w:rPr>
              <w:t>bonded</w:t>
            </w:r>
            <w:r>
              <w:rPr>
                <w:rFonts w:hint="default" w:ascii="Times New Roman" w:hAnsi="Times New Roman" w:eastAsia="等线" w:cs="Times New Roman"/>
                <w:kern w:val="0"/>
                <w:sz w:val="24"/>
              </w:rPr>
              <w:t xml:space="preserve"> standard warrant shall not exceed thirty (30) days, the earliest of which shall be taken as the manufacturing date for the </w:t>
            </w:r>
            <w:r>
              <w:rPr>
                <w:rFonts w:hint="default" w:ascii="Times New Roman" w:hAnsi="Times New Roman" w:eastAsia="宋体" w:cs="Times New Roman"/>
                <w:dstrike/>
                <w:kern w:val="0"/>
                <w:sz w:val="24"/>
                <w14:ligatures w14:val="none"/>
              </w:rPr>
              <w:t>bonded</w:t>
            </w:r>
            <w:r>
              <w:rPr>
                <w:rFonts w:hint="default" w:ascii="Times New Roman" w:hAnsi="Times New Roman" w:eastAsia="等线" w:cs="Times New Roman"/>
                <w:kern w:val="0"/>
                <w:sz w:val="24"/>
              </w:rPr>
              <w:t xml:space="preserve"> standard warrant. A standard warrant for standard or substitute TSR 20 is valid for twelve (12) months from the manufacturing date. </w:t>
            </w:r>
            <w:r>
              <w:rPr>
                <w:rFonts w:hint="default" w:ascii="Times New Roman" w:hAnsi="Times New Roman" w:eastAsia="等线" w:cs="Times New Roman"/>
                <w:b/>
                <w:bCs/>
                <w:color w:val="EE0000"/>
                <w:kern w:val="0"/>
                <w:sz w:val="24"/>
              </w:rPr>
              <w:t>An overseas standard warrant for TSR 20 is valid for six (6) months from the date of issuance, and shall be cancelled immediately after the first delivery. Overseas standard warrants for TSR 20 are non-transferable.</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等线" w:cs="Times New Roman"/>
                <w:kern w:val="0"/>
                <w:sz w:val="24"/>
              </w:rPr>
              <w:t xml:space="preserve">An inspection report of standard or substitute TSR 20 loaded in for generating </w:t>
            </w:r>
            <w:r>
              <w:rPr>
                <w:rFonts w:hint="default" w:ascii="Times New Roman" w:hAnsi="Times New Roman" w:eastAsia="等线" w:cs="Times New Roman"/>
                <w:b/>
                <w:bCs/>
                <w:color w:val="EE0000"/>
                <w:kern w:val="0"/>
                <w:sz w:val="24"/>
              </w:rPr>
              <w:t>bonded</w:t>
            </w:r>
            <w:r>
              <w:rPr>
                <w:rFonts w:hint="default" w:ascii="Times New Roman" w:hAnsi="Times New Roman" w:eastAsia="等线" w:cs="Times New Roman"/>
                <w:kern w:val="0"/>
                <w:sz w:val="24"/>
              </w:rPr>
              <w:t xml:space="preserve">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191</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range of manufacturing dates of the standard or substitute TSR 20 underlying each bonded standard warrant shall not exceed thirty (30) days, the earliest of which shall be taken as the manufacturing date for the bonded standard warrant. A standard warrant for standard or substitute TSR 20 is valid for twelve (12) months from the manufacturing date.</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An inspection report of standard or substitute TSR 20 loaded in for generating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load-in inspection of TSR 20</w:t>
            </w:r>
            <w:r>
              <w:rPr>
                <w:rFonts w:hint="default" w:ascii="Times New Roman" w:hAnsi="Times New Roman" w:eastAsia="等线" w:cs="Times New Roman"/>
                <w:kern w:val="0"/>
                <w:sz w:val="24"/>
              </w:rPr>
              <w:t xml:space="preserve"> </w:t>
            </w:r>
            <w:r>
              <w:rPr>
                <w:rFonts w:hint="default" w:ascii="Times New Roman" w:hAnsi="Times New Roman" w:eastAsia="等线" w:cs="Times New Roman"/>
                <w:b/>
                <w:bCs/>
                <w:color w:val="EE0000"/>
                <w:kern w:val="0"/>
                <w:sz w:val="24"/>
              </w:rPr>
              <w:t>for generating bonded standard warrants</w:t>
            </w:r>
            <w:r>
              <w:rPr>
                <w:rFonts w:hint="default" w:ascii="Times New Roman" w:hAnsi="Times New Roman" w:eastAsia="宋体" w:cs="Times New Roman"/>
                <w:kern w:val="0"/>
                <w:sz w:val="24"/>
                <w14:ligatures w14:val="none"/>
              </w:rPr>
              <w:t xml:space="preserve"> shall be conducted in accordance with the TSR 20 (Futures) Inspection Rules.</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When taking delivery, the holder of a factory standard warrant may engage a Designated Inspection Agency to perform an on-site inspection of the quality and quantity (weight) of the standard or substitute TSR 20 loaded out of the factory, in accordance with the TSR 20 (Futures) Inspection Rules. The inspection fee shall be borne by the holder of the factory standard warrant.</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kern w:val="0"/>
                <w:sz w:val="24"/>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If the buyer does not engage a Designated Inspection Agency to conduct an on-site inspection, it shall be deemed to have acknowledged that the shipment from the overseas factory is correct, and the overseas factory, the Group Delivery Center, and the Exchange shall no longer accept any application disputing the corresponding TSR 20 commodity. The quality and quantity (weight) inspection for overseas standard warrants shall be separately prescribed by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192</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The load-in inspection of TSR 20 shall be conducted in accordance with the TSR 20 (Futures) Inspection Rules.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193</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An owner shall ship its commodities to the approved Designated Delivery Storage Facility within thirty (30) days of the approval of its load-in application by the Exchange.</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The holder of a factory standard warrant shall submit a take-delivery application ten (10) days prior to the proposed take-delivery date. The take-delivery requirements for overseas standard warrants shall be separately prescribed by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193</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An owner shall ship its commodities to the approved Designated Delivery Storage Facility within thirty (30) days of the approval of its load-in application by the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kern w:val="0"/>
                <w:sz w:val="24"/>
              </w:rPr>
            </w:pPr>
            <w:r>
              <w:rPr>
                <w:rFonts w:hint="default" w:ascii="Times New Roman" w:hAnsi="Times New Roman" w:eastAsia="等线" w:cs="Times New Roman"/>
                <w:b/>
                <w:kern w:val="0"/>
                <w:sz w:val="24"/>
              </w:rPr>
              <w:t>Article 194</w:t>
            </w:r>
            <w:r>
              <w:rPr>
                <w:rFonts w:hint="default" w:ascii="Times New Roman" w:hAnsi="Times New Roman" w:eastAsia="等线" w:cs="Times New Roman"/>
                <w:kern w:val="0"/>
                <w:sz w:val="24"/>
              </w:rPr>
              <w:tab/>
            </w:r>
            <w:r>
              <w:rPr>
                <w:rFonts w:hint="default" w:ascii="Times New Roman" w:hAnsi="Times New Roman" w:eastAsia="等线" w:cs="Times New Roman"/>
                <w:kern w:val="0"/>
                <w:sz w:val="24"/>
              </w:rPr>
              <w:t xml:space="preserve">Any buyer who questions the quality or quantity of the delivered commodities </w:t>
            </w:r>
            <w:r>
              <w:rPr>
                <w:rFonts w:hint="default" w:ascii="Times New Roman" w:hAnsi="Times New Roman" w:eastAsia="等线" w:cs="Times New Roman"/>
                <w:b/>
                <w:bCs/>
                <w:color w:val="EE0000"/>
                <w:kern w:val="0"/>
                <w:sz w:val="24"/>
              </w:rPr>
              <w:t>corresponding to warehouse standard warrants</w:t>
            </w:r>
            <w:r>
              <w:rPr>
                <w:rFonts w:hint="default" w:ascii="Times New Roman" w:hAnsi="Times New Roman" w:eastAsia="等线" w:cs="Times New Roman"/>
                <w:kern w:val="0"/>
                <w:sz w:val="24"/>
              </w:rPr>
              <w:t xml:space="preserve">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Any dispute or controversy arising out of or in connection with an overseas standard warrant shall be subject to the jurisdiction of the Shanghai Financial Court or other courts of the People's Republic of China, and the rights and obligations of the parties shall be governed by the laws of the People's Republic of China.</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194</w:t>
            </w:r>
            <w:r>
              <w:rPr>
                <w:rFonts w:hint="default" w:ascii="Times New Roman" w:hAnsi="Times New Roman" w:eastAsia="宋体" w:cs="Times New Roman"/>
                <w:kern w:val="0"/>
                <w:sz w:val="24"/>
                <w14:ligatures w14:val="none"/>
              </w:rPr>
              <w:tab/>
            </w:r>
            <w:r>
              <w:rPr>
                <w:rFonts w:hint="default" w:ascii="Times New Roman" w:hAnsi="Times New Roman" w:eastAsia="宋体" w:cs="Times New Roman"/>
                <w:kern w:val="0"/>
                <w:sz w:val="24"/>
                <w14:ligatures w14:val="none"/>
              </w:rPr>
              <w:t>Any buyer who questions the quality or quantity of the delivered commodities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Article 195 An overseas factory shall deliver the goods to the vessel (at the loading port dock) designated by the buyer, complete export customs clearance, and bear all costs and risks before the goods pass the ship's rail at the loading port.</w:t>
            </w:r>
            <w:bookmarkStart w:id="0" w:name="_GoBack"/>
            <w:bookmarkEnd w:id="0"/>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The buyer shall designate the vessel (at the loading port dock), the discharge port, and the time of taking delivery, and shall bear all costs and risks after the goods pass the ship's rail.</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If any accident occurs after the goods have passed the ship's rail, the overseas factory shall assist the buyer in resolving the issue and cooperate with the buyer in pursuing claims against the insurance company. If the vessel designated by the buyer or any substitute vessel fails to load the goods in a timely manner, the overseas factory shall have the right, upon prior written notice to the buyer, to deliver the goods to any warehouse at the loading port designated by it.</w:t>
            </w:r>
          </w:p>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等线" w:cs="Times New Roman"/>
                <w:b/>
                <w:bCs/>
                <w:color w:val="EE0000"/>
                <w:kern w:val="0"/>
                <w:sz w:val="24"/>
              </w:rPr>
              <w:t>If the buyer elects to take delivery at the factory by itself or through a third party,</w:t>
            </w:r>
            <w:r>
              <w:rPr>
                <w:rFonts w:hint="default" w:ascii="Times New Roman" w:hAnsi="Times New Roman" w:eastAsia="等线" w:cs="Times New Roman"/>
                <w:b/>
                <w:bCs/>
                <w:color w:val="EE0000"/>
                <w:kern w:val="0"/>
                <w:sz w:val="20"/>
                <w:szCs w:val="21"/>
                <w:shd w:val="clear" w:color="auto" w:fill="FFFFFF"/>
              </w:rPr>
              <w:t xml:space="preserve"> </w:t>
            </w:r>
            <w:r>
              <w:rPr>
                <w:rFonts w:hint="default" w:ascii="Times New Roman" w:hAnsi="Times New Roman" w:eastAsia="等线" w:cs="Times New Roman"/>
                <w:b/>
                <w:bCs/>
                <w:color w:val="EE0000"/>
                <w:kern w:val="0"/>
                <w:sz w:val="24"/>
              </w:rPr>
              <w:t>all costs and risks for the corresponding TSR 20 commodity after it leaves the overseas factory shall be borne by the buyer.</w:t>
            </w:r>
          </w:p>
        </w:tc>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w:t>
            </w:r>
            <w:r>
              <w:rPr>
                <w:rFonts w:hint="default" w:ascii="Times New Roman" w:hAnsi="Times New Roman" w:eastAsia="宋体" w:cs="Times New Roman"/>
                <w:b/>
                <w:bCs/>
                <w:dstrike/>
                <w:kern w:val="0"/>
                <w:sz w:val="24"/>
                <w14:ligatures w14:val="none"/>
              </w:rPr>
              <w:t>6</w:t>
            </w:r>
            <w:r>
              <w:rPr>
                <w:rFonts w:hint="default" w:ascii="Times New Roman" w:hAnsi="Times New Roman" w:eastAsia="宋体" w:cs="Times New Roman"/>
                <w:b/>
                <w:bCs/>
                <w:color w:val="EE0000"/>
                <w:kern w:val="0"/>
                <w:sz w:val="24"/>
                <w14:ligatures w14:val="none"/>
              </w:rPr>
              <w:t>7</w:t>
            </w:r>
            <w:r>
              <w:rPr>
                <w:rFonts w:hint="default" w:ascii="Times New Roman" w:hAnsi="Times New Roman" w:eastAsia="宋体" w:cs="Times New Roman"/>
                <w:b/>
                <w:bCs/>
                <w:color w:val="EE0000"/>
                <w:kern w:val="0"/>
                <w:sz w:val="24"/>
                <w14:ligatures w14:val="none"/>
              </w:rPr>
              <w:tab/>
            </w:r>
            <w:r>
              <w:rPr>
                <w:rFonts w:hint="default" w:ascii="Times New Roman" w:hAnsi="Times New Roman" w:eastAsia="宋体" w:cs="Times New Roman"/>
                <w:kern w:val="0"/>
                <w:sz w:val="24"/>
                <w14:ligatures w14:val="none"/>
              </w:rPr>
              <w:t>The formula for the delivery payment for a TSR 20 bonded standard warrant is: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Delivery Payment for Expired Contract =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EFP Delivery Payment = (EFP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During final settlement, each bonded standard warrant shall represent one hundred point eight (100.8) metric tons of the delivery commodity.</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The formula for the delivery payment for a TSR 20 overseas standard warrant is:</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Delivery Payment for Expired Contract = (Final Settlement Price + Premiums and Discounts of the Delivery) × Delivery Quantity;</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EFP Delivery Payment = (Settlement price of the previous trading day prior to the EFP application day of the first-nearby contract+ Premiums and Discounts of the Delivery) × Delivery Quantity.</w:t>
            </w:r>
          </w:p>
          <w:p>
            <w:pPr>
              <w:snapToGrid w:val="0"/>
              <w:spacing w:after="312" w:afterLines="100" w:line="276" w:lineRule="auto"/>
              <w:jc w:val="both"/>
              <w:rPr>
                <w:rFonts w:hint="default" w:ascii="Times New Roman" w:hAnsi="Times New Roman" w:eastAsia="等线" w:cs="Times New Roman"/>
                <w:b/>
                <w:bCs/>
                <w:color w:val="EE0000"/>
                <w:kern w:val="0"/>
                <w:sz w:val="24"/>
              </w:rPr>
            </w:pPr>
            <w:r>
              <w:rPr>
                <w:rFonts w:hint="default" w:ascii="Times New Roman" w:hAnsi="Times New Roman" w:eastAsia="等线" w:cs="Times New Roman"/>
                <w:b/>
                <w:bCs/>
                <w:color w:val="EE0000"/>
                <w:kern w:val="0"/>
                <w:sz w:val="24"/>
              </w:rPr>
              <w:t>During final settlement, each overseas standard warrant shall represent one hundred point eight (100.8) metric tons of the delivery commodity.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 xml:space="preserve">The requirements and management of the tax invoices for </w:t>
            </w:r>
            <w:r>
              <w:rPr>
                <w:rFonts w:hint="default" w:ascii="Times New Roman" w:hAnsi="Times New Roman" w:eastAsia="宋体" w:cs="Times New Roman"/>
                <w:b/>
                <w:bCs/>
                <w:color w:val="EE0000"/>
                <w:kern w:val="0"/>
                <w:sz w:val="24"/>
                <w:szCs w:val="20"/>
                <w14:ligatures w14:val="none"/>
              </w:rPr>
              <w:t>bonded delivery of</w:t>
            </w:r>
            <w:r>
              <w:rPr>
                <w:rFonts w:hint="default" w:ascii="Times New Roman" w:hAnsi="Times New Roman" w:eastAsia="宋体" w:cs="Times New Roman"/>
                <w:kern w:val="0"/>
                <w:sz w:val="24"/>
                <w14:ligatures w14:val="none"/>
              </w:rPr>
              <w:t xml:space="preserve"> TSR 20 futures contract shall be separately announced by the Exchange. Such tax invoices shall be circulated by the procedures under Chapter 2 of these Delivery Rules.</w:t>
            </w:r>
          </w:p>
          <w:p>
            <w:pPr>
              <w:snapToGrid w:val="0"/>
              <w:spacing w:after="312" w:afterLines="100" w:line="276" w:lineRule="auto"/>
              <w:jc w:val="both"/>
              <w:rPr>
                <w:rFonts w:hint="default" w:ascii="Times New Roman" w:hAnsi="Times New Roman" w:eastAsia="宋体" w:cs="Times New Roman"/>
                <w:b/>
                <w:bCs/>
                <w:kern w:val="0"/>
                <w:sz w:val="24"/>
                <w14:ligatures w14:val="none"/>
              </w:rPr>
            </w:pPr>
            <w:r>
              <w:rPr>
                <w:rFonts w:hint="default" w:ascii="Times New Roman" w:hAnsi="Times New Roman" w:eastAsia="等线" w:cs="Times New Roman"/>
                <w:b/>
                <w:bCs/>
                <w:color w:val="EE0000"/>
                <w:kern w:val="0"/>
                <w:sz w:val="24"/>
              </w:rPr>
              <w:t>The tax invoice for overseas delivery shall be issued by the seller to the buyer. The carrying Members of the seller and the buyer shall be responsible for verifying, transmitting, and confirming the invoice and the specific information required for invoicing, and shall mediate and resolve any related disputes. OSBPs and Overseas Intermediaries shall assist the Members in the above verification, transmission, and confirmation, as well as in the mediation and resolution of disputes. The requirements, management, and circulation procedures for tax invoices for overseas delivery shall be separately prescribed by the Exchange.</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196</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 formula for the delivery payment for a TSR 20 bonded standard warrant is:</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Delivery Payment for Expired Contract =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EFP Delivery Payment = (EFP Bonded Final Settlement Price + Premiums and Discounts of the Delivery) × Delivery Quantity.</w:t>
            </w:r>
          </w:p>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kern w:val="0"/>
                <w:sz w:val="24"/>
                <w14:ligatures w14:val="none"/>
              </w:rPr>
              <w:t>During final settlement, each bonded standard warrant shall represent one hundred point eight (100.8) metric tons of the delivery commodity.</w:t>
            </w:r>
          </w:p>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kern w:val="0"/>
                <w:sz w:val="24"/>
                <w14:ligatures w14:val="none"/>
              </w:rPr>
              <w:t>The requirements and management of the tax invoices for TSR 20 futures contract shall be separately announced by the Exchange. Such tax invoices shall be circulated by the procedures under Chapter 2 of these Delivery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0" w:type="dxa"/>
          </w:tcPr>
          <w:p>
            <w:pPr>
              <w:snapToGrid w:val="0"/>
              <w:spacing w:after="312" w:afterLines="100" w:line="276" w:lineRule="auto"/>
              <w:jc w:val="both"/>
              <w:rPr>
                <w:rFonts w:hint="default" w:ascii="Times New Roman" w:hAnsi="Times New Roman" w:eastAsia="宋体" w:cs="Times New Roman"/>
                <w:b/>
                <w:kern w:val="0"/>
                <w:sz w:val="24"/>
                <w14:ligatures w14:val="none"/>
              </w:rPr>
            </w:pPr>
            <w:r>
              <w:rPr>
                <w:rFonts w:hint="default" w:ascii="Times New Roman" w:hAnsi="Times New Roman" w:eastAsia="宋体" w:cs="Times New Roman"/>
                <w:b/>
                <w:bCs/>
                <w:kern w:val="0"/>
                <w:sz w:val="24"/>
                <w14:ligatures w14:val="none"/>
              </w:rPr>
              <w:t>Article 22</w:t>
            </w:r>
            <w:r>
              <w:rPr>
                <w:rFonts w:hint="default" w:ascii="Times New Roman" w:hAnsi="Times New Roman" w:eastAsia="宋体" w:cs="Times New Roman"/>
                <w:b/>
                <w:bCs/>
                <w:dstrike/>
                <w:kern w:val="0"/>
                <w:sz w:val="24"/>
                <w14:ligatures w14:val="none"/>
              </w:rPr>
              <w:t>4</w:t>
            </w:r>
            <w:r>
              <w:rPr>
                <w:rFonts w:hint="default" w:ascii="Times New Roman" w:hAnsi="Times New Roman" w:eastAsia="宋体" w:cs="Times New Roman"/>
                <w:b/>
                <w:bCs/>
                <w:color w:val="EE0000"/>
                <w:kern w:val="0"/>
                <w:sz w:val="24"/>
                <w14:ligatures w14:val="none"/>
              </w:rPr>
              <w:t>5</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 xml:space="preserve">These Delivery Rules are effective from </w:t>
            </w:r>
            <w:r>
              <w:rPr>
                <w:rFonts w:hint="default" w:ascii="Times New Roman" w:hAnsi="Times New Roman" w:eastAsia="宋体" w:cs="Times New Roman"/>
                <w:b/>
                <w:bCs/>
                <w:color w:val="EE0000"/>
                <w:kern w:val="0"/>
                <w:sz w:val="24"/>
                <w14:ligatures w14:val="none"/>
              </w:rPr>
              <w:t>MM/DD/YYYY</w:t>
            </w:r>
            <w:r>
              <w:rPr>
                <w:rFonts w:hint="default" w:ascii="Times New Roman" w:hAnsi="Times New Roman" w:eastAsia="宋体" w:cs="Times New Roman"/>
                <w:kern w:val="0"/>
                <w:sz w:val="24"/>
                <w14:ligatures w14:val="none"/>
              </w:rPr>
              <w:t xml:space="preserve"> </w:t>
            </w:r>
            <w:r>
              <w:rPr>
                <w:rFonts w:hint="default" w:ascii="Times New Roman" w:hAnsi="Times New Roman" w:eastAsia="宋体" w:cs="Times New Roman"/>
                <w:dstrike/>
                <w:kern w:val="0"/>
                <w:sz w:val="24"/>
                <w14:ligatures w14:val="none"/>
              </w:rPr>
              <w:t>February 9, 2026.</w:t>
            </w:r>
          </w:p>
        </w:tc>
        <w:tc>
          <w:tcPr>
            <w:tcW w:w="7370" w:type="dxa"/>
          </w:tcPr>
          <w:p>
            <w:pPr>
              <w:snapToGrid w:val="0"/>
              <w:spacing w:after="312" w:afterLines="100" w:line="276" w:lineRule="auto"/>
              <w:jc w:val="both"/>
              <w:rPr>
                <w:rFonts w:hint="default" w:ascii="Times New Roman" w:hAnsi="Times New Roman" w:eastAsia="宋体" w:cs="Times New Roman"/>
                <w:kern w:val="0"/>
                <w:sz w:val="24"/>
                <w14:ligatures w14:val="none"/>
              </w:rPr>
            </w:pPr>
            <w:r>
              <w:rPr>
                <w:rFonts w:hint="default" w:ascii="Times New Roman" w:hAnsi="Times New Roman" w:eastAsia="宋体" w:cs="Times New Roman"/>
                <w:b/>
                <w:bCs/>
                <w:kern w:val="0"/>
                <w:sz w:val="24"/>
                <w14:ligatures w14:val="none"/>
              </w:rPr>
              <w:t>Article 224</w:t>
            </w:r>
            <w:r>
              <w:rPr>
                <w:rFonts w:hint="default" w:ascii="Times New Roman" w:hAnsi="Times New Roman" w:eastAsia="宋体" w:cs="Times New Roman"/>
                <w:b/>
                <w:bCs/>
                <w:kern w:val="0"/>
                <w:sz w:val="24"/>
                <w14:ligatures w14:val="none"/>
              </w:rPr>
              <w:tab/>
            </w:r>
            <w:r>
              <w:rPr>
                <w:rFonts w:hint="default" w:ascii="Times New Roman" w:hAnsi="Times New Roman" w:eastAsia="宋体" w:cs="Times New Roman"/>
                <w:kern w:val="0"/>
                <w:sz w:val="24"/>
                <w14:ligatures w14:val="none"/>
              </w:rPr>
              <w:t>These Delivery Rules are effective from February 9, 2026.</w:t>
            </w:r>
          </w:p>
        </w:tc>
      </w:tr>
    </w:tbl>
    <w:p>
      <w:pPr>
        <w:snapToGrid w:val="0"/>
        <w:spacing w:after="312" w:afterLines="100" w:line="276" w:lineRule="auto"/>
        <w:rPr>
          <w:rFonts w:ascii="Times New Roman" w:hAnsi="Times New Roman" w:cs="Times New Roman"/>
          <w:sz w:val="24"/>
        </w:rPr>
      </w:pPr>
    </w:p>
    <w:p>
      <w:pPr>
        <w:rPr>
          <w:rFonts w:hint="eastAsia"/>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91"/>
    <w:rsid w:val="00022491"/>
    <w:rsid w:val="002C2076"/>
    <w:rsid w:val="005D0B3A"/>
    <w:rsid w:val="006B662B"/>
    <w:rsid w:val="007C2AB4"/>
    <w:rsid w:val="009F25AB"/>
    <w:rsid w:val="00C62C02"/>
    <w:rsid w:val="00D078D5"/>
    <w:rsid w:val="00DB5C49"/>
    <w:rsid w:val="00E67C65"/>
    <w:rsid w:val="37EF8851"/>
    <w:rsid w:val="76F746E3"/>
    <w:rsid w:val="77FA381D"/>
    <w:rsid w:val="F8EFADDB"/>
    <w:rsid w:val="F8FB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line="240" w:lineRule="auto"/>
      <w:jc w:val="both"/>
      <w:outlineLvl w:val="0"/>
    </w:pPr>
    <w:rPr>
      <w:rFonts w:asciiTheme="majorHAnsi" w:hAnsiTheme="majorHAnsi" w:eastAsiaTheme="majorEastAsia" w:cstheme="majorBidi"/>
      <w:color w:val="2F5597" w:themeColor="accent1" w:themeShade="BF"/>
      <w:sz w:val="48"/>
      <w:szCs w:val="48"/>
      <w14:ligatures w14:val="none"/>
    </w:rPr>
  </w:style>
  <w:style w:type="paragraph" w:styleId="3">
    <w:name w:val="heading 2"/>
    <w:basedOn w:val="1"/>
    <w:next w:val="1"/>
    <w:link w:val="19"/>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2F5597" w:themeColor="accent1" w:themeShade="BF"/>
      <w:sz w:val="40"/>
      <w:szCs w:val="40"/>
      <w14:ligatures w14:val="none"/>
    </w:rPr>
  </w:style>
  <w:style w:type="paragraph" w:styleId="4">
    <w:name w:val="heading 3"/>
    <w:basedOn w:val="1"/>
    <w:next w:val="1"/>
    <w:link w:val="20"/>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2F5597" w:themeColor="accent1" w:themeShade="BF"/>
      <w:sz w:val="32"/>
      <w:szCs w:val="32"/>
      <w14:ligatures w14:val="none"/>
    </w:rPr>
  </w:style>
  <w:style w:type="paragraph" w:styleId="5">
    <w:name w:val="heading 4"/>
    <w:basedOn w:val="1"/>
    <w:next w:val="1"/>
    <w:link w:val="21"/>
    <w:semiHidden/>
    <w:unhideWhenUsed/>
    <w:qFormat/>
    <w:uiPriority w:val="9"/>
    <w:pPr>
      <w:keepNext/>
      <w:keepLines/>
      <w:spacing w:before="80" w:after="40" w:line="240" w:lineRule="auto"/>
      <w:jc w:val="both"/>
      <w:outlineLvl w:val="3"/>
    </w:pPr>
    <w:rPr>
      <w:rFonts w:cstheme="majorBidi"/>
      <w:color w:val="2F5597" w:themeColor="accent1" w:themeShade="BF"/>
      <w:sz w:val="28"/>
      <w:szCs w:val="28"/>
      <w14:ligatures w14:val="none"/>
    </w:rPr>
  </w:style>
  <w:style w:type="paragraph" w:styleId="6">
    <w:name w:val="heading 5"/>
    <w:basedOn w:val="1"/>
    <w:next w:val="1"/>
    <w:link w:val="22"/>
    <w:semiHidden/>
    <w:unhideWhenUsed/>
    <w:qFormat/>
    <w:uiPriority w:val="9"/>
    <w:pPr>
      <w:keepNext/>
      <w:keepLines/>
      <w:spacing w:before="80" w:after="40" w:line="240" w:lineRule="auto"/>
      <w:jc w:val="both"/>
      <w:outlineLvl w:val="4"/>
    </w:pPr>
    <w:rPr>
      <w:rFonts w:cstheme="majorBidi"/>
      <w:color w:val="2F5597" w:themeColor="accent1" w:themeShade="BF"/>
      <w:sz w:val="24"/>
      <w14:ligatures w14:val="none"/>
    </w:rPr>
  </w:style>
  <w:style w:type="paragraph" w:styleId="7">
    <w:name w:val="heading 6"/>
    <w:basedOn w:val="1"/>
    <w:next w:val="1"/>
    <w:link w:val="23"/>
    <w:semiHidden/>
    <w:unhideWhenUsed/>
    <w:qFormat/>
    <w:uiPriority w:val="9"/>
    <w:pPr>
      <w:keepNext/>
      <w:keepLines/>
      <w:spacing w:before="40" w:after="0" w:line="240" w:lineRule="auto"/>
      <w:jc w:val="both"/>
      <w:outlineLvl w:val="5"/>
    </w:pPr>
    <w:rPr>
      <w:rFonts w:cstheme="majorBidi"/>
      <w:b/>
      <w:bCs/>
      <w:color w:val="2F5597" w:themeColor="accent1" w:themeShade="BF"/>
      <w:sz w:val="21"/>
      <w:szCs w:val="22"/>
      <w14:ligatures w14:val="none"/>
    </w:rPr>
  </w:style>
  <w:style w:type="paragraph" w:styleId="8">
    <w:name w:val="heading 7"/>
    <w:basedOn w:val="1"/>
    <w:next w:val="1"/>
    <w:link w:val="24"/>
    <w:semiHidden/>
    <w:unhideWhenUsed/>
    <w:qFormat/>
    <w:uiPriority w:val="9"/>
    <w:pPr>
      <w:keepNext/>
      <w:keepLines/>
      <w:spacing w:before="40" w:after="0" w:line="240" w:lineRule="auto"/>
      <w:jc w:val="both"/>
      <w:outlineLvl w:val="6"/>
    </w:pPr>
    <w:rPr>
      <w:rFonts w:cstheme="majorBidi"/>
      <w:b/>
      <w:bCs/>
      <w:color w:val="595959" w:themeColor="text1" w:themeTint="A6"/>
      <w:sz w:val="21"/>
      <w:szCs w:val="22"/>
      <w14:textFill>
        <w14:solidFill>
          <w14:schemeClr w14:val="tx1">
            <w14:lumMod w14:val="65000"/>
            <w14:lumOff w14:val="35000"/>
          </w14:schemeClr>
        </w14:solidFill>
      </w14:textFill>
      <w14:ligatures w14:val="none"/>
    </w:rPr>
  </w:style>
  <w:style w:type="paragraph" w:styleId="9">
    <w:name w:val="heading 8"/>
    <w:basedOn w:val="1"/>
    <w:next w:val="1"/>
    <w:link w:val="25"/>
    <w:semiHidden/>
    <w:unhideWhenUsed/>
    <w:qFormat/>
    <w:uiPriority w:val="9"/>
    <w:pPr>
      <w:keepNext/>
      <w:keepLines/>
      <w:spacing w:after="0" w:line="240" w:lineRule="auto"/>
      <w:jc w:val="both"/>
      <w:outlineLvl w:val="7"/>
    </w:pPr>
    <w:rPr>
      <w:rFonts w:cstheme="majorBidi"/>
      <w:color w:val="595959" w:themeColor="text1" w:themeTint="A6"/>
      <w:sz w:val="21"/>
      <w:szCs w:val="22"/>
      <w14:textFill>
        <w14:solidFill>
          <w14:schemeClr w14:val="tx1">
            <w14:lumMod w14:val="65000"/>
            <w14:lumOff w14:val="35000"/>
          </w14:schemeClr>
        </w14:solidFill>
      </w14:textFill>
      <w14:ligatures w14:val="none"/>
    </w:rPr>
  </w:style>
  <w:style w:type="paragraph" w:styleId="10">
    <w:name w:val="heading 9"/>
    <w:basedOn w:val="1"/>
    <w:next w:val="1"/>
    <w:link w:val="26"/>
    <w:semiHidden/>
    <w:unhideWhenUsed/>
    <w:qFormat/>
    <w:uiPriority w:val="9"/>
    <w:pPr>
      <w:keepNext/>
      <w:keepLines/>
      <w:spacing w:after="0" w:line="240" w:lineRule="auto"/>
      <w:jc w:val="both"/>
      <w:outlineLvl w:val="8"/>
    </w:pPr>
    <w:rPr>
      <w:rFonts w:eastAsiaTheme="majorEastAsia" w:cstheme="majorBidi"/>
      <w:color w:val="595959" w:themeColor="text1" w:themeTint="A6"/>
      <w:sz w:val="21"/>
      <w:szCs w:val="22"/>
      <w14:textFill>
        <w14:solidFill>
          <w14:schemeClr w14:val="tx1">
            <w14:lumMod w14:val="65000"/>
            <w14:lumOff w14:val="35000"/>
          </w14:schemeClr>
        </w14:solidFill>
      </w14:textFill>
      <w14:ligatures w14:val="non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after="0" w:line="240" w:lineRule="auto"/>
    </w:pPr>
    <w:rPr>
      <w:sz w:val="18"/>
      <w:szCs w:val="18"/>
      <w14:ligatures w14:val="none"/>
    </w:rPr>
  </w:style>
  <w:style w:type="paragraph" w:styleId="12">
    <w:name w:val="header"/>
    <w:basedOn w:val="1"/>
    <w:link w:val="36"/>
    <w:unhideWhenUsed/>
    <w:qFormat/>
    <w:uiPriority w:val="99"/>
    <w:pPr>
      <w:tabs>
        <w:tab w:val="center" w:pos="4153"/>
        <w:tab w:val="right" w:pos="8306"/>
      </w:tabs>
      <w:snapToGrid w:val="0"/>
      <w:spacing w:after="0" w:line="240" w:lineRule="auto"/>
      <w:jc w:val="center"/>
    </w:pPr>
    <w:rPr>
      <w:sz w:val="18"/>
      <w:szCs w:val="18"/>
      <w14:ligatures w14:val="none"/>
    </w:rPr>
  </w:style>
  <w:style w:type="paragraph" w:styleId="13">
    <w:name w:val="Subtitle"/>
    <w:basedOn w:val="1"/>
    <w:next w:val="1"/>
    <w:link w:val="28"/>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none"/>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line="240" w:lineRule="auto"/>
      <w:jc w:val="center"/>
    </w:pPr>
    <w:rPr>
      <w:i/>
      <w:iCs/>
      <w:color w:val="404040" w:themeColor="text1" w:themeTint="BF"/>
      <w:sz w:val="21"/>
      <w:szCs w:val="22"/>
      <w14:textFill>
        <w14:solidFill>
          <w14:schemeClr w14:val="tx1">
            <w14:lumMod w14:val="75000"/>
            <w14:lumOff w14:val="25000"/>
          </w14:schemeClr>
        </w14:solidFill>
      </w14:textFill>
      <w14:ligatures w14:val="none"/>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jc w:val="both"/>
    </w:pPr>
    <w:rPr>
      <w:sz w:val="21"/>
      <w:szCs w:val="22"/>
      <w14:ligatures w14:val="none"/>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sz w:val="21"/>
      <w:szCs w:val="22"/>
      <w14:ligatures w14:val="none"/>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B612-8298-427A-BD6A-F62C8102EAB7}">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5275</Words>
  <Characters>29281</Characters>
  <Lines>563</Lines>
  <Paragraphs>162</Paragraphs>
  <TotalTime>9</TotalTime>
  <ScaleCrop>false</ScaleCrop>
  <LinksUpToDate>false</LinksUpToDate>
  <CharactersWithSpaces>34394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2026-06-02T19:16:00Z</dcterms:created>
  <dc:creator>法律部</dc:creator>
  <cp:lastModifiedBy>zhang.hui</cp:lastModifiedBy>
  <cp:lastPrinted>2026-06-04T10:42:27Z</cp:lastPrinted>
  <dcterms:modified xsi:type="dcterms:W3CDTF">2026-06-04T10:44:49Z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6AEB2F21F1A116D4DCA01E6AFE45559B</vt:lpwstr>
  </property>
</Properties>
</file>