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大标宋简体" w:cs="Times New Roman"/>
        </w:rPr>
      </w:pPr>
      <w:r>
        <w:rPr>
          <w:rFonts w:ascii="Times New Roman" w:hAnsi="Times New Roman" w:eastAsia="方正大标宋简体" w:cs="Times New Roman"/>
        </w:rPr>
        <w:t>Appendix 2</w:t>
      </w:r>
    </w:p>
    <w:p>
      <w:pPr>
        <w:snapToGrid w:val="0"/>
        <w:spacing w:after="312" w:afterLines="100" w:line="276" w:lineRule="auto"/>
        <w:jc w:val="center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Explanatory Notes on Revisions</w:t>
      </w:r>
    </w:p>
    <w:p>
      <w:pPr>
        <w:snapToGrid w:val="0"/>
        <w:spacing w:after="312" w:afterLines="1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further promote the internationalization of China’s futures market and deepen its high</w:t>
      </w:r>
      <w:r>
        <w:rPr>
          <w:rFonts w:ascii="Times New Roman" w:hAnsi="Times New Roman" w:cs="Times New Roman"/>
          <w:sz w:val="24"/>
        </w:rPr>
        <w:noBreakHyphen/>
      </w:r>
      <w:r>
        <w:rPr>
          <w:rFonts w:ascii="Times New Roman" w:hAnsi="Times New Roman" w:cs="Times New Roman"/>
          <w:sz w:val="24"/>
        </w:rPr>
        <w:t>level opening</w:t>
      </w:r>
      <w:r>
        <w:rPr>
          <w:rFonts w:ascii="Times New Roman" w:hAnsi="Times New Roman" w:cs="Times New Roman"/>
          <w:sz w:val="24"/>
        </w:rPr>
        <w:noBreakHyphen/>
      </w:r>
      <w:r>
        <w:rPr>
          <w:rFonts w:ascii="Times New Roman" w:hAnsi="Times New Roman" w:cs="Times New Roman"/>
          <w:sz w:val="24"/>
        </w:rPr>
        <w:t>up, the Shanghai International Energy Exchange (the “Exchange” or “INE”) proposes to launch overseas delivery services using TSR 20 futures as a pilot product, thereby steadily advancing the global reach of futures delivery services. Accordingly, INE plans to revise the </w:t>
      </w:r>
      <w:r>
        <w:rPr>
          <w:rFonts w:ascii="Times New Roman" w:hAnsi="Times New Roman" w:cs="Times New Roman"/>
          <w:i/>
          <w:iCs/>
          <w:sz w:val="24"/>
        </w:rPr>
        <w:t>Delivery Rules of the Shanghai International Energy Exchange</w:t>
      </w:r>
      <w:r>
        <w:rPr>
          <w:rFonts w:ascii="Times New Roman" w:hAnsi="Times New Roman" w:cs="Times New Roman"/>
          <w:sz w:val="24"/>
        </w:rPr>
        <w:t>. The revisions are summarized as follows:</w:t>
      </w:r>
    </w:p>
    <w:p>
      <w:pPr>
        <w:snapToGrid w:val="0"/>
        <w:spacing w:after="312" w:afterLines="1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 New General Rules for Overseas Delivery</w:t>
      </w:r>
    </w:p>
    <w:p>
      <w:pPr>
        <w:snapToGrid w:val="0"/>
        <w:spacing w:after="312" w:afterLines="1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These rules introduce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definitions of “overseas delivery”, “overseas designated delivery storage facility”, and “overseas standard warrant”;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delivery matching rules for overseas standard warrants;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admission criteria for overseas designated delivery storage facilities; and relevant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requirements for tax invoice management.</w:t>
      </w:r>
    </w:p>
    <w:p>
      <w:pPr>
        <w:snapToGrid w:val="0"/>
        <w:spacing w:after="312" w:afterLines="1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 New Special Provisions for Overseas Delivery of TSR 20 Futures</w:t>
      </w:r>
    </w:p>
    <w:p>
      <w:pPr>
        <w:snapToGrid w:val="0"/>
        <w:spacing w:after="312" w:afterLines="1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These provisions cover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factory delivery and overseas delivery mechanisms and the functions of TSR 20 overseas standard warrants;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the quality dispute resolution mechanism for TSR 20 overseas standard warrants and the procedures for taking delivery against such warrants;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</w:rPr>
        <w:t>the timing of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the transfer of title and risk for offshore commodities, the handling of contingency events, and the allocation of responsibilities for vessel and cargo coordination;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the governing law and jurisdiction for disputes arising from overseas delivery of TSR 20 futures; and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the specific formula for calculating the delivery payment in connection with TSR 20 overseas standard warrants.</w:t>
      </w:r>
    </w:p>
    <w:p>
      <w:pPr>
        <w:snapToGrid w:val="0"/>
        <w:spacing w:after="312" w:afterLines="100" w:line="276" w:lineRule="auto"/>
        <w:jc w:val="both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等线 Light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DF"/>
    <w:rsid w:val="00240B2F"/>
    <w:rsid w:val="003D29DF"/>
    <w:rsid w:val="00632ABB"/>
    <w:rsid w:val="006B662B"/>
    <w:rsid w:val="0091093E"/>
    <w:rsid w:val="009F25AB"/>
    <w:rsid w:val="00C62C02"/>
    <w:rsid w:val="00E67C65"/>
    <w:rsid w:val="00ED2C7A"/>
    <w:rsid w:val="FBEB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jc w:val="both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none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jc w:val="both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none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jc w:val="both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none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2F5597" w:themeColor="accent1" w:themeShade="BF"/>
      <w:sz w:val="28"/>
      <w:szCs w:val="28"/>
      <w14:ligatures w14:val="none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2F5597" w:themeColor="accent1" w:themeShade="BF"/>
      <w:sz w:val="24"/>
      <w14:ligatures w14:val="none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2F5597" w:themeColor="accent1" w:themeShade="BF"/>
      <w:sz w:val="21"/>
      <w:szCs w:val="22"/>
      <w14:ligatures w14:val="none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2F5597" w:themeColor="accent1" w:themeShade="BF"/>
      <w:sz w:val="21"/>
      <w:szCs w:val="22"/>
      <w14:ligatures w14:val="none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1394</Characters>
  <Lines>25</Lines>
  <Paragraphs>8</Paragraphs>
  <TotalTime>2</TotalTime>
  <ScaleCrop>false</ScaleCrop>
  <LinksUpToDate>false</LinksUpToDate>
  <CharactersWithSpaces>1612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2026-06-02T11:12:00Z</dcterms:created>
  <dc:creator>法律部</dc:creator>
  <cp:lastModifiedBy>zhang.hui</cp:lastModifiedBy>
  <cp:lastPrinted>2026-06-04T10:42:38Z</cp:lastPrinted>
  <dcterms:modified xsi:type="dcterms:W3CDTF">2026-06-04T10:42:52Z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29FF856819D912BB2CE6206AB1C8374C</vt:lpwstr>
  </property>
</Properties>
</file>