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Annex 1</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sz w:val="36"/>
          <w:szCs w:val="36"/>
          <w:lang w:val="en-US" w:eastAsia="zh-CN"/>
        </w:rPr>
      </w:pPr>
      <w:r>
        <w:rPr>
          <w:rFonts w:hint="eastAsia" w:ascii="Times New Roman" w:hAnsi="Times New Roman" w:cs="Times New Roman"/>
          <w:b/>
          <w:bCs/>
          <w:sz w:val="36"/>
          <w:szCs w:val="36"/>
          <w:lang w:val="en-US" w:eastAsia="zh-CN"/>
        </w:rPr>
        <w:t>Revision Notes</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Times New Roman" w:hAnsi="Times New Roman" w:cs="Times New Roman"/>
          <w:sz w:val="28"/>
          <w:szCs w:val="28"/>
        </w:rPr>
      </w:pPr>
      <w:r>
        <w:rPr>
          <w:rFonts w:hint="eastAsia" w:ascii="Times New Roman" w:hAnsi="Times New Roman" w:cs="Times New Roman"/>
          <w:sz w:val="28"/>
          <w:szCs w:val="28"/>
        </w:rPr>
        <w:t xml:space="preserve">In order to refine the contingency scenarios of the Shanghai </w:t>
      </w:r>
      <w:r>
        <w:rPr>
          <w:rFonts w:hint="eastAsia" w:ascii="Times New Roman" w:hAnsi="Times New Roman" w:cs="Times New Roman"/>
          <w:sz w:val="28"/>
          <w:szCs w:val="28"/>
          <w:lang w:eastAsia="zh-CN"/>
        </w:rPr>
        <w:t>F</w:t>
      </w:r>
      <w:r>
        <w:rPr>
          <w:rFonts w:hint="eastAsia" w:ascii="Times New Roman" w:hAnsi="Times New Roman" w:cs="Times New Roman"/>
          <w:sz w:val="28"/>
          <w:szCs w:val="28"/>
          <w:lang w:val="en-US" w:eastAsia="zh-CN"/>
        </w:rPr>
        <w:t>utures</w:t>
      </w:r>
      <w:r>
        <w:rPr>
          <w:rFonts w:hint="eastAsia" w:ascii="Times New Roman" w:hAnsi="Times New Roman" w:cs="Times New Roman"/>
          <w:sz w:val="28"/>
          <w:szCs w:val="28"/>
        </w:rPr>
        <w:t xml:space="preserve"> Exchange (</w:t>
      </w:r>
      <w:r>
        <w:rPr>
          <w:rFonts w:hint="eastAsia" w:ascii="Times New Roman" w:hAnsi="Times New Roman" w:cs="Times New Roman"/>
          <w:sz w:val="28"/>
          <w:szCs w:val="28"/>
          <w:lang w:eastAsia="zh-CN"/>
        </w:rPr>
        <w:t>S</w:t>
      </w:r>
      <w:r>
        <w:rPr>
          <w:rFonts w:hint="eastAsia" w:ascii="Times New Roman" w:hAnsi="Times New Roman" w:cs="Times New Roman"/>
          <w:sz w:val="28"/>
          <w:szCs w:val="28"/>
          <w:lang w:val="en-US" w:eastAsia="zh-CN"/>
        </w:rPr>
        <w:t>HFE</w:t>
      </w:r>
      <w:r>
        <w:rPr>
          <w:rFonts w:hint="eastAsia" w:ascii="Times New Roman" w:hAnsi="Times New Roman" w:cs="Times New Roman"/>
          <w:sz w:val="28"/>
          <w:szCs w:val="28"/>
        </w:rPr>
        <w:t xml:space="preserve">) and better align them with contingency plans for the futures market, </w:t>
      </w:r>
      <w:r>
        <w:rPr>
          <w:rFonts w:hint="eastAsia" w:ascii="Times New Roman" w:hAnsi="Times New Roman" w:cs="Times New Roman"/>
          <w:sz w:val="28"/>
          <w:szCs w:val="28"/>
          <w:lang w:eastAsia="zh-CN"/>
        </w:rPr>
        <w:t>S</w:t>
      </w:r>
      <w:r>
        <w:rPr>
          <w:rFonts w:hint="eastAsia" w:ascii="Times New Roman" w:hAnsi="Times New Roman" w:cs="Times New Roman"/>
          <w:sz w:val="28"/>
          <w:szCs w:val="28"/>
          <w:lang w:val="en-US" w:eastAsia="zh-CN"/>
        </w:rPr>
        <w:t>HFE</w:t>
      </w:r>
      <w:r>
        <w:rPr>
          <w:rFonts w:hint="eastAsia" w:ascii="Times New Roman" w:hAnsi="Times New Roman" w:cs="Times New Roman"/>
          <w:sz w:val="28"/>
          <w:szCs w:val="28"/>
        </w:rPr>
        <w:t xml:space="preserve"> proposes to make the following adjustment to the </w:t>
      </w:r>
      <w:r>
        <w:rPr>
          <w:rFonts w:hint="eastAsia" w:ascii="Times New Roman" w:hAnsi="Times New Roman" w:cs="Times New Roman"/>
          <w:i/>
          <w:iCs/>
          <w:sz w:val="28"/>
          <w:szCs w:val="28"/>
        </w:rPr>
        <w:t>Trading Rules of the Shang</w:t>
      </w:r>
      <w:bookmarkStart w:id="0" w:name="_GoBack"/>
      <w:bookmarkEnd w:id="0"/>
      <w:r>
        <w:rPr>
          <w:rFonts w:hint="eastAsia" w:ascii="Times New Roman" w:hAnsi="Times New Roman" w:cs="Times New Roman"/>
          <w:i/>
          <w:iCs/>
          <w:sz w:val="28"/>
          <w:szCs w:val="28"/>
        </w:rPr>
        <w:t xml:space="preserve">hai </w:t>
      </w:r>
      <w:r>
        <w:rPr>
          <w:rFonts w:hint="eastAsia" w:ascii="Times New Roman" w:hAnsi="Times New Roman" w:cs="Times New Roman"/>
          <w:i/>
          <w:iCs/>
          <w:sz w:val="28"/>
          <w:szCs w:val="28"/>
          <w:lang w:eastAsia="zh-CN"/>
        </w:rPr>
        <w:t>F</w:t>
      </w:r>
      <w:r>
        <w:rPr>
          <w:rFonts w:hint="eastAsia" w:ascii="Times New Roman" w:hAnsi="Times New Roman" w:cs="Times New Roman"/>
          <w:i/>
          <w:iCs/>
          <w:sz w:val="28"/>
          <w:szCs w:val="28"/>
          <w:lang w:val="en-US" w:eastAsia="zh-CN"/>
        </w:rPr>
        <w:t>utures</w:t>
      </w:r>
      <w:r>
        <w:rPr>
          <w:rFonts w:hint="eastAsia" w:ascii="Times New Roman" w:hAnsi="Times New Roman" w:cs="Times New Roman"/>
          <w:i/>
          <w:iCs/>
          <w:sz w:val="28"/>
          <w:szCs w:val="28"/>
        </w:rPr>
        <w:t xml:space="preserve"> Exchange</w:t>
      </w:r>
      <w:r>
        <w:rPr>
          <w:rFonts w:hint="eastAsia" w:ascii="Times New Roman" w:hAnsi="Times New Roman" w:cs="Times New Roman"/>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Times New Roman" w:hAnsi="Times New Roman" w:cs="Times New Roman"/>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Times New Roman" w:hAnsi="Times New Roman" w:cs="Times New Roman"/>
          <w:sz w:val="28"/>
          <w:szCs w:val="28"/>
        </w:rPr>
      </w:pPr>
      <w:r>
        <w:rPr>
          <w:rFonts w:hint="eastAsia" w:ascii="Times New Roman" w:hAnsi="Times New Roman" w:cs="Times New Roman"/>
          <w:sz w:val="28"/>
          <w:szCs w:val="28"/>
        </w:rPr>
        <w:t>The contingency scenario of "thirty percent (30%) or more of the Members or OSPs fail to complete clearing and settlement or to initialize their trading systems before market open" stipulated in the second paragraph of Article 15 is removed.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D5E6C"/>
    <w:rsid w:val="6DB7B780"/>
    <w:rsid w:val="FBFD5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2026-07-16T17:27:00Z</dcterms:created>
  <dc:creator>ji.shuoren</dc:creator>
  <cp:lastModifiedBy>ji.shuoren</cp:lastModifiedBy>
  <dcterms:modified xsi:type="dcterms:W3CDTF">2026-07-16T09:39:06Z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B198CC56213E8FED9F33586AC6E4CE0F</vt:lpwstr>
  </property>
</Properties>
</file>