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napToGrid w:val="0"/>
        <w:spacing w:before="0" w:beforeAutospacing="0" w:after="0" w:afterAutospacing="0" w:line="256" w:lineRule="auto"/>
        <w:ind w:left="0" w:right="0"/>
        <w:jc w:val="left"/>
        <w:rPr>
          <w:rFonts w:hint="eastAsia" w:ascii="Times New Roman" w:hAnsi="Times New Roman" w:eastAsia="方正大标宋简体" w:cs="Times New Roman"/>
          <w:b/>
          <w:bCs/>
          <w:sz w:val="36"/>
          <w:szCs w:val="36"/>
          <w:lang w:val="en-US" w:eastAsia="zh-CN"/>
        </w:rPr>
      </w:pPr>
      <w:r>
        <w:rPr>
          <w:rFonts w:hint="eastAsia" w:ascii="Times New Roman" w:hAnsi="Times New Roman" w:eastAsia="方正大标宋简体" w:cs="Times New Roman"/>
          <w:b/>
          <w:bCs/>
          <w:sz w:val="36"/>
          <w:szCs w:val="36"/>
          <w:lang w:val="en-US" w:eastAsia="zh-CN"/>
        </w:rPr>
        <w:t>Annex 2</w:t>
      </w:r>
    </w:p>
    <w:p>
      <w:pPr>
        <w:keepNext w:val="0"/>
        <w:keepLines w:val="0"/>
        <w:widowControl/>
        <w:suppressLineNumbers w:val="0"/>
        <w:snapToGrid w:val="0"/>
        <w:spacing w:before="0" w:beforeAutospacing="0" w:after="0" w:afterAutospacing="0" w:line="256" w:lineRule="auto"/>
        <w:ind w:left="0" w:right="0"/>
        <w:jc w:val="left"/>
        <w:rPr>
          <w:rFonts w:hint="default" w:ascii="Times New Roman" w:hAnsi="Times New Roman" w:eastAsia="方正大标宋简体" w:cs="Times New Roman"/>
          <w:b/>
          <w:bCs/>
          <w:sz w:val="36"/>
          <w:szCs w:val="36"/>
          <w:lang w:val="en-US" w:eastAsia="zh-CN"/>
        </w:rPr>
      </w:pPr>
    </w:p>
    <w:p>
      <w:pPr>
        <w:keepNext w:val="0"/>
        <w:keepLines w:val="0"/>
        <w:widowControl/>
        <w:suppressLineNumbers w:val="0"/>
        <w:snapToGrid w:val="0"/>
        <w:spacing w:before="0" w:beforeAutospacing="0" w:after="0" w:afterAutospacing="0" w:line="256" w:lineRule="auto"/>
        <w:ind w:left="0" w:right="0"/>
        <w:jc w:val="center"/>
        <w:rPr>
          <w:rFonts w:hint="default" w:ascii="Times New Roman" w:hAnsi="Times New Roman" w:eastAsia="宋体" w:cs="Times New Roman"/>
          <w:i/>
          <w:iCs/>
          <w:color w:val="auto"/>
          <w:kern w:val="2"/>
          <w:sz w:val="28"/>
          <w:szCs w:val="28"/>
          <w:lang w:val="en-US" w:eastAsia="zh-CN" w:bidi="ar"/>
        </w:rPr>
      </w:pPr>
      <w:r>
        <w:rPr>
          <w:rFonts w:hint="default" w:ascii="Times New Roman" w:hAnsi="Times New Roman" w:eastAsia="方正大标宋简体" w:cs="Times New Roman"/>
          <w:b/>
          <w:bCs/>
          <w:sz w:val="36"/>
          <w:szCs w:val="36"/>
        </w:rPr>
        <w:t>Comparative Table</w:t>
      </w:r>
      <w:r>
        <w:rPr>
          <w:rFonts w:hint="eastAsia" w:ascii="Times New Roman" w:hAnsi="Times New Roman" w:eastAsia="方正大标宋简体" w:cs="Times New Roman"/>
          <w:b/>
          <w:bCs/>
          <w:sz w:val="36"/>
          <w:szCs w:val="36"/>
          <w:lang w:val="en-US" w:eastAsia="zh-CN"/>
        </w:rPr>
        <w:t xml:space="preserve"> to </w:t>
      </w:r>
      <w:r>
        <w:rPr>
          <w:rFonts w:hint="eastAsia" w:ascii="Times New Roman" w:hAnsi="Times New Roman" w:eastAsia="方正大标宋简体" w:cs="Times New Roman"/>
          <w:b/>
          <w:bCs/>
          <w:i/>
          <w:iCs/>
          <w:sz w:val="36"/>
          <w:szCs w:val="36"/>
          <w:lang w:val="en-US" w:eastAsia="zh-CN"/>
        </w:rPr>
        <w:t>Trading Rules of the Shanghai Futures Exchange</w:t>
      </w:r>
    </w:p>
    <w:p>
      <w:pPr>
        <w:keepNext w:val="0"/>
        <w:keepLines w:val="0"/>
        <w:widowControl/>
        <w:suppressLineNumbers w:val="0"/>
        <w:snapToGrid w:val="0"/>
        <w:spacing w:before="0" w:beforeAutospacing="0" w:after="0" w:afterAutospacing="0" w:line="256" w:lineRule="auto"/>
        <w:ind w:left="0" w:right="0"/>
        <w:jc w:val="left"/>
        <w:rPr>
          <w:rFonts w:hint="default" w:ascii="Times New Roman" w:hAnsi="Times New Roman" w:eastAsia="宋体" w:cs="Times New Roman"/>
          <w:color w:val="auto"/>
          <w:kern w:val="2"/>
          <w:sz w:val="28"/>
          <w:szCs w:val="28"/>
          <w:lang w:val="en-US" w:eastAsia="zh-CN" w:bidi="ar"/>
        </w:rPr>
      </w:pPr>
      <w:r>
        <w:rPr>
          <w:rFonts w:hint="default" w:ascii="Times New Roman" w:hAnsi="Times New Roman" w:eastAsia="宋体" w:cs="Times New Roman"/>
          <w:color w:val="auto"/>
          <w:kern w:val="2"/>
          <w:sz w:val="28"/>
          <w:szCs w:val="28"/>
          <w:lang w:val="en-US" w:eastAsia="zh-CN" w:bidi="ar"/>
        </w:rPr>
        <w:t>Note: Bolded sections in red are newly added and sections with double strikethroughs are deleted.</w:t>
      </w:r>
    </w:p>
    <w:p>
      <w:pPr>
        <w:keepNext w:val="0"/>
        <w:keepLines w:val="0"/>
        <w:widowControl/>
        <w:suppressLineNumbers w:val="0"/>
        <w:snapToGrid w:val="0"/>
        <w:spacing w:before="0" w:beforeAutospacing="0" w:after="0" w:afterAutospacing="0" w:line="256" w:lineRule="auto"/>
        <w:ind w:left="0" w:right="0"/>
        <w:jc w:val="left"/>
        <w:rPr>
          <w:rFonts w:hint="default" w:ascii="Times New Roman" w:hAnsi="Times New Roman" w:eastAsia="宋体" w:cs="Times New Roman"/>
          <w:color w:val="auto"/>
          <w:kern w:val="2"/>
          <w:sz w:val="28"/>
          <w:szCs w:val="28"/>
          <w:lang w:val="en-US" w:eastAsia="zh-CN" w:bidi="ar"/>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7"/>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shd w:val="clear" w:color="auto" w:fill="5B9BD5" w:themeFill="accent1"/>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eastAsiaTheme="minorEastAsia"/>
                <w:b/>
                <w:bCs/>
                <w:color w:val="FFFFFF" w:themeColor="background1"/>
                <w:sz w:val="32"/>
                <w:szCs w:val="32"/>
                <w:vertAlign w:val="baseline"/>
                <w:lang w:val="en-US" w:eastAsia="zh-CN"/>
                <w14:textFill>
                  <w14:solidFill>
                    <w14:schemeClr w14:val="bg1"/>
                  </w14:solidFill>
                </w14:textFill>
              </w:rPr>
            </w:pPr>
            <w:r>
              <w:rPr>
                <w:rFonts w:hint="eastAsia" w:ascii="Times New Roman" w:hAnsi="Times New Roman" w:cs="Times New Roman"/>
                <w:b/>
                <w:bCs/>
                <w:color w:val="FFFFFF" w:themeColor="background1"/>
                <w:sz w:val="32"/>
                <w:szCs w:val="32"/>
                <w:vertAlign w:val="baseline"/>
                <w:lang w:val="en-US" w:eastAsia="zh-CN"/>
                <w14:textFill>
                  <w14:solidFill>
                    <w14:schemeClr w14:val="bg1"/>
                  </w14:solidFill>
                </w14:textFill>
              </w:rPr>
              <w:t>Revised</w:t>
            </w:r>
          </w:p>
        </w:tc>
        <w:tc>
          <w:tcPr>
            <w:tcW w:w="7087" w:type="dxa"/>
            <w:shd w:val="clear" w:color="auto" w:fill="5B9BD5" w:themeFill="accent1"/>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eastAsiaTheme="minorEastAsia"/>
                <w:b/>
                <w:bCs/>
                <w:color w:val="FFFFFF" w:themeColor="background1"/>
                <w:sz w:val="32"/>
                <w:szCs w:val="32"/>
                <w:vertAlign w:val="baseline"/>
                <w:lang w:val="en-US" w:eastAsia="zh-CN"/>
                <w14:textFill>
                  <w14:solidFill>
                    <w14:schemeClr w14:val="bg1"/>
                  </w14:solidFill>
                </w14:textFill>
              </w:rPr>
            </w:pPr>
            <w:r>
              <w:rPr>
                <w:rFonts w:hint="eastAsia" w:ascii="Times New Roman" w:hAnsi="Times New Roman" w:cs="Times New Roman"/>
                <w:b/>
                <w:bCs/>
                <w:color w:val="FFFFFF" w:themeColor="background1"/>
                <w:sz w:val="32"/>
                <w:szCs w:val="32"/>
                <w:vertAlign w:val="baseline"/>
                <w:lang w:val="en-US" w:eastAsia="zh-CN"/>
                <w14:textFill>
                  <w14:solidFill>
                    <w14:schemeClr w14:val="bg1"/>
                  </w14:solidFill>
                </w14:textFill>
              </w:rPr>
              <w:t>Current Version (Effective on July 6, 2026)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Pr>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default" w:ascii="Times New Roman" w:hAnsi="Times New Roman" w:cs="Times New Roman" w:eastAsiaTheme="minorEastAsia"/>
                <w:b w:val="0"/>
                <w:bCs w:val="0"/>
                <w:strike w:val="0"/>
                <w:dstrike/>
                <w:sz w:val="28"/>
                <w:szCs w:val="28"/>
                <w:vertAlign w:val="baseline"/>
              </w:rPr>
            </w:pPr>
            <w:r>
              <w:rPr>
                <w:rFonts w:hint="default" w:ascii="Times New Roman" w:hAnsi="Times New Roman" w:cs="Times New Roman"/>
                <w:b/>
                <w:bCs/>
                <w:sz w:val="28"/>
                <w:szCs w:val="28"/>
                <w:vertAlign w:val="baseline"/>
              </w:rPr>
              <w:t xml:space="preserve">Article 15 </w:t>
            </w:r>
            <w:r>
              <w:rPr>
                <w:rFonts w:hint="default" w:ascii="Times New Roman" w:hAnsi="Times New Roman" w:cs="Times New Roman" w:eastAsiaTheme="minorEastAsia"/>
                <w:b w:val="0"/>
                <w:bCs w:val="0"/>
                <w:strike w:val="0"/>
                <w:dstrike/>
                <w:sz w:val="28"/>
                <w:szCs w:val="28"/>
                <w:vertAlign w:val="baseline"/>
              </w:rPr>
              <w:t>The Exchange may adjust the market open or close time, suspend trading, or adjust the last trading day, expiration date, and other relevant dates of the relevant contracts, and take other necessary measures, if:</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cs="Times New Roman" w:eastAsiaTheme="minorEastAsia"/>
                <w:b w:val="0"/>
                <w:bCs w:val="0"/>
                <w:sz w:val="28"/>
                <w:szCs w:val="28"/>
                <w:vertAlign w:val="baseline"/>
                <w:lang w:val="en-US" w:eastAsia="zh-CN"/>
              </w:rPr>
            </w:pPr>
            <w:r>
              <w:rPr>
                <w:rFonts w:hint="default" w:ascii="Times New Roman" w:hAnsi="Times New Roman" w:cs="Times New Roman" w:eastAsiaTheme="minorEastAsia"/>
                <w:b w:val="0"/>
                <w:bCs w:val="0"/>
                <w:strike w:val="0"/>
                <w:dstrike/>
                <w:sz w:val="28"/>
                <w:szCs w:val="28"/>
                <w:vertAlign w:val="baseline"/>
              </w:rPr>
              <w:t xml:space="preserve">(i) </w:t>
            </w:r>
            <w:r>
              <w:rPr>
                <w:rFonts w:hint="eastAsia" w:ascii="Times New Roman" w:hAnsi="Times New Roman" w:cs="Times New Roman"/>
                <w:b/>
                <w:bCs/>
                <w:color w:val="FF0000"/>
                <w:sz w:val="28"/>
                <w:szCs w:val="28"/>
                <w:vertAlign w:val="baseline"/>
                <w:lang w:val="en-US" w:eastAsia="zh-CN"/>
              </w:rPr>
              <w:t xml:space="preserve">If </w:t>
            </w:r>
            <w:r>
              <w:rPr>
                <w:rFonts w:hint="default" w:ascii="Times New Roman" w:hAnsi="Times New Roman" w:cs="Times New Roman"/>
                <w:b w:val="0"/>
                <w:bCs w:val="0"/>
                <w:sz w:val="28"/>
                <w:szCs w:val="28"/>
                <w:vertAlign w:val="baseline"/>
              </w:rPr>
              <w:t>ten percent (10%) or more of the Members or OSPs are unable to trade due to a breakdown of trading facilities such as computer or telecommunication systems;</w:t>
            </w:r>
            <w:r>
              <w:rPr>
                <w:rFonts w:hint="eastAsia" w:ascii="Times New Roman" w:hAnsi="Times New Roman" w:cs="Times New Roman"/>
                <w:b w:val="0"/>
                <w:bCs w:val="0"/>
                <w:sz w:val="28"/>
                <w:szCs w:val="28"/>
                <w:vertAlign w:val="baseline"/>
                <w:lang w:val="en-US" w:eastAsia="zh-CN"/>
              </w:rPr>
              <w:t xml:space="preserve"> </w:t>
            </w:r>
            <w:r>
              <w:rPr>
                <w:rFonts w:hint="eastAsia" w:ascii="Times New Roman" w:hAnsi="Times New Roman" w:cs="Times New Roman"/>
                <w:b/>
                <w:bCs/>
                <w:color w:val="FF0000"/>
                <w:sz w:val="28"/>
                <w:szCs w:val="28"/>
                <w:vertAlign w:val="baseline"/>
                <w:lang w:val="en-US" w:eastAsia="zh-CN"/>
              </w:rPr>
              <w:t>or</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cs="Times New Roman" w:eastAsiaTheme="minorEastAsia"/>
                <w:b w:val="0"/>
                <w:bCs w:val="0"/>
                <w:strike w:val="0"/>
                <w:dstrike/>
                <w:sz w:val="28"/>
                <w:szCs w:val="28"/>
                <w:vertAlign w:val="baseline"/>
              </w:rPr>
            </w:pPr>
            <w:r>
              <w:rPr>
                <w:rFonts w:hint="default" w:ascii="Times New Roman" w:hAnsi="Times New Roman" w:cs="Times New Roman" w:eastAsiaTheme="minorEastAsia"/>
                <w:b w:val="0"/>
                <w:bCs w:val="0"/>
                <w:strike w:val="0"/>
                <w:dstrike/>
                <w:sz w:val="28"/>
                <w:szCs w:val="28"/>
                <w:vertAlign w:val="baseline"/>
              </w:rPr>
              <w:t>(ii) thirty percent (30%) or more of the Members or OSPs fail to complete clearing and settlement or to initialize their trading systems before market open; or</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cs="Times New Roman" w:eastAsiaTheme="minorEastAsia"/>
                <w:sz w:val="28"/>
                <w:szCs w:val="28"/>
                <w:vertAlign w:val="baseline"/>
                <w:lang w:val="en-US" w:eastAsia="zh-CN"/>
              </w:rPr>
            </w:pPr>
            <w:r>
              <w:rPr>
                <w:rFonts w:hint="default" w:ascii="Times New Roman" w:hAnsi="Times New Roman" w:cs="Times New Roman" w:eastAsiaTheme="minorEastAsia"/>
                <w:b w:val="0"/>
                <w:bCs w:val="0"/>
                <w:strike w:val="0"/>
                <w:dstrike/>
                <w:sz w:val="28"/>
                <w:szCs w:val="28"/>
                <w:vertAlign w:val="baseline"/>
              </w:rPr>
              <w:t xml:space="preserve">(iii) </w:t>
            </w:r>
            <w:r>
              <w:rPr>
                <w:rFonts w:hint="default" w:ascii="Times New Roman" w:hAnsi="Times New Roman" w:cs="Times New Roman"/>
                <w:b w:val="0"/>
                <w:bCs w:val="0"/>
                <w:sz w:val="28"/>
                <w:szCs w:val="28"/>
                <w:vertAlign w:val="baseline"/>
              </w:rPr>
              <w:t>the Exchange otherwise deems it is necessary to do so</w:t>
            </w:r>
            <w:r>
              <w:rPr>
                <w:rFonts w:hint="eastAsia" w:ascii="Times New Roman" w:hAnsi="Times New Roman" w:cs="Times New Roman"/>
                <w:b/>
                <w:bCs/>
                <w:color w:val="FF0000"/>
                <w:sz w:val="28"/>
                <w:szCs w:val="28"/>
                <w:vertAlign w:val="baseline"/>
                <w:lang w:val="en-US" w:eastAsia="zh-CN"/>
              </w:rPr>
              <w:t>,</w:t>
            </w:r>
            <w:r>
              <w:rPr>
                <w:rFonts w:hint="eastAsia" w:ascii="Times New Roman" w:hAnsi="Times New Roman" w:cs="Times New Roman"/>
                <w:b w:val="0"/>
                <w:bCs w:val="0"/>
                <w:sz w:val="28"/>
                <w:szCs w:val="28"/>
                <w:vertAlign w:val="baseline"/>
                <w:lang w:val="en-US" w:eastAsia="zh-CN"/>
              </w:rPr>
              <w:t xml:space="preserve"> </w:t>
            </w:r>
            <w:r>
              <w:rPr>
                <w:rFonts w:hint="eastAsia" w:ascii="Times New Roman" w:hAnsi="Times New Roman" w:cs="Times New Roman"/>
                <w:b/>
                <w:bCs/>
                <w:color w:val="FF0000"/>
                <w:sz w:val="28"/>
                <w:szCs w:val="28"/>
                <w:vertAlign w:val="baseline"/>
                <w:lang w:val="en-US" w:eastAsia="zh-CN"/>
              </w:rPr>
              <w:t>t</w:t>
            </w:r>
            <w:r>
              <w:rPr>
                <w:rFonts w:hint="default" w:ascii="Times New Roman" w:hAnsi="Times New Roman" w:cs="Times New Roman"/>
                <w:b/>
                <w:bCs/>
                <w:color w:val="FF0000"/>
                <w:sz w:val="28"/>
                <w:szCs w:val="28"/>
                <w:vertAlign w:val="baseline"/>
              </w:rPr>
              <w:t>he Exchange may adjust the market open</w:t>
            </w:r>
            <w:r>
              <w:rPr>
                <w:rFonts w:hint="eastAsia" w:ascii="Times New Roman" w:hAnsi="Times New Roman" w:cs="Times New Roman"/>
                <w:b/>
                <w:bCs/>
                <w:color w:val="FF0000"/>
                <w:sz w:val="28"/>
                <w:szCs w:val="28"/>
                <w:vertAlign w:val="baseline"/>
                <w:lang w:val="en-US" w:eastAsia="zh-CN"/>
              </w:rPr>
              <w:t>ing</w:t>
            </w:r>
            <w:r>
              <w:rPr>
                <w:rFonts w:hint="default" w:ascii="Times New Roman" w:hAnsi="Times New Roman" w:cs="Times New Roman"/>
                <w:b/>
                <w:bCs/>
                <w:color w:val="FF0000"/>
                <w:sz w:val="28"/>
                <w:szCs w:val="28"/>
                <w:vertAlign w:val="baseline"/>
              </w:rPr>
              <w:t xml:space="preserve"> or clos</w:t>
            </w:r>
            <w:r>
              <w:rPr>
                <w:rFonts w:hint="eastAsia" w:ascii="Times New Roman" w:hAnsi="Times New Roman" w:cs="Times New Roman"/>
                <w:b/>
                <w:bCs/>
                <w:color w:val="FF0000"/>
                <w:sz w:val="28"/>
                <w:szCs w:val="28"/>
                <w:vertAlign w:val="baseline"/>
                <w:lang w:val="en-US" w:eastAsia="zh-CN"/>
              </w:rPr>
              <w:t>ing</w:t>
            </w:r>
            <w:r>
              <w:rPr>
                <w:rFonts w:hint="default" w:ascii="Times New Roman" w:hAnsi="Times New Roman" w:cs="Times New Roman"/>
                <w:b/>
                <w:bCs/>
                <w:color w:val="FF0000"/>
                <w:sz w:val="28"/>
                <w:szCs w:val="28"/>
                <w:vertAlign w:val="baseline"/>
              </w:rPr>
              <w:t xml:space="preserve"> time, suspend trading, adjust the last t</w:t>
            </w:r>
            <w:bookmarkStart w:id="0" w:name="_GoBack"/>
            <w:bookmarkEnd w:id="0"/>
            <w:r>
              <w:rPr>
                <w:rFonts w:hint="default" w:ascii="Times New Roman" w:hAnsi="Times New Roman" w:cs="Times New Roman"/>
                <w:b/>
                <w:bCs/>
                <w:color w:val="FF0000"/>
                <w:sz w:val="28"/>
                <w:szCs w:val="28"/>
                <w:vertAlign w:val="baseline"/>
              </w:rPr>
              <w:t>rading day, expiration date,</w:t>
            </w:r>
            <w:r>
              <w:rPr>
                <w:rFonts w:hint="eastAsia" w:ascii="Times New Roman" w:hAnsi="Times New Roman" w:cs="Times New Roman"/>
                <w:b/>
                <w:bCs/>
                <w:color w:val="FF0000"/>
                <w:sz w:val="28"/>
                <w:szCs w:val="28"/>
                <w:vertAlign w:val="baseline"/>
                <w:lang w:val="en-US" w:eastAsia="zh-CN"/>
              </w:rPr>
              <w:t xml:space="preserve"> last delivery day </w:t>
            </w:r>
            <w:r>
              <w:rPr>
                <w:rFonts w:hint="default" w:ascii="Times New Roman" w:hAnsi="Times New Roman" w:cs="Times New Roman"/>
                <w:b/>
                <w:bCs/>
                <w:color w:val="FF0000"/>
                <w:sz w:val="28"/>
                <w:szCs w:val="28"/>
                <w:vertAlign w:val="baseline"/>
              </w:rPr>
              <w:t>and other relevant dates of the relevant contracts, and take other necessary measures</w:t>
            </w:r>
            <w:r>
              <w:rPr>
                <w:rFonts w:hint="eastAsia" w:ascii="Times New Roman" w:hAnsi="Times New Roman" w:cs="Times New Roman"/>
                <w:b/>
                <w:bCs/>
                <w:color w:val="FF0000"/>
                <w:sz w:val="28"/>
                <w:szCs w:val="28"/>
                <w:vertAlign w:val="baseline"/>
                <w:lang w:val="en-US" w:eastAsia="zh-CN"/>
              </w:rPr>
              <w:t>.</w:t>
            </w:r>
          </w:p>
        </w:tc>
        <w:tc>
          <w:tcPr>
            <w:tcW w:w="7087" w:type="dxa"/>
          </w:tcPr>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default" w:ascii="Times New Roman" w:hAnsi="Times New Roman" w:cs="Times New Roman"/>
                <w:b w:val="0"/>
                <w:bCs w:val="0"/>
                <w:sz w:val="28"/>
                <w:szCs w:val="28"/>
                <w:vertAlign w:val="baseline"/>
              </w:rPr>
            </w:pPr>
            <w:r>
              <w:rPr>
                <w:rFonts w:hint="default" w:ascii="Times New Roman" w:hAnsi="Times New Roman" w:cs="Times New Roman"/>
                <w:b/>
                <w:bCs/>
                <w:sz w:val="28"/>
                <w:szCs w:val="28"/>
                <w:vertAlign w:val="baseline"/>
              </w:rPr>
              <w:t xml:space="preserve">Article 15 </w:t>
            </w:r>
            <w:r>
              <w:rPr>
                <w:rFonts w:hint="default" w:ascii="Times New Roman" w:hAnsi="Times New Roman" w:cs="Times New Roman"/>
                <w:b w:val="0"/>
                <w:bCs w:val="0"/>
                <w:sz w:val="28"/>
                <w:szCs w:val="28"/>
                <w:vertAlign w:val="baseline"/>
              </w:rPr>
              <w:t>The Exchange may adjust the market open or close time, suspend trading, or adjust the last trading day, expiration date, and other relevant dates of the relevant contracts, and take other necessary measures, if:</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cs="Times New Roman"/>
                <w:b w:val="0"/>
                <w:bCs w:val="0"/>
                <w:sz w:val="28"/>
                <w:szCs w:val="28"/>
                <w:vertAlign w:val="baseline"/>
              </w:rPr>
            </w:pPr>
            <w:r>
              <w:rPr>
                <w:rFonts w:hint="default" w:ascii="Times New Roman" w:hAnsi="Times New Roman" w:cs="Times New Roman"/>
                <w:b w:val="0"/>
                <w:bCs w:val="0"/>
                <w:sz w:val="28"/>
                <w:szCs w:val="28"/>
                <w:vertAlign w:val="baseline"/>
              </w:rPr>
              <w:t>(i) ten percent (10%) or more of the Members or OSPs are unable to trade due to a breakdown of trading facilities such as computer or telecommunication systems;</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cs="Times New Roman"/>
                <w:b w:val="0"/>
                <w:bCs w:val="0"/>
                <w:sz w:val="28"/>
                <w:szCs w:val="28"/>
                <w:vertAlign w:val="baseline"/>
              </w:rPr>
            </w:pPr>
            <w:r>
              <w:rPr>
                <w:rFonts w:hint="default" w:ascii="Times New Roman" w:hAnsi="Times New Roman" w:cs="Times New Roman"/>
                <w:b w:val="0"/>
                <w:bCs w:val="0"/>
                <w:sz w:val="28"/>
                <w:szCs w:val="28"/>
                <w:vertAlign w:val="baseline"/>
              </w:rPr>
              <w:t>(ii) thirty percent (30%) or more of the Members or OSPs fail to complete clearing and settlement or to initialize their trading systems before market open; or</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cs="Times New Roman"/>
                <w:sz w:val="28"/>
                <w:szCs w:val="28"/>
                <w:vertAlign w:val="baseline"/>
              </w:rPr>
            </w:pPr>
            <w:r>
              <w:rPr>
                <w:rFonts w:hint="default" w:ascii="Times New Roman" w:hAnsi="Times New Roman" w:cs="Times New Roman"/>
                <w:b w:val="0"/>
                <w:bCs w:val="0"/>
                <w:sz w:val="28"/>
                <w:szCs w:val="28"/>
                <w:vertAlign w:val="baseline"/>
              </w:rPr>
              <w:t>(iii) the Exchange otherwise deems it is necessary to do so.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Pr>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default" w:ascii="Times New Roman" w:hAnsi="Times New Roman" w:cs="Times New Roman"/>
                <w:sz w:val="28"/>
                <w:szCs w:val="28"/>
                <w:vertAlign w:val="baseline"/>
              </w:rPr>
            </w:pPr>
            <w:r>
              <w:rPr>
                <w:rFonts w:hint="default" w:ascii="Times New Roman" w:hAnsi="Times New Roman" w:cs="Times New Roman"/>
                <w:b/>
                <w:bCs/>
                <w:sz w:val="28"/>
                <w:szCs w:val="28"/>
                <w:vertAlign w:val="baseline"/>
              </w:rPr>
              <w:t>Article 52</w:t>
            </w:r>
            <w:r>
              <w:rPr>
                <w:rFonts w:hint="default" w:ascii="Times New Roman" w:hAnsi="Times New Roman" w:cs="Times New Roman"/>
                <w:sz w:val="28"/>
                <w:szCs w:val="28"/>
                <w:vertAlign w:val="baseline"/>
              </w:rPr>
              <w:t xml:space="preserve"> </w:t>
            </w:r>
            <w:r>
              <w:rPr>
                <w:rFonts w:hint="eastAsia" w:ascii="Times New Roman" w:hAnsi="Times New Roman" w:cs="Times New Roman"/>
                <w:sz w:val="28"/>
                <w:szCs w:val="28"/>
                <w:vertAlign w:val="baseline"/>
                <w:lang w:val="en-US" w:eastAsia="zh-CN"/>
              </w:rPr>
              <w:t xml:space="preserve"> </w:t>
            </w:r>
            <w:r>
              <w:rPr>
                <w:rFonts w:hint="default" w:ascii="Times New Roman" w:hAnsi="Times New Roman" w:cs="Times New Roman"/>
                <w:sz w:val="28"/>
                <w:szCs w:val="28"/>
                <w:vertAlign w:val="baseline"/>
              </w:rPr>
              <w:t>These Trading Rules take effect on</w:t>
            </w:r>
            <w:r>
              <w:rPr>
                <w:rFonts w:hint="eastAsia" w:ascii="Times New Roman" w:hAnsi="Times New Roman" w:cs="Times New Roman"/>
                <w:sz w:val="28"/>
                <w:szCs w:val="28"/>
                <w:vertAlign w:val="baseline"/>
                <w:lang w:val="en-US" w:eastAsia="zh-CN"/>
              </w:rPr>
              <w:t xml:space="preserve"> </w:t>
            </w:r>
            <w:r>
              <w:rPr>
                <w:rFonts w:hint="eastAsia" w:ascii="Times New Roman" w:hAnsi="Times New Roman" w:cs="Times New Roman"/>
                <w:b/>
                <w:bCs/>
                <w:color w:val="FF0000"/>
                <w:sz w:val="28"/>
                <w:szCs w:val="28"/>
                <w:vertAlign w:val="baseline"/>
                <w:lang w:val="en-US" w:eastAsia="zh-CN"/>
              </w:rPr>
              <w:t>XX, XX, 202X</w:t>
            </w:r>
            <w:r>
              <w:rPr>
                <w:rFonts w:hint="default" w:ascii="Times New Roman" w:hAnsi="Times New Roman" w:cs="Times New Roman"/>
                <w:b/>
                <w:bCs/>
                <w:color w:val="FF0000"/>
                <w:sz w:val="28"/>
                <w:szCs w:val="28"/>
                <w:vertAlign w:val="baseline"/>
              </w:rPr>
              <w:t xml:space="preserve"> </w:t>
            </w:r>
            <w:r>
              <w:rPr>
                <w:rFonts w:hint="eastAsia" w:ascii="Times New Roman" w:hAnsi="Times New Roman" w:cs="Times New Roman"/>
                <w:strike w:val="0"/>
                <w:dstrike/>
                <w:sz w:val="28"/>
                <w:szCs w:val="28"/>
                <w:vertAlign w:val="baseline"/>
                <w:lang w:val="en-US" w:eastAsia="zh-CN"/>
              </w:rPr>
              <w:t>July 6</w:t>
            </w:r>
            <w:r>
              <w:rPr>
                <w:rFonts w:hint="default" w:ascii="Times New Roman" w:hAnsi="Times New Roman" w:cs="Times New Roman" w:eastAsiaTheme="minorEastAsia"/>
                <w:strike w:val="0"/>
                <w:dstrike/>
                <w:sz w:val="28"/>
                <w:szCs w:val="28"/>
                <w:vertAlign w:val="baseline"/>
              </w:rPr>
              <w:t>, 202</w:t>
            </w:r>
            <w:r>
              <w:rPr>
                <w:rFonts w:hint="eastAsia" w:ascii="Times New Roman" w:hAnsi="Times New Roman" w:cs="Times New Roman"/>
                <w:strike w:val="0"/>
                <w:dstrike/>
                <w:sz w:val="28"/>
                <w:szCs w:val="28"/>
                <w:vertAlign w:val="baseline"/>
                <w:lang w:val="en-US" w:eastAsia="zh-CN"/>
              </w:rPr>
              <w:t>6</w:t>
            </w:r>
            <w:r>
              <w:rPr>
                <w:rFonts w:hint="default" w:ascii="Times New Roman" w:hAnsi="Times New Roman" w:cs="Times New Roman"/>
                <w:sz w:val="28"/>
                <w:szCs w:val="28"/>
                <w:vertAlign w:val="baseline"/>
              </w:rPr>
              <w:t>.</w:t>
            </w:r>
          </w:p>
        </w:tc>
        <w:tc>
          <w:tcPr>
            <w:tcW w:w="7087" w:type="dxa"/>
          </w:tcPr>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default" w:ascii="Times New Roman" w:hAnsi="Times New Roman" w:cs="Times New Roman"/>
                <w:sz w:val="28"/>
                <w:szCs w:val="28"/>
                <w:vertAlign w:val="baseline"/>
              </w:rPr>
            </w:pPr>
            <w:r>
              <w:rPr>
                <w:rFonts w:hint="default" w:ascii="Times New Roman" w:hAnsi="Times New Roman" w:cs="Times New Roman"/>
                <w:b/>
                <w:bCs/>
                <w:sz w:val="28"/>
                <w:szCs w:val="28"/>
                <w:vertAlign w:val="baseline"/>
              </w:rPr>
              <w:t>Article 52</w:t>
            </w:r>
            <w:r>
              <w:rPr>
                <w:rFonts w:hint="default" w:ascii="Times New Roman" w:hAnsi="Times New Roman" w:cs="Times New Roman"/>
                <w:sz w:val="28"/>
                <w:szCs w:val="28"/>
                <w:vertAlign w:val="baseline"/>
              </w:rPr>
              <w:t xml:space="preserve"> </w:t>
            </w:r>
            <w:r>
              <w:rPr>
                <w:rFonts w:hint="eastAsia" w:ascii="Times New Roman" w:hAnsi="Times New Roman" w:cs="Times New Roman"/>
                <w:sz w:val="28"/>
                <w:szCs w:val="28"/>
                <w:vertAlign w:val="baseline"/>
                <w:lang w:val="en-US" w:eastAsia="zh-CN"/>
              </w:rPr>
              <w:t xml:space="preserve"> </w:t>
            </w:r>
            <w:r>
              <w:rPr>
                <w:rFonts w:hint="default" w:ascii="Times New Roman" w:hAnsi="Times New Roman" w:cs="Times New Roman"/>
                <w:sz w:val="28"/>
                <w:szCs w:val="28"/>
                <w:vertAlign w:val="baseline"/>
              </w:rPr>
              <w:t xml:space="preserve">These Trading Rules take effect on </w:t>
            </w:r>
            <w:r>
              <w:rPr>
                <w:rFonts w:hint="eastAsia" w:ascii="Times New Roman" w:hAnsi="Times New Roman" w:cs="Times New Roman"/>
                <w:sz w:val="28"/>
                <w:szCs w:val="28"/>
                <w:vertAlign w:val="baseline"/>
                <w:lang w:val="en-US" w:eastAsia="zh-CN"/>
              </w:rPr>
              <w:t>July 6</w:t>
            </w:r>
            <w:r>
              <w:rPr>
                <w:rFonts w:hint="default" w:ascii="Times New Roman" w:hAnsi="Times New Roman" w:cs="Times New Roman"/>
                <w:sz w:val="28"/>
                <w:szCs w:val="28"/>
                <w:vertAlign w:val="baseline"/>
              </w:rPr>
              <w:t>, 202</w:t>
            </w:r>
            <w:r>
              <w:rPr>
                <w:rFonts w:hint="eastAsia" w:ascii="Times New Roman" w:hAnsi="Times New Roman" w:cs="Times New Roman"/>
                <w:sz w:val="28"/>
                <w:szCs w:val="28"/>
                <w:vertAlign w:val="baseline"/>
                <w:lang w:val="en-US" w:eastAsia="zh-CN"/>
              </w:rPr>
              <w:t>6</w:t>
            </w:r>
            <w:r>
              <w:rPr>
                <w:rFonts w:hint="default" w:ascii="Times New Roman" w:hAnsi="Times New Roman" w:cs="Times New Roman"/>
                <w:sz w:val="28"/>
                <w:szCs w:val="28"/>
                <w:vertAlign w:val="baseline"/>
              </w:rPr>
              <w:t>.</w:t>
            </w:r>
          </w:p>
        </w:tc>
      </w:tr>
    </w:tbl>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B960E2"/>
    <w:rsid w:val="BDB96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2026-07-16T09:28:00Z</dcterms:created>
  <dc:creator>ji.shuoren</dc:creator>
  <cp:lastModifiedBy>ji.shuoren</cp:lastModifiedBy>
  <dcterms:modified xsi:type="dcterms:W3CDTF">2026-07-16T09:29:14Z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62F1BC5B0B672ABAC433586A7C4419F7</vt:lpwstr>
  </property>
</Properties>
</file>