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imes New Roman" w:hAnsi="Times New Roman" w:cs="Times New Roman"/>
          <w:b/>
          <w:bCs/>
          <w:sz w:val="30"/>
          <w:szCs w:val="30"/>
        </w:rPr>
      </w:pPr>
      <w:r>
        <w:rPr>
          <w:rFonts w:hint="eastAsia" w:ascii="Times New Roman" w:hAnsi="Times New Roman" w:cs="Times New Roman"/>
          <w:b/>
          <w:bCs/>
          <w:sz w:val="30"/>
          <w:szCs w:val="30"/>
        </w:rPr>
        <w:t>Annex 1</w:t>
      </w:r>
    </w:p>
    <w:p>
      <w:pPr>
        <w:spacing w:line="560" w:lineRule="exact"/>
        <w:jc w:val="left"/>
        <w:rPr>
          <w:rFonts w:ascii="Times New Roman" w:hAnsi="Times New Roman" w:cs="Times New Roman"/>
          <w:b/>
          <w:bCs/>
          <w:sz w:val="28"/>
          <w:szCs w:val="28"/>
        </w:rPr>
      </w:pPr>
    </w:p>
    <w:p>
      <w:pPr>
        <w:widowControl/>
        <w:jc w:val="center"/>
        <w:rPr>
          <w:rFonts w:hint="eastAsia" w:ascii="Times New Roman" w:hAnsi="Times New Roman" w:cs="Times New Roman"/>
          <w:b/>
          <w:sz w:val="32"/>
          <w:szCs w:val="32"/>
        </w:rPr>
      </w:pPr>
      <w:r>
        <w:rPr>
          <w:rFonts w:hint="eastAsia" w:ascii="Times New Roman" w:hAnsi="Times New Roman" w:cs="Times New Roman"/>
          <w:b/>
          <w:sz w:val="32"/>
          <w:szCs w:val="32"/>
        </w:rPr>
        <w:t>Revision Notes</w:t>
      </w:r>
    </w:p>
    <w:p>
      <w:pPr>
        <w:keepNext w:val="0"/>
        <w:keepLines w:val="0"/>
        <w:pageBreakBefore w:val="0"/>
        <w:widowControl w:val="0"/>
        <w:kinsoku/>
        <w:wordWrap/>
        <w:overflowPunct/>
        <w:topLinePunct w:val="0"/>
        <w:autoSpaceDE/>
        <w:autoSpaceDN/>
        <w:bidi w:val="0"/>
        <w:adjustRightInd w:val="0"/>
        <w:snapToGrid w:val="0"/>
        <w:spacing w:after="157" w:afterLines="50" w:line="276" w:lineRule="auto"/>
        <w:jc w:val="both"/>
        <w:textAlignment w:val="auto"/>
        <w:rPr>
          <w:rFonts w:ascii="Times New Roman" w:hAnsi="Times New Roman" w:cs="Times New Roman"/>
          <w:sz w:val="22"/>
        </w:rPr>
      </w:pPr>
    </w:p>
    <w:p>
      <w:pPr>
        <w:keepNext w:val="0"/>
        <w:keepLines w:val="0"/>
        <w:pageBreakBefore w:val="0"/>
        <w:widowControl w:val="0"/>
        <w:kinsoku/>
        <w:wordWrap/>
        <w:overflowPunct/>
        <w:topLinePunct w:val="0"/>
        <w:autoSpaceDE/>
        <w:autoSpaceDN/>
        <w:bidi w:val="0"/>
        <w:adjustRightInd w:val="0"/>
        <w:snapToGrid w:val="0"/>
        <w:spacing w:after="157" w:afterLines="50" w:line="276" w:lineRule="auto"/>
        <w:jc w:val="both"/>
        <w:textAlignment w:val="auto"/>
        <w:rPr>
          <w:rFonts w:ascii="Times New Roman" w:hAnsi="Times New Roman" w:cs="Times New Roman"/>
          <w:sz w:val="22"/>
        </w:rPr>
      </w:pPr>
      <w:r>
        <w:rPr>
          <w:rFonts w:ascii="Times New Roman" w:hAnsi="Times New Roman" w:cs="Times New Roman"/>
          <w:sz w:val="22"/>
        </w:rPr>
        <w:t>To improve the administration of accounts involving actual control relationship, the Shanghai Futures Exchange (the “Exchange”) propose</w:t>
      </w:r>
      <w:r>
        <w:rPr>
          <w:rFonts w:hint="eastAsia" w:ascii="Times New Roman" w:hAnsi="Times New Roman" w:cs="Times New Roman"/>
          <w:sz w:val="22"/>
        </w:rPr>
        <w:t>s</w:t>
      </w:r>
      <w:r>
        <w:rPr>
          <w:rFonts w:ascii="Times New Roman" w:hAnsi="Times New Roman" w:cs="Times New Roman"/>
          <w:sz w:val="22"/>
        </w:rPr>
        <w:t xml:space="preserve"> to revise the </w:t>
      </w:r>
      <w:r>
        <w:rPr>
          <w:rFonts w:hint="eastAsia" w:ascii="Times New Roman" w:hAnsi="Times New Roman" w:cs="Times New Roman"/>
          <w:i/>
          <w:iCs/>
          <w:sz w:val="22"/>
        </w:rPr>
        <w:t>Administration of Accounts Involving Actual Control Relationship Rules of the Shanghai Futures Exchange</w:t>
      </w:r>
      <w:r>
        <w:rPr>
          <w:rFonts w:ascii="Times New Roman" w:hAnsi="Times New Roman" w:eastAsia="等线" w:cs="Times New Roman"/>
          <w:i/>
          <w:kern w:val="0"/>
          <w:sz w:val="22"/>
        </w:rPr>
        <w:t xml:space="preserve"> </w:t>
      </w:r>
      <w:r>
        <w:rPr>
          <w:rFonts w:ascii="Times New Roman" w:hAnsi="Times New Roman" w:cs="Times New Roman"/>
          <w:sz w:val="22"/>
        </w:rPr>
        <w:t>(the “Rules”) as follows:</w:t>
      </w:r>
    </w:p>
    <w:p>
      <w:pPr>
        <w:keepNext w:val="0"/>
        <w:keepLines w:val="0"/>
        <w:pageBreakBefore w:val="0"/>
        <w:widowControl w:val="0"/>
        <w:kinsoku/>
        <w:wordWrap/>
        <w:overflowPunct/>
        <w:topLinePunct w:val="0"/>
        <w:autoSpaceDE/>
        <w:autoSpaceDN/>
        <w:bidi w:val="0"/>
        <w:adjustRightInd w:val="0"/>
        <w:snapToGrid w:val="0"/>
        <w:spacing w:after="157" w:afterLines="50" w:line="276" w:lineRule="auto"/>
        <w:jc w:val="both"/>
        <w:textAlignment w:val="auto"/>
        <w:rPr>
          <w:rFonts w:ascii="Times New Roman" w:hAnsi="Times New Roman" w:cs="Times New Roman"/>
          <w:sz w:val="22"/>
        </w:rPr>
      </w:pPr>
      <w:r>
        <w:rPr>
          <w:rFonts w:ascii="Times New Roman" w:hAnsi="Times New Roman" w:cs="Times New Roman"/>
          <w:b/>
          <w:sz w:val="22"/>
        </w:rPr>
        <w:t xml:space="preserve">First, new grounds are introduced for establishing an actual control relationship. </w:t>
      </w:r>
      <w:r>
        <w:rPr>
          <w:rFonts w:ascii="Times New Roman" w:hAnsi="Times New Roman" w:cs="Times New Roman"/>
          <w:sz w:val="22"/>
        </w:rPr>
        <w:t xml:space="preserve">Item (vii) is added to Article 5 of the Rules to clarify that by the principle of “substance over form,” a person shall be deemed to have actual control over the futures account of another person during futures trading if the first person </w:t>
      </w:r>
      <w:r>
        <w:rPr>
          <w:rFonts w:hint="eastAsia" w:ascii="Times New Roman" w:hAnsi="Times New Roman" w:cs="Times New Roman"/>
          <w:sz w:val="22"/>
        </w:rPr>
        <w:t>has identical trading behaviours</w:t>
      </w:r>
      <w:r>
        <w:rPr>
          <w:rFonts w:ascii="Times New Roman" w:hAnsi="Times New Roman" w:cs="Times New Roman"/>
          <w:sz w:val="22"/>
        </w:rPr>
        <w:t xml:space="preserve"> with the latter person and either person provides futures trading funds to the other person, or </w:t>
      </w:r>
      <w:r>
        <w:rPr>
          <w:rFonts w:hint="eastAsia" w:ascii="Times New Roman" w:hAnsi="Times New Roman" w:cs="Times New Roman"/>
          <w:sz w:val="22"/>
        </w:rPr>
        <w:t>the first person has identical trading behaviours and</w:t>
      </w:r>
      <w:r>
        <w:rPr>
          <w:rFonts w:ascii="Times New Roman" w:hAnsi="Times New Roman" w:cs="Times New Roman"/>
          <w:sz w:val="22"/>
        </w:rPr>
        <w:t xml:space="preserve"> trading terminal information </w:t>
      </w:r>
      <w:r>
        <w:rPr>
          <w:rFonts w:hint="eastAsia" w:ascii="Times New Roman" w:hAnsi="Times New Roman" w:cs="Times New Roman"/>
          <w:sz w:val="22"/>
        </w:rPr>
        <w:t>with</w:t>
      </w:r>
      <w:r>
        <w:rPr>
          <w:rFonts w:ascii="Times New Roman" w:hAnsi="Times New Roman" w:cs="Times New Roman"/>
          <w:sz w:val="22"/>
        </w:rPr>
        <w:t xml:space="preserve"> the latter person.</w:t>
      </w:r>
    </w:p>
    <w:p>
      <w:pPr>
        <w:keepNext w:val="0"/>
        <w:keepLines w:val="0"/>
        <w:pageBreakBefore w:val="0"/>
        <w:widowControl w:val="0"/>
        <w:kinsoku/>
        <w:wordWrap/>
        <w:overflowPunct/>
        <w:topLinePunct w:val="0"/>
        <w:autoSpaceDE/>
        <w:autoSpaceDN/>
        <w:bidi w:val="0"/>
        <w:adjustRightInd w:val="0"/>
        <w:snapToGrid w:val="0"/>
        <w:spacing w:after="157" w:afterLines="50" w:line="276" w:lineRule="auto"/>
        <w:jc w:val="both"/>
        <w:textAlignment w:val="auto"/>
        <w:rPr>
          <w:rFonts w:ascii="Times New Roman" w:hAnsi="Times New Roman" w:cs="Times New Roman"/>
          <w:sz w:val="22"/>
        </w:rPr>
      </w:pPr>
      <w:r>
        <w:rPr>
          <w:rFonts w:ascii="Times New Roman" w:hAnsi="Times New Roman" w:cs="Times New Roman"/>
          <w:b/>
          <w:sz w:val="22"/>
        </w:rPr>
        <w:t xml:space="preserve">Second, the inquiry procedures for accounts suspected of involving actual control relationship are improved. </w:t>
      </w:r>
      <w:r>
        <w:rPr>
          <w:rFonts w:ascii="Times New Roman" w:hAnsi="Times New Roman" w:cs="Times New Roman"/>
          <w:sz w:val="22"/>
        </w:rPr>
        <w:t xml:space="preserve">Article 10 of the Rules is amended to clarify that, depending on the type of account holder, the Exchange shall conduct inquiries through </w:t>
      </w:r>
      <w:r>
        <w:rPr>
          <w:rFonts w:hint="eastAsia" w:ascii="Times New Roman" w:hAnsi="Times New Roman" w:cs="Times New Roman"/>
          <w:sz w:val="22"/>
        </w:rPr>
        <w:t xml:space="preserve">an </w:t>
      </w:r>
      <w:r>
        <w:rPr>
          <w:rFonts w:ascii="Times New Roman" w:hAnsi="Times New Roman" w:cs="Times New Roman"/>
          <w:sz w:val="22"/>
        </w:rPr>
        <w:t xml:space="preserve">FF Member, OSBP, or directly with </w:t>
      </w:r>
      <w:r>
        <w:rPr>
          <w:rFonts w:hint="eastAsia" w:ascii="Times New Roman" w:hAnsi="Times New Roman" w:cs="Times New Roman"/>
          <w:sz w:val="22"/>
        </w:rPr>
        <w:t xml:space="preserve">a </w:t>
      </w:r>
      <w:r>
        <w:rPr>
          <w:rFonts w:ascii="Times New Roman" w:hAnsi="Times New Roman" w:cs="Times New Roman"/>
          <w:bCs/>
          <w:sz w:val="22"/>
        </w:rPr>
        <w:t>Non-FF Member or OSNBP</w:t>
      </w:r>
      <w:r>
        <w:rPr>
          <w:rFonts w:ascii="Times New Roman" w:hAnsi="Times New Roman" w:cs="Times New Roman"/>
          <w:sz w:val="22"/>
        </w:rPr>
        <w:t>.</w:t>
      </w:r>
    </w:p>
    <w:p>
      <w:pPr>
        <w:keepNext w:val="0"/>
        <w:keepLines w:val="0"/>
        <w:pageBreakBefore w:val="0"/>
        <w:widowControl w:val="0"/>
        <w:kinsoku/>
        <w:wordWrap/>
        <w:overflowPunct/>
        <w:topLinePunct w:val="0"/>
        <w:autoSpaceDE/>
        <w:autoSpaceDN/>
        <w:bidi w:val="0"/>
        <w:adjustRightInd w:val="0"/>
        <w:snapToGrid w:val="0"/>
        <w:spacing w:after="157" w:afterLines="50" w:line="276" w:lineRule="auto"/>
        <w:jc w:val="both"/>
        <w:textAlignment w:val="auto"/>
        <w:rPr>
          <w:rFonts w:ascii="Times New Roman" w:hAnsi="Times New Roman" w:cs="Times New Roman"/>
          <w:sz w:val="22"/>
        </w:rPr>
      </w:pPr>
      <w:r>
        <w:rPr>
          <w:rFonts w:ascii="Times New Roman" w:hAnsi="Times New Roman" w:cs="Times New Roman"/>
          <w:b/>
          <w:sz w:val="22"/>
        </w:rPr>
        <w:t xml:space="preserve">Third, the handling procedures after denial of an actual control relationship are improved. </w:t>
      </w:r>
      <w:r>
        <w:rPr>
          <w:rFonts w:ascii="Times New Roman" w:hAnsi="Times New Roman" w:cs="Times New Roman"/>
          <w:sz w:val="22"/>
        </w:rPr>
        <w:t>Article 11 of the Rules is amended to clarify that if a Client denies the existence of an actual control relationship, the Client shall, in addition to signing the Compliance Statement and Undertaking Letter, submit “written explanation</w:t>
      </w:r>
      <w:r>
        <w:rPr>
          <w:rFonts w:hint="eastAsia" w:ascii="Times New Roman" w:hAnsi="Times New Roman" w:cs="Times New Roman"/>
          <w:sz w:val="22"/>
        </w:rPr>
        <w:t>s</w:t>
      </w:r>
      <w:r>
        <w:rPr>
          <w:rFonts w:ascii="Times New Roman" w:hAnsi="Times New Roman" w:cs="Times New Roman"/>
          <w:sz w:val="22"/>
        </w:rPr>
        <w:t xml:space="preserve">.” It further clarifies that “if the facts and reasons given are inadequate and through investigation the Exchange determines that the criteria for determining an actual control relationship are met, the Exchange will require the Non-FF Member, OSNBP or Client to make account filing,” that “if the Non-FF Member, OSNBP or Client fails to complete the filing within the prescribed time, the Exchange may determine, in accordance with these </w:t>
      </w:r>
      <w:r>
        <w:rPr>
          <w:rFonts w:ascii="Times New Roman" w:hAnsi="Times New Roman" w:cs="Times New Roman"/>
          <w:i/>
          <w:iCs/>
          <w:sz w:val="22"/>
        </w:rPr>
        <w:t>Actual Control Account Rules</w:t>
      </w:r>
      <w:r>
        <w:rPr>
          <w:rFonts w:ascii="Times New Roman" w:hAnsi="Times New Roman" w:cs="Times New Roman"/>
          <w:sz w:val="22"/>
        </w:rPr>
        <w:t>, that an actual control relationship exists,” and that “if, after investigation, the Exchange is temporarily unable to determine whether the criteria for determining an actual control relationship are met, the Exchange may include the Non-FF Member, OSNBP or Client in</w:t>
      </w:r>
      <w:r>
        <w:rPr>
          <w:rFonts w:hint="eastAsia" w:ascii="Times New Roman" w:hAnsi="Times New Roman" w:cs="Times New Roman"/>
          <w:sz w:val="22"/>
        </w:rPr>
        <w:t>to</w:t>
      </w:r>
      <w:r>
        <w:rPr>
          <w:rFonts w:ascii="Times New Roman" w:hAnsi="Times New Roman" w:cs="Times New Roman"/>
          <w:sz w:val="22"/>
        </w:rPr>
        <w:t xml:space="preserve"> its watch list.”</w:t>
      </w:r>
    </w:p>
    <w:p>
      <w:pPr>
        <w:keepNext w:val="0"/>
        <w:keepLines w:val="0"/>
        <w:pageBreakBefore w:val="0"/>
        <w:widowControl w:val="0"/>
        <w:kinsoku/>
        <w:wordWrap/>
        <w:overflowPunct/>
        <w:topLinePunct w:val="0"/>
        <w:autoSpaceDE/>
        <w:autoSpaceDN/>
        <w:bidi w:val="0"/>
        <w:adjustRightInd w:val="0"/>
        <w:snapToGrid w:val="0"/>
        <w:spacing w:after="157" w:afterLines="50" w:line="276" w:lineRule="auto"/>
        <w:jc w:val="both"/>
        <w:textAlignment w:val="auto"/>
        <w:rPr>
          <w:rFonts w:ascii="Times New Roman" w:hAnsi="Times New Roman" w:cs="Times New Roman"/>
          <w:sz w:val="22"/>
        </w:rPr>
      </w:pPr>
      <w:r>
        <w:rPr>
          <w:rFonts w:ascii="Times New Roman" w:hAnsi="Times New Roman" w:cs="Times New Roman"/>
          <w:b/>
          <w:sz w:val="22"/>
        </w:rPr>
        <w:t xml:space="preserve">Fourth, the wording of the Rules is optimized to be consistent with both higher-level and supporting rules. </w:t>
      </w:r>
      <w:r>
        <w:rPr>
          <w:rFonts w:ascii="Times New Roman" w:hAnsi="Times New Roman" w:cs="Times New Roman"/>
          <w:sz w:val="22"/>
        </w:rPr>
        <w:t xml:space="preserve">In Article 12 of the Rules, the circumstances and measures for taking action against Non-FF Members, OSNBPs, and Clients are adjusted in accordance with the wording of the </w:t>
      </w:r>
      <w:r>
        <w:rPr>
          <w:rFonts w:ascii="Times New Roman" w:hAnsi="Times New Roman" w:cs="Times New Roman"/>
          <w:i/>
          <w:iCs/>
          <w:sz w:val="22"/>
        </w:rPr>
        <w:t>Trading Rules of the Shanghai Futures Exchange</w:t>
      </w:r>
      <w:r>
        <w:rPr>
          <w:rFonts w:ascii="Times New Roman" w:hAnsi="Times New Roman" w:cs="Times New Roman"/>
          <w:sz w:val="22"/>
        </w:rPr>
        <w:t xml:space="preserve"> and the </w:t>
      </w:r>
      <w:r>
        <w:rPr>
          <w:rFonts w:ascii="Times New Roman" w:hAnsi="Times New Roman" w:cs="Times New Roman"/>
          <w:i/>
          <w:iCs/>
          <w:sz w:val="22"/>
        </w:rPr>
        <w:t>Enforcement Rules of the Shanghai Futures Exchange</w:t>
      </w:r>
      <w:r>
        <w:rPr>
          <w:rFonts w:ascii="Times New Roman" w:hAnsi="Times New Roman" w:cs="Times New Roman"/>
          <w:sz w:val="22"/>
        </w:rPr>
        <w:t xml:space="preserve">. In Article 14 of the Rules, the wording is adjusted in accordance with the </w:t>
      </w:r>
      <w:r>
        <w:rPr>
          <w:rFonts w:ascii="Times New Roman" w:hAnsi="Times New Roman" w:cs="Times New Roman"/>
          <w:i/>
          <w:iCs/>
          <w:sz w:val="22"/>
        </w:rPr>
        <w:t xml:space="preserve">Measures for the Administration of Futures Exchanges </w:t>
      </w:r>
      <w:r>
        <w:rPr>
          <w:rFonts w:ascii="Times New Roman" w:hAnsi="Times New Roman" w:cs="Times New Roman"/>
          <w:sz w:val="22"/>
        </w:rPr>
        <w:t xml:space="preserve">of the China Securities Regulatory Commission to clarify that </w:t>
      </w:r>
      <w:r>
        <w:rPr>
          <w:rFonts w:ascii="Times New Roman" w:hAnsi="Times New Roman" w:cs="Times New Roman"/>
          <w:bCs/>
          <w:kern w:val="0"/>
          <w:sz w:val="22"/>
        </w:rPr>
        <w:t xml:space="preserve">the Exchange shall consider the order placement and cancellation by a group of accounts involving actual control relationship on an aggregate basis when enforcing </w:t>
      </w:r>
      <w:r>
        <w:rPr>
          <w:rFonts w:ascii="Times New Roman" w:hAnsi="Times New Roman" w:cs="Times New Roman"/>
          <w:sz w:val="22"/>
        </w:rPr>
        <w:t>“</w:t>
      </w:r>
      <w:r>
        <w:rPr>
          <w:rFonts w:hint="eastAsia" w:ascii="Times New Roman" w:hAnsi="Times New Roman" w:cs="Times New Roman"/>
          <w:sz w:val="22"/>
        </w:rPr>
        <w:t>l</w:t>
      </w:r>
      <w:r>
        <w:rPr>
          <w:rFonts w:ascii="Times New Roman" w:hAnsi="Times New Roman" w:cs="Times New Roman"/>
          <w:sz w:val="22"/>
        </w:rPr>
        <w:t xml:space="preserve">arge </w:t>
      </w:r>
      <w:r>
        <w:rPr>
          <w:rFonts w:hint="eastAsia" w:ascii="Times New Roman" w:hAnsi="Times New Roman" w:cs="Times New Roman"/>
          <w:sz w:val="22"/>
        </w:rPr>
        <w:t>trader p</w:t>
      </w:r>
      <w:r>
        <w:rPr>
          <w:rFonts w:ascii="Times New Roman" w:hAnsi="Times New Roman" w:cs="Times New Roman"/>
          <w:sz w:val="22"/>
        </w:rPr>
        <w:t xml:space="preserve">osition </w:t>
      </w:r>
      <w:r>
        <w:rPr>
          <w:rFonts w:hint="eastAsia" w:ascii="Times New Roman" w:hAnsi="Times New Roman" w:cs="Times New Roman"/>
          <w:sz w:val="22"/>
        </w:rPr>
        <w:t>r</w:t>
      </w:r>
      <w:r>
        <w:rPr>
          <w:rFonts w:ascii="Times New Roman" w:hAnsi="Times New Roman" w:cs="Times New Roman"/>
          <w:sz w:val="22"/>
        </w:rPr>
        <w:t xml:space="preserve">eporting” and other relevant </w:t>
      </w:r>
      <w:r>
        <w:rPr>
          <w:rFonts w:ascii="Times New Roman" w:hAnsi="Times New Roman" w:cs="Times New Roman"/>
          <w:bCs/>
          <w:kern w:val="0"/>
          <w:sz w:val="22"/>
        </w:rPr>
        <w:t>rules</w:t>
      </w:r>
      <w:r>
        <w:rPr>
          <w:rFonts w:ascii="Times New Roman" w:hAnsi="Times New Roman" w:cs="Times New Roman"/>
          <w:sz w:val="22"/>
        </w:rPr>
        <w:t>.</w:t>
      </w:r>
      <w:r>
        <w:rPr>
          <w:rFonts w:ascii="Times New Roman" w:hAnsi="Times New Roman" w:cs="Times New Roman"/>
          <w:bCs/>
          <w:kern w:val="0"/>
          <w:sz w:val="22"/>
        </w:rPr>
        <w:t xml:space="preserve"> </w:t>
      </w:r>
    </w:p>
    <w:p>
      <w:pPr>
        <w:keepNext w:val="0"/>
        <w:keepLines w:val="0"/>
        <w:pageBreakBefore w:val="0"/>
        <w:widowControl w:val="0"/>
        <w:kinsoku/>
        <w:wordWrap/>
        <w:overflowPunct/>
        <w:topLinePunct w:val="0"/>
        <w:autoSpaceDE/>
        <w:autoSpaceDN/>
        <w:bidi w:val="0"/>
        <w:adjustRightInd w:val="0"/>
        <w:snapToGrid w:val="0"/>
        <w:spacing w:after="157" w:afterLines="50" w:line="276" w:lineRule="auto"/>
        <w:jc w:val="both"/>
        <w:textAlignment w:val="auto"/>
        <w:rPr>
          <w:rFonts w:ascii="Times New Roman" w:hAnsi="Times New Roman" w:cs="Times New Roman"/>
          <w:sz w:val="22"/>
        </w:rPr>
      </w:pPr>
      <w:r>
        <w:rPr>
          <w:rFonts w:ascii="Times New Roman" w:hAnsi="Times New Roman" w:cs="Times New Roman"/>
          <w:b/>
          <w:sz w:val="22"/>
        </w:rPr>
        <w:t xml:space="preserve">Fifth, the coordination with the Enforcement Rules of the Shanghai Futures Exchange is strengthened. </w:t>
      </w:r>
      <w:r>
        <w:rPr>
          <w:rFonts w:ascii="Times New Roman" w:hAnsi="Times New Roman" w:cs="Times New Roman"/>
          <w:sz w:val="22"/>
        </w:rPr>
        <w:t xml:space="preserve">A new article is added to the Rules to clarify that where the Rules are violated, the Exchange may handle the violation in accordance with the </w:t>
      </w:r>
      <w:r>
        <w:rPr>
          <w:rFonts w:ascii="Times New Roman" w:hAnsi="Times New Roman" w:cs="Times New Roman"/>
          <w:i/>
          <w:iCs/>
          <w:sz w:val="22"/>
        </w:rPr>
        <w:t>Enforcement Rules of the Shanghai Futures Exchange</w:t>
      </w:r>
      <w:r>
        <w:rPr>
          <w:rFonts w:ascii="Times New Roman" w:hAnsi="Times New Roman" w:cs="Times New Roman"/>
          <w:sz w:val="22"/>
        </w:rPr>
        <w:t>.</w:t>
      </w:r>
    </w:p>
    <w:p>
      <w:pPr>
        <w:tabs>
          <w:tab w:val="left" w:pos="1204"/>
        </w:tabs>
        <w:adjustRightInd w:val="0"/>
        <w:snapToGrid w:val="0"/>
        <w:spacing w:after="240" w:afterLines="100" w:line="259" w:lineRule="auto"/>
        <w:jc w:val="left"/>
        <w:rPr>
          <w:rFonts w:ascii="Times New Roman" w:hAnsi="Times New Roman"/>
          <w:kern w:val="0"/>
          <w:sz w:val="22"/>
        </w:rPr>
      </w:pPr>
      <w:r>
        <w:rPr>
          <w:rFonts w:ascii="Times New Roman" w:hAnsi="Times New Roman" w:cs="Times New Roman"/>
          <w:b/>
          <w:sz w:val="22"/>
        </w:rPr>
        <w:t>Sixth, other wording adjustments are made.</w:t>
      </w:r>
      <w:r>
        <w:rPr>
          <w:rFonts w:ascii="Times New Roman" w:hAnsi="Times New Roman" w:cs="Times New Roman"/>
          <w:sz w:val="22"/>
        </w:rPr>
        <w:t xml:space="preserve"> These include adjusting the full name and abbreviation of China Futures Market Monitoring Center Co., Ltd.</w:t>
      </w:r>
      <w:r>
        <w:rPr>
          <w:rFonts w:hint="eastAsia" w:ascii="Times New Roman" w:hAnsi="Times New Roman" w:cs="Times New Roman"/>
          <w:sz w:val="22"/>
        </w:rPr>
        <w:t xml:space="preserve"> (in Chinese)</w:t>
      </w:r>
      <w:r>
        <w:rPr>
          <w:rFonts w:ascii="Times New Roman" w:hAnsi="Times New Roman" w:cs="Times New Roman"/>
          <w:sz w:val="22"/>
        </w:rPr>
        <w:t>, and maintaining consistent ordering of “Non-FF Members, OSNBPs, and Clients” across all provisions.</w:t>
      </w:r>
      <w:bookmarkStart w:id="1" w:name="_GoBack"/>
      <w:bookmarkEnd w:id="1"/>
    </w:p>
    <w:p>
      <w:pPr>
        <w:widowControl/>
        <w:snapToGrid w:val="0"/>
        <w:spacing w:line="256" w:lineRule="auto"/>
        <w:jc w:val="both"/>
        <w:rPr>
          <w:rFonts w:ascii="Times New Roman" w:hAnsi="Times New Roman" w:eastAsia="方正大标宋简体" w:cs="Times New Roman"/>
          <w:b/>
          <w:bCs/>
          <w:sz w:val="30"/>
          <w:szCs w:val="30"/>
        </w:rPr>
      </w:pPr>
    </w:p>
    <w:p>
      <w:pPr>
        <w:rPr>
          <w:rFonts w:hint="eastAsia"/>
          <w:lang w:eastAsia="en-US"/>
        </w:rPr>
      </w:pPr>
      <w:bookmarkStart w:id="0" w:name="_Hlk200917508"/>
    </w:p>
    <w:bookmarkEnd w:id="0"/>
    <w:p>
      <w:pPr>
        <w:adjustRightInd w:val="0"/>
        <w:snapToGrid w:val="0"/>
        <w:spacing w:line="360" w:lineRule="auto"/>
        <w:ind w:firstLine="600" w:firstLineChars="200"/>
        <w:jc w:val="center"/>
        <w:rPr>
          <w:rFonts w:ascii="Times New Roman" w:hAnsi="Times New Roman" w:cs="Times New Roman"/>
          <w:sz w:val="30"/>
          <w:szCs w:val="30"/>
        </w:rPr>
      </w:pPr>
    </w:p>
    <w:sectPr>
      <w:headerReference r:id="rId3" w:type="default"/>
      <w:footerReference r:id="rId4" w:type="default"/>
      <w:pgSz w:w="11906" w:h="16838"/>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等线">
    <w:altName w:val="宋体"/>
    <w:panose1 w:val="02010600030101010101"/>
    <w:charset w:val="86"/>
    <w:family w:val="auto"/>
    <w:pitch w:val="default"/>
    <w:sig w:usb0="00000000" w:usb1="00000000" w:usb2="00000016" w:usb3="00000000" w:csb0="0004000F" w:csb1="00000000"/>
  </w:font>
  <w:font w:name="等线">
    <w:altName w:val="华文中宋"/>
    <w:panose1 w:val="00000000000000000000"/>
    <w:charset w:val="86"/>
    <w:family w:val="auto"/>
    <w:pitch w:val="default"/>
    <w:sig w:usb0="00000000" w:usb1="00000000" w:usb2="00000000" w:usb3="00000000" w:csb0="00000000" w:csb1="00000000"/>
  </w:font>
  <w:font w:name="等线">
    <w:altName w:val="华文中宋"/>
    <w:panose1 w:val="00000000000000000000"/>
    <w:charset w:val="00"/>
    <w:family w:val="auto"/>
    <w:pitch w:val="default"/>
    <w:sig w:usb0="00000000" w:usb1="00000000" w:usb2="00000000" w:usb3="00000000" w:csb0="00000000" w:csb1="00000000"/>
  </w:font>
  <w:font w:name="方正大标宋简体">
    <w:panose1 w:val="02000000000000000000"/>
    <w:charset w:val="86"/>
    <w:family w:val="script"/>
    <w:pitch w:val="default"/>
    <w:sig w:usb0="00000001" w:usb1="08000000" w:usb2="00000000" w:usb3="00000000" w:csb0="00040000" w:csb1="00000000"/>
  </w:font>
  <w:font w:name="方正仿宋简体">
    <w:panose1 w:val="02000000000000000000"/>
    <w:charset w:val="86"/>
    <w:family w:val="script"/>
    <w:pitch w:val="default"/>
    <w:sig w:usb0="00000001" w:usb1="08000000" w:usb2="00000000" w:usb3="00000000" w:csb0="00040000" w:csb1="00000000"/>
  </w:font>
  <w:font w:name="仿宋_GB2312">
    <w:altName w:val="宋体"/>
    <w:panose1 w:val="00000000000000000000"/>
    <w:charset w:val="00"/>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8</w:t>
    </w:r>
    <w:r>
      <w:rPr>
        <w:rFonts w:ascii="Times New Roman" w:hAnsi="Times New Roman"/>
      </w:rP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jc w:val="right"/>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CF7"/>
    <w:rsid w:val="0001654C"/>
    <w:rsid w:val="000C0551"/>
    <w:rsid w:val="000F2A34"/>
    <w:rsid w:val="001E3CAD"/>
    <w:rsid w:val="002F0CE6"/>
    <w:rsid w:val="002F2499"/>
    <w:rsid w:val="002F29CF"/>
    <w:rsid w:val="00311F46"/>
    <w:rsid w:val="003632E1"/>
    <w:rsid w:val="00377192"/>
    <w:rsid w:val="003C0D85"/>
    <w:rsid w:val="003F50E5"/>
    <w:rsid w:val="004D43AB"/>
    <w:rsid w:val="00515DFE"/>
    <w:rsid w:val="00566D2D"/>
    <w:rsid w:val="005B79D5"/>
    <w:rsid w:val="00624EF3"/>
    <w:rsid w:val="006A6737"/>
    <w:rsid w:val="00764CF7"/>
    <w:rsid w:val="0077306E"/>
    <w:rsid w:val="00785667"/>
    <w:rsid w:val="007A4F4F"/>
    <w:rsid w:val="0082689C"/>
    <w:rsid w:val="008370DC"/>
    <w:rsid w:val="00857215"/>
    <w:rsid w:val="0086407D"/>
    <w:rsid w:val="00884DAF"/>
    <w:rsid w:val="00894BF3"/>
    <w:rsid w:val="008D658A"/>
    <w:rsid w:val="00931510"/>
    <w:rsid w:val="00991787"/>
    <w:rsid w:val="009C63D4"/>
    <w:rsid w:val="00AF1373"/>
    <w:rsid w:val="00B11779"/>
    <w:rsid w:val="00B247E4"/>
    <w:rsid w:val="00B45C2E"/>
    <w:rsid w:val="00C00DD9"/>
    <w:rsid w:val="00C43169"/>
    <w:rsid w:val="00C85448"/>
    <w:rsid w:val="00C91136"/>
    <w:rsid w:val="00CE02C2"/>
    <w:rsid w:val="00D845C3"/>
    <w:rsid w:val="00DE2479"/>
    <w:rsid w:val="00E60AD6"/>
    <w:rsid w:val="00F21C76"/>
    <w:rsid w:val="3BAB4D2C"/>
    <w:rsid w:val="5B3AF751"/>
    <w:rsid w:val="5BF76065"/>
    <w:rsid w:val="5DDDB041"/>
    <w:rsid w:val="66FE8C81"/>
    <w:rsid w:val="6AECBA31"/>
    <w:rsid w:val="6BCFFCCB"/>
    <w:rsid w:val="6BFB2319"/>
    <w:rsid w:val="6EFA4F44"/>
    <w:rsid w:val="74F6A554"/>
    <w:rsid w:val="77DEF862"/>
    <w:rsid w:val="7963CC92"/>
    <w:rsid w:val="7AE7D150"/>
    <w:rsid w:val="7B775448"/>
    <w:rsid w:val="7F3967BF"/>
    <w:rsid w:val="7FEB6C75"/>
    <w:rsid w:val="7FFF1BE8"/>
    <w:rsid w:val="9797DA8E"/>
    <w:rsid w:val="9EDF441F"/>
    <w:rsid w:val="9FB7806D"/>
    <w:rsid w:val="ABF0DA35"/>
    <w:rsid w:val="B3FF5AA7"/>
    <w:rsid w:val="B4DAC7AF"/>
    <w:rsid w:val="BEBBD3B9"/>
    <w:rsid w:val="CBDE33E5"/>
    <w:rsid w:val="CDCE85BC"/>
    <w:rsid w:val="CFBD43A4"/>
    <w:rsid w:val="E79FF501"/>
    <w:rsid w:val="EAABE560"/>
    <w:rsid w:val="F7FBF157"/>
    <w:rsid w:val="FBFB2389"/>
    <w:rsid w:val="FCA75FA2"/>
    <w:rsid w:val="FEF75180"/>
    <w:rsid w:val="FFBB7BF2"/>
    <w:rsid w:val="FFCA8D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adjustRightInd w:val="0"/>
      <w:snapToGrid w:val="0"/>
      <w:spacing w:after="120" w:afterLines="50" w:line="259" w:lineRule="auto"/>
      <w:jc w:val="center"/>
      <w:outlineLvl w:val="0"/>
    </w:pPr>
    <w:rPr>
      <w:rFonts w:ascii="Times New Roman" w:hAnsi="Times New Roman"/>
      <w:b/>
      <w:bCs/>
      <w:kern w:val="0"/>
      <w:sz w:val="28"/>
      <w:szCs w:val="28"/>
    </w:rPr>
  </w:style>
  <w:style w:type="paragraph" w:styleId="3">
    <w:name w:val="heading 2"/>
    <w:basedOn w:val="1"/>
    <w:next w:val="1"/>
    <w:unhideWhenUsed/>
    <w:qFormat/>
    <w:uiPriority w:val="9"/>
    <w:pPr>
      <w:widowControl/>
      <w:tabs>
        <w:tab w:val="left" w:pos="1560"/>
      </w:tabs>
      <w:adjustRightInd w:val="0"/>
      <w:snapToGrid w:val="0"/>
      <w:spacing w:after="240" w:afterLines="100" w:line="259" w:lineRule="auto"/>
      <w:jc w:val="center"/>
      <w:outlineLvl w:val="1"/>
    </w:pPr>
    <w:rPr>
      <w:rFonts w:ascii="Times New Roman" w:hAnsi="Times New Roman"/>
      <w:b/>
      <w:sz w:val="24"/>
      <w:szCs w:val="2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10"/>
    <w:semiHidden/>
    <w:unhideWhenUsed/>
    <w:qFormat/>
    <w:uiPriority w:val="99"/>
    <w:pPr>
      <w:ind w:left="100" w:leftChars="2500"/>
    </w:pPr>
  </w:style>
  <w:style w:type="paragraph" w:styleId="5">
    <w:name w:val="footer"/>
    <w:basedOn w:val="1"/>
    <w:link w:val="14"/>
    <w:unhideWhenUsed/>
    <w:qFormat/>
    <w:uiPriority w:val="99"/>
    <w:pPr>
      <w:tabs>
        <w:tab w:val="center" w:pos="4153"/>
        <w:tab w:val="right" w:pos="8306"/>
      </w:tabs>
      <w:snapToGrid w:val="0"/>
      <w:jc w:val="left"/>
    </w:pPr>
    <w:rPr>
      <w:rFonts w:ascii="Calibri" w:hAnsi="Calibri" w:eastAsia="宋体" w:cs="Times New Roman"/>
      <w:sz w:val="18"/>
      <w:szCs w:val="18"/>
      <w:lang w:val="zh-CN"/>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lang w:val="zh-CN"/>
    </w:rPr>
  </w:style>
  <w:style w:type="table" w:styleId="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customStyle="1" w:styleId="10">
    <w:name w:val="日期 字符"/>
    <w:basedOn w:val="9"/>
    <w:link w:val="4"/>
    <w:semiHidden/>
    <w:qFormat/>
    <w:uiPriority w:val="99"/>
  </w:style>
  <w:style w:type="character" w:customStyle="1" w:styleId="11">
    <w:name w:val="页眉 字符"/>
    <w:basedOn w:val="9"/>
    <w:semiHidden/>
    <w:qFormat/>
    <w:uiPriority w:val="99"/>
    <w:rPr>
      <w:sz w:val="18"/>
      <w:szCs w:val="18"/>
    </w:rPr>
  </w:style>
  <w:style w:type="character" w:customStyle="1" w:styleId="12">
    <w:name w:val="页眉 字符1"/>
    <w:link w:val="6"/>
    <w:qFormat/>
    <w:uiPriority w:val="99"/>
    <w:rPr>
      <w:rFonts w:ascii="Calibri" w:hAnsi="Calibri" w:eastAsia="宋体" w:cs="Times New Roman"/>
      <w:sz w:val="18"/>
      <w:szCs w:val="18"/>
      <w:lang w:val="zh-CN" w:eastAsia="zh-CN"/>
    </w:rPr>
  </w:style>
  <w:style w:type="character" w:customStyle="1" w:styleId="13">
    <w:name w:val="页脚 字符"/>
    <w:basedOn w:val="9"/>
    <w:semiHidden/>
    <w:qFormat/>
    <w:uiPriority w:val="99"/>
    <w:rPr>
      <w:sz w:val="18"/>
      <w:szCs w:val="18"/>
    </w:rPr>
  </w:style>
  <w:style w:type="character" w:customStyle="1" w:styleId="14">
    <w:name w:val="页脚 字符1"/>
    <w:link w:val="5"/>
    <w:qFormat/>
    <w:uiPriority w:val="99"/>
    <w:rPr>
      <w:rFonts w:ascii="Calibri" w:hAnsi="Calibri" w:eastAsia="宋体" w:cs="Times New Roman"/>
      <w:sz w:val="18"/>
      <w:szCs w:val="18"/>
      <w:lang w:val="zh-CN"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693AF746-068E-459D-A47F-C24573466787}">
  <ds:schemaRefs/>
</ds:datastoreItem>
</file>

<file path=docProps/app.xml><?xml version="1.0" encoding="utf-8"?>
<Properties xmlns="http://schemas.openxmlformats.org/officeDocument/2006/extended-properties" xmlns:vt="http://schemas.openxmlformats.org/officeDocument/2006/docPropsVTypes">
  <Template>Normal</Template>
  <Pages>4</Pages>
  <Words>267</Words>
  <Characters>1526</Characters>
  <Lines>12</Lines>
  <Paragraphs>3</Paragraphs>
  <TotalTime>0</TotalTime>
  <ScaleCrop>false</ScaleCrop>
  <LinksUpToDate>false</LinksUpToDate>
  <CharactersWithSpaces>1790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2024-05-13T03:23:00Z</dcterms:created>
  <dc:creator>孙欣鹏</dc:creator>
  <cp:lastModifiedBy>wang.bihui</cp:lastModifiedBy>
  <dcterms:modified xsi:type="dcterms:W3CDTF">2026-09-16T15:25:02Z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CAEE209BECF8DDA51002886A8DAEC85C</vt:lpwstr>
  </property>
</Properties>
</file>