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40" w:lineRule="exact"/>
        <w:rPr>
          <w:rFonts w:ascii="Times New Roman" w:hAnsi="Times New Roman" w:eastAsia="方正仿宋简体" w:cs="Times New Roman"/>
          <w:b/>
          <w:bCs/>
          <w:color w:val="000000" w:themeColor="text1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eastAsia="方正仿宋简体" w:cs="Times New Roman"/>
          <w:b/>
          <w:bCs/>
          <w:color w:val="000000" w:themeColor="text1"/>
          <w:sz w:val="24"/>
          <w:szCs w:val="24"/>
        </w:rPr>
        <w:t>Attachment:</w:t>
      </w:r>
    </w:p>
    <w:p>
      <w:pPr>
        <w:spacing w:line="640" w:lineRule="exact"/>
        <w:rPr>
          <w:rFonts w:ascii="Times New Roman" w:hAnsi="Times New Roman" w:eastAsia="方正仿宋简体" w:cs="Times New Roman"/>
          <w:color w:val="000000" w:themeColor="text1"/>
          <w:sz w:val="24"/>
          <w:szCs w:val="24"/>
        </w:rPr>
      </w:pPr>
    </w:p>
    <w:p>
      <w:pPr>
        <w:jc w:val="center"/>
        <w:rPr>
          <w:rFonts w:ascii="Times New Roman" w:hAnsi="Times New Roman" w:eastAsia="方正仿宋简体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eastAsia="方正仿宋简体" w:cs="Times New Roman"/>
          <w:b/>
          <w:bCs/>
          <w:color w:val="000000" w:themeColor="text1"/>
          <w:sz w:val="28"/>
          <w:szCs w:val="28"/>
        </w:rPr>
        <w:t>Designated Depository Banks of Shanghai Futures Exchange</w:t>
      </w:r>
    </w:p>
    <w:p/>
    <w:tbl>
      <w:tblPr>
        <w:tblStyle w:val="17"/>
        <w:tblW w:w="5705" w:type="pct"/>
        <w:jc w:val="center"/>
        <w:tblCellSpacing w:w="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D2D2D2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89"/>
        <w:gridCol w:w="2102"/>
        <w:gridCol w:w="2065"/>
        <w:gridCol w:w="1313"/>
        <w:gridCol w:w="1313"/>
        <w:gridCol w:w="1319"/>
        <w:gridCol w:w="13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tblHeader/>
          <w:tblCellSpacing w:w="7" w:type="dxa"/>
          <w:jc w:val="center"/>
        </w:trPr>
        <w:tc>
          <w:tcPr>
            <w:tcW w:w="464" w:type="pct"/>
            <w:shd w:val="clear" w:color="auto" w:fill="E7E6E6" w:themeFill="background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Arial Unicode MS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Arial Unicode MS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Bank Name</w:t>
            </w:r>
          </w:p>
        </w:tc>
        <w:tc>
          <w:tcPr>
            <w:tcW w:w="1001" w:type="pct"/>
            <w:shd w:val="clear" w:color="auto" w:fill="E7E6E6" w:themeFill="background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Arial Unicode MS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Arial Unicode MS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Designated Branch</w:t>
            </w:r>
          </w:p>
        </w:tc>
        <w:tc>
          <w:tcPr>
            <w:tcW w:w="984" w:type="pct"/>
            <w:shd w:val="clear" w:color="auto" w:fill="E7E6E6" w:themeFill="background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Arial Unicode MS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Arial Unicode MS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Address</w:t>
            </w:r>
          </w:p>
        </w:tc>
        <w:tc>
          <w:tcPr>
            <w:tcW w:w="623" w:type="pct"/>
            <w:shd w:val="clear" w:color="auto" w:fill="E7E6E6" w:themeFill="background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Arial Unicode MS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Arial Unicode MS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Tel</w:t>
            </w:r>
          </w:p>
          <w:p>
            <w:pPr>
              <w:widowControl/>
              <w:spacing w:line="360" w:lineRule="exact"/>
              <w:jc w:val="center"/>
              <w:rPr>
                <w:rFonts w:ascii="Times New Roman" w:hAnsi="Times New Roman" w:eastAsia="Arial Unicode MS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Arial Unicode MS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(+86 21)</w:t>
            </w:r>
          </w:p>
        </w:tc>
        <w:tc>
          <w:tcPr>
            <w:tcW w:w="623" w:type="pct"/>
            <w:shd w:val="clear" w:color="auto" w:fill="E7E6E6" w:themeFill="background2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Arial Unicode MS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Arial Unicode MS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For Domestic Clients (incl. QFI)</w:t>
            </w:r>
          </w:p>
        </w:tc>
        <w:tc>
          <w:tcPr>
            <w:tcW w:w="626" w:type="pct"/>
            <w:shd w:val="clear" w:color="auto" w:fill="E7E6E6" w:themeFill="background2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Arial Unicode MS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Arial Unicode MS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 xml:space="preserve">For Overseas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C</w:t>
            </w:r>
            <w:r>
              <w:rPr>
                <w:rFonts w:hint="eastAsia" w:ascii="Times New Roman" w:hAnsi="Times New Roman" w:eastAsia="Arial Unicode MS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lients</w:t>
            </w:r>
          </w:p>
        </w:tc>
        <w:tc>
          <w:tcPr>
            <w:tcW w:w="623" w:type="pct"/>
            <w:shd w:val="clear" w:color="auto" w:fill="E7E6E6" w:themeFill="background2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Arial Unicode MS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Arial Unicode MS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For QFI only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D2D2D2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7" w:type="dxa"/>
          <w:jc w:val="center"/>
        </w:trPr>
        <w:tc>
          <w:tcPr>
            <w:tcW w:w="464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Arial Unicode MS" w:cs="Times New Roman"/>
                <w:b/>
                <w:bCs/>
                <w:color w:val="000000" w:themeColor="text1"/>
                <w:kern w:val="0"/>
                <w:szCs w:val="21"/>
              </w:rPr>
              <w:t>ICBC</w:t>
            </w:r>
          </w:p>
        </w:tc>
        <w:tc>
          <w:tcPr>
            <w:tcW w:w="1001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  <w:t>ICBC Shanghai Futures Tower Branch</w:t>
            </w:r>
          </w:p>
        </w:tc>
        <w:tc>
          <w:tcPr>
            <w:tcW w:w="984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</w:pPr>
            <w:r>
              <w:rPr>
                <w:rFonts w:hint="eastAsia" w:ascii="Times New Roman" w:hAnsi="Times New Roman" w:eastAsia="Arial Unicode MS" w:cs="Times New Roman"/>
                <w:color w:val="000000" w:themeColor="text1"/>
                <w:kern w:val="0"/>
                <w:szCs w:val="21"/>
              </w:rPr>
              <w:t>F1, 300 Songlin Road, Pudong,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Cs w:val="21"/>
              </w:rPr>
              <w:t xml:space="preserve"> </w:t>
            </w:r>
            <w:r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  <w:t>Shanghai</w:t>
            </w:r>
          </w:p>
        </w:tc>
        <w:tc>
          <w:tcPr>
            <w:tcW w:w="623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  <w:t>68401031</w:t>
            </w:r>
          </w:p>
        </w:tc>
        <w:tc>
          <w:tcPr>
            <w:tcW w:w="623" w:type="pct"/>
            <w:shd w:val="clear" w:color="auto" w:fill="FFFFFF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华文细黑" w:cs="Times New Roman"/>
                <w:color w:val="000000" w:themeColor="text1"/>
                <w:kern w:val="0"/>
                <w:sz w:val="32"/>
                <w:szCs w:val="32"/>
              </w:rPr>
              <w:t>√</w:t>
            </w:r>
          </w:p>
        </w:tc>
        <w:tc>
          <w:tcPr>
            <w:tcW w:w="626" w:type="pct"/>
            <w:shd w:val="clear" w:color="auto" w:fill="FFFFFF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华文细黑" w:cs="Times New Roman"/>
                <w:color w:val="000000" w:themeColor="text1"/>
                <w:kern w:val="0"/>
                <w:sz w:val="32"/>
                <w:szCs w:val="32"/>
              </w:rPr>
              <w:t>√</w:t>
            </w:r>
          </w:p>
        </w:tc>
        <w:tc>
          <w:tcPr>
            <w:tcW w:w="623" w:type="pct"/>
            <w:shd w:val="clear" w:color="auto" w:fill="FFFFFF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D2D2D2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7" w:type="dxa"/>
          <w:jc w:val="center"/>
        </w:trPr>
        <w:tc>
          <w:tcPr>
            <w:tcW w:w="464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Arial Unicode MS" w:cs="Times New Roman"/>
                <w:b/>
                <w:bCs/>
                <w:color w:val="000000" w:themeColor="text1"/>
                <w:kern w:val="0"/>
                <w:szCs w:val="21"/>
              </w:rPr>
              <w:t>ABC</w:t>
            </w:r>
          </w:p>
        </w:tc>
        <w:tc>
          <w:tcPr>
            <w:tcW w:w="1001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  <w:t>ABC Shanghai Futures Tower Sub-branch</w:t>
            </w:r>
          </w:p>
        </w:tc>
        <w:tc>
          <w:tcPr>
            <w:tcW w:w="984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  <w:t>F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Cs w:val="21"/>
              </w:rPr>
              <w:t>1</w:t>
            </w:r>
            <w:r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  <w:t>, 300 Song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Cs w:val="21"/>
              </w:rPr>
              <w:t>l</w:t>
            </w:r>
            <w:r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  <w:t>in Road Pudong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Cs w:val="21"/>
              </w:rPr>
              <w:t xml:space="preserve">, </w:t>
            </w:r>
            <w:r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  <w:t>Shanghai</w:t>
            </w:r>
          </w:p>
        </w:tc>
        <w:tc>
          <w:tcPr>
            <w:tcW w:w="623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  <w:t>68400986</w:t>
            </w:r>
          </w:p>
        </w:tc>
        <w:tc>
          <w:tcPr>
            <w:tcW w:w="623" w:type="pct"/>
            <w:shd w:val="clear" w:color="auto" w:fill="FFFFFF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华文细黑" w:cs="Times New Roman"/>
                <w:color w:val="000000" w:themeColor="text1"/>
                <w:kern w:val="0"/>
                <w:sz w:val="32"/>
                <w:szCs w:val="32"/>
              </w:rPr>
              <w:t>√</w:t>
            </w:r>
          </w:p>
        </w:tc>
        <w:tc>
          <w:tcPr>
            <w:tcW w:w="626" w:type="pct"/>
            <w:shd w:val="clear" w:color="auto" w:fill="FFFFFF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华文细黑" w:cs="Times New Roman"/>
                <w:color w:val="000000" w:themeColor="text1"/>
                <w:kern w:val="0"/>
                <w:sz w:val="32"/>
                <w:szCs w:val="32"/>
              </w:rPr>
              <w:t>√</w:t>
            </w:r>
          </w:p>
        </w:tc>
        <w:tc>
          <w:tcPr>
            <w:tcW w:w="623" w:type="pct"/>
            <w:shd w:val="clear" w:color="auto" w:fill="FFFFFF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D2D2D2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7" w:type="dxa"/>
          <w:jc w:val="center"/>
        </w:trPr>
        <w:tc>
          <w:tcPr>
            <w:tcW w:w="464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Arial Unicode MS" w:cs="Times New Roman"/>
                <w:b/>
                <w:bCs/>
                <w:color w:val="000000" w:themeColor="text1"/>
                <w:kern w:val="0"/>
                <w:szCs w:val="21"/>
              </w:rPr>
              <w:t>BOC</w:t>
            </w:r>
          </w:p>
        </w:tc>
        <w:tc>
          <w:tcPr>
            <w:tcW w:w="1001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  <w:t>BOC Shanghai Futures Tower Branch</w:t>
            </w:r>
          </w:p>
        </w:tc>
        <w:tc>
          <w:tcPr>
            <w:tcW w:w="984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  <w:t>F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Cs w:val="21"/>
              </w:rPr>
              <w:t>2</w:t>
            </w:r>
            <w:r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  <w:t xml:space="preserve">, </w:t>
            </w:r>
            <w:r>
              <w:rPr>
                <w:rFonts w:hint="eastAsia" w:ascii="Times New Roman" w:hAnsi="Times New Roman" w:eastAsia="Arial Unicode MS" w:cs="Times New Roman"/>
                <w:color w:val="000000" w:themeColor="text1"/>
                <w:kern w:val="0"/>
                <w:szCs w:val="21"/>
              </w:rPr>
              <w:t xml:space="preserve">300 Songlin Road, Pudong, </w:t>
            </w:r>
            <w:r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  <w:t>Shanghai</w:t>
            </w:r>
          </w:p>
        </w:tc>
        <w:tc>
          <w:tcPr>
            <w:tcW w:w="623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  <w:t>68402759</w:t>
            </w:r>
          </w:p>
          <w:p>
            <w:pPr>
              <w:widowControl/>
              <w:spacing w:line="360" w:lineRule="exact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Cs w:val="21"/>
              </w:rPr>
              <w:t>68402756</w:t>
            </w:r>
          </w:p>
        </w:tc>
        <w:tc>
          <w:tcPr>
            <w:tcW w:w="623" w:type="pct"/>
            <w:shd w:val="clear" w:color="auto" w:fill="FFFFFF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华文细黑" w:cs="Times New Roman"/>
                <w:color w:val="000000" w:themeColor="text1"/>
                <w:kern w:val="0"/>
                <w:sz w:val="32"/>
                <w:szCs w:val="32"/>
              </w:rPr>
              <w:t>√</w:t>
            </w:r>
          </w:p>
        </w:tc>
        <w:tc>
          <w:tcPr>
            <w:tcW w:w="626" w:type="pct"/>
            <w:shd w:val="clear" w:color="auto" w:fill="FFFFFF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华文细黑" w:cs="Times New Roman"/>
                <w:color w:val="000000" w:themeColor="text1"/>
                <w:kern w:val="0"/>
                <w:sz w:val="32"/>
                <w:szCs w:val="32"/>
              </w:rPr>
              <w:t>√</w:t>
            </w:r>
          </w:p>
        </w:tc>
        <w:tc>
          <w:tcPr>
            <w:tcW w:w="623" w:type="pct"/>
            <w:shd w:val="clear" w:color="auto" w:fill="FFFFFF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D2D2D2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7" w:type="dxa"/>
          <w:jc w:val="center"/>
        </w:trPr>
        <w:tc>
          <w:tcPr>
            <w:tcW w:w="464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Arial Unicode MS" w:cs="Times New Roman"/>
                <w:b/>
                <w:bCs/>
                <w:color w:val="000000" w:themeColor="text1"/>
                <w:kern w:val="0"/>
                <w:szCs w:val="21"/>
              </w:rPr>
              <w:t>CCB</w:t>
            </w:r>
          </w:p>
        </w:tc>
        <w:tc>
          <w:tcPr>
            <w:tcW w:w="1001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  <w:t xml:space="preserve">CCB Shanghai Futures </w:t>
            </w:r>
            <w:r>
              <w:rPr>
                <w:rFonts w:hint="eastAsia" w:ascii="Times New Roman" w:hAnsi="Times New Roman" w:eastAsia="Arial Unicode MS" w:cs="Times New Roman"/>
                <w:color w:val="000000" w:themeColor="text1"/>
                <w:kern w:val="0"/>
                <w:szCs w:val="21"/>
              </w:rPr>
              <w:t xml:space="preserve">Tower </w:t>
            </w:r>
            <w:r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  <w:t>Sub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Cs w:val="21"/>
              </w:rPr>
              <w:t>-</w:t>
            </w:r>
            <w:r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  <w:t>branch</w:t>
            </w:r>
          </w:p>
        </w:tc>
        <w:tc>
          <w:tcPr>
            <w:tcW w:w="984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  <w:t>F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Cs w:val="21"/>
              </w:rPr>
              <w:t>1</w:t>
            </w:r>
            <w:r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  <w:t xml:space="preserve">, 500 Pudian Road, </w:t>
            </w:r>
            <w:r>
              <w:rPr>
                <w:rFonts w:hint="eastAsia" w:ascii="Times New Roman" w:hAnsi="Times New Roman" w:eastAsia="Arial Unicode MS" w:cs="Times New Roman"/>
                <w:color w:val="000000" w:themeColor="text1"/>
                <w:kern w:val="0"/>
                <w:szCs w:val="21"/>
              </w:rPr>
              <w:t>Pudong,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Cs w:val="21"/>
              </w:rPr>
              <w:t xml:space="preserve"> </w:t>
            </w:r>
            <w:r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  <w:t>Shanghai</w:t>
            </w:r>
          </w:p>
        </w:tc>
        <w:tc>
          <w:tcPr>
            <w:tcW w:w="623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  <w:t>68401042</w:t>
            </w:r>
          </w:p>
        </w:tc>
        <w:tc>
          <w:tcPr>
            <w:tcW w:w="623" w:type="pct"/>
            <w:shd w:val="clear" w:color="auto" w:fill="FFFFFF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华文细黑" w:cs="Times New Roman"/>
                <w:color w:val="000000" w:themeColor="text1"/>
                <w:kern w:val="0"/>
                <w:sz w:val="32"/>
                <w:szCs w:val="32"/>
              </w:rPr>
              <w:t>√</w:t>
            </w:r>
          </w:p>
        </w:tc>
        <w:tc>
          <w:tcPr>
            <w:tcW w:w="626" w:type="pct"/>
            <w:shd w:val="clear" w:color="auto" w:fill="FFFFFF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华文细黑" w:cs="Times New Roman"/>
                <w:color w:val="000000" w:themeColor="text1"/>
                <w:kern w:val="0"/>
                <w:sz w:val="32"/>
                <w:szCs w:val="32"/>
              </w:rPr>
              <w:t>√</w:t>
            </w:r>
          </w:p>
        </w:tc>
        <w:tc>
          <w:tcPr>
            <w:tcW w:w="623" w:type="pct"/>
            <w:shd w:val="clear" w:color="auto" w:fill="FFFFFF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D2D2D2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7" w:type="dxa"/>
          <w:jc w:val="center"/>
        </w:trPr>
        <w:tc>
          <w:tcPr>
            <w:tcW w:w="464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Arial Unicode MS" w:cs="Times New Roman"/>
                <w:b/>
                <w:bCs/>
                <w:color w:val="000000" w:themeColor="text1"/>
                <w:kern w:val="0"/>
                <w:szCs w:val="21"/>
              </w:rPr>
              <w:t>BOCOM</w:t>
            </w:r>
          </w:p>
        </w:tc>
        <w:tc>
          <w:tcPr>
            <w:tcW w:w="1001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  <w:t>B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Cs w:val="21"/>
              </w:rPr>
              <w:t>O</w:t>
            </w:r>
            <w:r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  <w:t>C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Cs w:val="21"/>
              </w:rPr>
              <w:t>OM</w:t>
            </w:r>
            <w:r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  <w:t xml:space="preserve"> Shanghai Futures Tower Branch</w:t>
            </w:r>
          </w:p>
        </w:tc>
        <w:tc>
          <w:tcPr>
            <w:tcW w:w="984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  <w:t xml:space="preserve">500 Pudian Road, </w:t>
            </w:r>
            <w:r>
              <w:rPr>
                <w:rFonts w:hint="eastAsia" w:ascii="Times New Roman" w:hAnsi="Times New Roman" w:eastAsia="Arial Unicode MS" w:cs="Times New Roman"/>
                <w:color w:val="000000" w:themeColor="text1"/>
                <w:kern w:val="0"/>
                <w:szCs w:val="21"/>
              </w:rPr>
              <w:t>Pudong,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Cs w:val="21"/>
              </w:rPr>
              <w:t xml:space="preserve"> </w:t>
            </w:r>
            <w:r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  <w:t>Shanghai</w:t>
            </w:r>
          </w:p>
        </w:tc>
        <w:tc>
          <w:tcPr>
            <w:tcW w:w="623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  <w:t>68401029</w:t>
            </w:r>
          </w:p>
        </w:tc>
        <w:tc>
          <w:tcPr>
            <w:tcW w:w="623" w:type="pct"/>
            <w:shd w:val="clear" w:color="auto" w:fill="FFFFFF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华文细黑" w:cs="Times New Roman"/>
                <w:color w:val="000000" w:themeColor="text1"/>
                <w:kern w:val="0"/>
                <w:sz w:val="32"/>
                <w:szCs w:val="32"/>
              </w:rPr>
              <w:t>√</w:t>
            </w:r>
          </w:p>
        </w:tc>
        <w:tc>
          <w:tcPr>
            <w:tcW w:w="626" w:type="pct"/>
            <w:shd w:val="clear" w:color="auto" w:fill="FFFFFF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华文细黑" w:cs="Times New Roman"/>
                <w:color w:val="000000" w:themeColor="text1"/>
                <w:kern w:val="0"/>
                <w:sz w:val="32"/>
                <w:szCs w:val="32"/>
              </w:rPr>
              <w:t>√</w:t>
            </w:r>
          </w:p>
        </w:tc>
        <w:tc>
          <w:tcPr>
            <w:tcW w:w="623" w:type="pct"/>
            <w:shd w:val="clear" w:color="auto" w:fill="FFFFFF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D2D2D2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7" w:type="dxa"/>
          <w:jc w:val="center"/>
        </w:trPr>
        <w:tc>
          <w:tcPr>
            <w:tcW w:w="464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Arial Unicode MS" w:cs="Times New Roman"/>
                <w:b/>
                <w:bCs/>
                <w:color w:val="000000" w:themeColor="text1"/>
                <w:kern w:val="0"/>
                <w:szCs w:val="21"/>
              </w:rPr>
              <w:t>CMB</w:t>
            </w:r>
          </w:p>
        </w:tc>
        <w:tc>
          <w:tcPr>
            <w:tcW w:w="1001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  <w:t>China Merchant Bank Co., Ltd. Century Avenue Branch</w:t>
            </w:r>
          </w:p>
        </w:tc>
        <w:tc>
          <w:tcPr>
            <w:tcW w:w="984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  <w:t>1st floor,</w:t>
            </w:r>
            <w:r>
              <w:rPr>
                <w:rFonts w:hint="eastAsia" w:ascii="Times New Roman" w:hAnsi="Times New Roman" w:eastAsia="Arial Unicode MS" w:cs="Times New Roman"/>
                <w:color w:val="000000" w:themeColor="text1"/>
                <w:kern w:val="0"/>
                <w:szCs w:val="21"/>
              </w:rPr>
              <w:t xml:space="preserve"> </w:t>
            </w:r>
            <w:r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  <w:t xml:space="preserve">Changtai </w:t>
            </w:r>
            <w:r>
              <w:rPr>
                <w:rFonts w:hint="eastAsia" w:ascii="Times New Roman" w:hAnsi="Times New Roman" w:eastAsia="Arial Unicode MS" w:cs="Times New Roman"/>
                <w:color w:val="000000" w:themeColor="text1"/>
                <w:kern w:val="0"/>
                <w:szCs w:val="21"/>
              </w:rPr>
              <w:t>I</w:t>
            </w:r>
            <w:r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  <w:t xml:space="preserve">nternational </w:t>
            </w:r>
            <w:r>
              <w:rPr>
                <w:rFonts w:hint="eastAsia" w:ascii="Times New Roman" w:hAnsi="Times New Roman" w:eastAsia="Arial Unicode MS" w:cs="Times New Roman"/>
                <w:color w:val="000000" w:themeColor="text1"/>
                <w:kern w:val="0"/>
                <w:szCs w:val="21"/>
              </w:rPr>
              <w:t>F</w:t>
            </w:r>
            <w:r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  <w:t xml:space="preserve">inance </w:t>
            </w:r>
            <w:r>
              <w:rPr>
                <w:rFonts w:hint="eastAsia" w:ascii="Times New Roman" w:hAnsi="Times New Roman" w:eastAsia="Arial Unicode MS" w:cs="Times New Roman"/>
                <w:color w:val="000000" w:themeColor="text1"/>
                <w:kern w:val="0"/>
                <w:szCs w:val="21"/>
              </w:rPr>
              <w:t>B</w:t>
            </w:r>
            <w:r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  <w:t>uilding,</w:t>
            </w:r>
            <w:r>
              <w:rPr>
                <w:rFonts w:hint="eastAsia" w:ascii="Times New Roman" w:hAnsi="Times New Roman" w:eastAsia="Arial Unicode MS" w:cs="Times New Roman"/>
                <w:color w:val="000000" w:themeColor="text1"/>
                <w:kern w:val="0"/>
                <w:szCs w:val="21"/>
              </w:rPr>
              <w:t xml:space="preserve"> </w:t>
            </w:r>
            <w:r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  <w:t>1589</w:t>
            </w:r>
            <w:r>
              <w:rPr>
                <w:rFonts w:hint="eastAsia" w:ascii="Times New Roman" w:hAnsi="Times New Roman" w:eastAsia="Arial Unicode MS" w:cs="Times New Roman"/>
                <w:color w:val="000000" w:themeColor="text1"/>
                <w:kern w:val="0"/>
                <w:szCs w:val="21"/>
              </w:rPr>
              <w:t xml:space="preserve"> </w:t>
            </w:r>
            <w:r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  <w:t>Century Avenue,</w:t>
            </w:r>
            <w:r>
              <w:rPr>
                <w:rFonts w:hint="eastAsia" w:ascii="Times New Roman" w:hAnsi="Times New Roman" w:eastAsia="Arial Unicode MS" w:cs="Times New Roman"/>
                <w:color w:val="000000" w:themeColor="text1"/>
                <w:kern w:val="0"/>
                <w:szCs w:val="21"/>
              </w:rPr>
              <w:t xml:space="preserve"> </w:t>
            </w:r>
            <w:r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  <w:t>Shang</w:t>
            </w:r>
            <w:r>
              <w:rPr>
                <w:rFonts w:hint="eastAsia" w:ascii="Times New Roman" w:hAnsi="Times New Roman" w:eastAsia="Arial Unicode MS" w:cs="Times New Roman"/>
                <w:color w:val="000000" w:themeColor="text1"/>
                <w:kern w:val="0"/>
                <w:szCs w:val="21"/>
              </w:rPr>
              <w:t>h</w:t>
            </w:r>
            <w:r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  <w:t>ai</w:t>
            </w:r>
          </w:p>
        </w:tc>
        <w:tc>
          <w:tcPr>
            <w:tcW w:w="623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  <w:t>58449005</w:t>
            </w:r>
          </w:p>
        </w:tc>
        <w:tc>
          <w:tcPr>
            <w:tcW w:w="623" w:type="pct"/>
            <w:shd w:val="clear" w:color="auto" w:fill="FFFFFF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华文细黑" w:cs="Times New Roman"/>
                <w:color w:val="000000" w:themeColor="text1"/>
                <w:kern w:val="0"/>
                <w:sz w:val="32"/>
                <w:szCs w:val="32"/>
              </w:rPr>
              <w:t>√</w:t>
            </w:r>
          </w:p>
        </w:tc>
        <w:tc>
          <w:tcPr>
            <w:tcW w:w="626" w:type="pct"/>
            <w:shd w:val="clear" w:color="auto" w:fill="FFFFFF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</w:pPr>
            <w:r>
              <w:rPr>
                <w:rFonts w:hint="eastAsia" w:ascii="华文细黑" w:hAnsi="华文细黑" w:eastAsia="华文细黑" w:cs="宋体"/>
                <w:color w:val="000000"/>
                <w:kern w:val="0"/>
                <w:sz w:val="26"/>
                <w:szCs w:val="26"/>
              </w:rPr>
              <w:t>—</w:t>
            </w:r>
          </w:p>
        </w:tc>
        <w:tc>
          <w:tcPr>
            <w:tcW w:w="623" w:type="pct"/>
            <w:shd w:val="clear" w:color="auto" w:fill="FFFFFF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D2D2D2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7" w:type="dxa"/>
          <w:jc w:val="center"/>
        </w:trPr>
        <w:tc>
          <w:tcPr>
            <w:tcW w:w="464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</w:pPr>
            <w:r>
              <w:rPr>
                <w:rFonts w:hint="eastAsia" w:ascii="Times New Roman" w:hAnsi="Times New Roman" w:eastAsia="Arial Unicode MS" w:cs="Times New Roman"/>
                <w:b/>
                <w:bCs/>
                <w:color w:val="000000" w:themeColor="text1"/>
                <w:kern w:val="0"/>
                <w:szCs w:val="21"/>
              </w:rPr>
              <w:t>CITIC</w:t>
            </w:r>
          </w:p>
        </w:tc>
        <w:tc>
          <w:tcPr>
            <w:tcW w:w="1001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  <w:t>China Citic Bank Shanghai Pudian Road Branch</w:t>
            </w:r>
          </w:p>
        </w:tc>
        <w:tc>
          <w:tcPr>
            <w:tcW w:w="984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  <w:t>1/F, Double Dove Tower, 438 Pudian Road, Shanghai</w:t>
            </w:r>
          </w:p>
        </w:tc>
        <w:tc>
          <w:tcPr>
            <w:tcW w:w="623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  <w:t>50192136</w:t>
            </w:r>
          </w:p>
        </w:tc>
        <w:tc>
          <w:tcPr>
            <w:tcW w:w="623" w:type="pct"/>
            <w:shd w:val="clear" w:color="auto" w:fill="FFFFFF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华文细黑" w:cs="Times New Roman"/>
                <w:color w:val="000000" w:themeColor="text1"/>
                <w:kern w:val="0"/>
                <w:sz w:val="32"/>
                <w:szCs w:val="32"/>
              </w:rPr>
              <w:t>√</w:t>
            </w:r>
          </w:p>
        </w:tc>
        <w:tc>
          <w:tcPr>
            <w:tcW w:w="626" w:type="pct"/>
            <w:shd w:val="clear" w:color="auto" w:fill="FFFFFF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</w:pPr>
            <w:r>
              <w:rPr>
                <w:rFonts w:hint="eastAsia" w:ascii="华文细黑" w:hAnsi="华文细黑" w:eastAsia="华文细黑" w:cs="宋体"/>
                <w:color w:val="000000"/>
                <w:kern w:val="0"/>
                <w:sz w:val="26"/>
                <w:szCs w:val="26"/>
              </w:rPr>
              <w:t>—</w:t>
            </w:r>
          </w:p>
        </w:tc>
        <w:tc>
          <w:tcPr>
            <w:tcW w:w="623" w:type="pct"/>
            <w:shd w:val="clear" w:color="auto" w:fill="FFFFFF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D2D2D2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7" w:type="dxa"/>
          <w:jc w:val="center"/>
        </w:trPr>
        <w:tc>
          <w:tcPr>
            <w:tcW w:w="464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Arial Unicode MS" w:cs="Times New Roman"/>
                <w:b/>
                <w:bCs/>
                <w:color w:val="000000" w:themeColor="text1"/>
                <w:kern w:val="0"/>
                <w:szCs w:val="21"/>
              </w:rPr>
              <w:t>SPDB</w:t>
            </w:r>
          </w:p>
        </w:tc>
        <w:tc>
          <w:tcPr>
            <w:tcW w:w="1001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  <w:t>SPDB Shanghai Futures Exchange Branch</w:t>
            </w:r>
          </w:p>
        </w:tc>
        <w:tc>
          <w:tcPr>
            <w:tcW w:w="984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  <w:t>Unit 02A, 1/F, 577 Pudian Road, Shanghai</w:t>
            </w:r>
          </w:p>
        </w:tc>
        <w:tc>
          <w:tcPr>
            <w:tcW w:w="623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  <w:t>50495573</w:t>
            </w:r>
          </w:p>
        </w:tc>
        <w:tc>
          <w:tcPr>
            <w:tcW w:w="623" w:type="pct"/>
            <w:shd w:val="clear" w:color="auto" w:fill="FFFFFF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华文细黑" w:cs="Times New Roman"/>
                <w:color w:val="000000" w:themeColor="text1"/>
                <w:kern w:val="0"/>
                <w:sz w:val="32"/>
                <w:szCs w:val="32"/>
              </w:rPr>
              <w:t>√</w:t>
            </w:r>
          </w:p>
        </w:tc>
        <w:tc>
          <w:tcPr>
            <w:tcW w:w="626" w:type="pct"/>
            <w:shd w:val="clear" w:color="auto" w:fill="FFFFFF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</w:pPr>
            <w:r>
              <w:rPr>
                <w:rFonts w:hint="eastAsia" w:ascii="华文细黑" w:hAnsi="华文细黑" w:eastAsia="华文细黑" w:cs="宋体"/>
                <w:color w:val="000000"/>
                <w:kern w:val="0"/>
                <w:sz w:val="26"/>
                <w:szCs w:val="26"/>
              </w:rPr>
              <w:t>—</w:t>
            </w:r>
          </w:p>
        </w:tc>
        <w:tc>
          <w:tcPr>
            <w:tcW w:w="623" w:type="pct"/>
            <w:shd w:val="clear" w:color="auto" w:fill="FFFFFF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D2D2D2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7" w:type="dxa"/>
          <w:jc w:val="center"/>
        </w:trPr>
        <w:tc>
          <w:tcPr>
            <w:tcW w:w="464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Arial Unicode MS" w:cs="Times New Roman"/>
                <w:b/>
                <w:bCs/>
                <w:color w:val="000000" w:themeColor="text1"/>
                <w:kern w:val="0"/>
                <w:szCs w:val="21"/>
              </w:rPr>
              <w:t>CIB</w:t>
            </w:r>
          </w:p>
        </w:tc>
        <w:tc>
          <w:tcPr>
            <w:tcW w:w="1001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  <w:t>CIB Shanghai Exchange Sub Branch</w:t>
            </w:r>
          </w:p>
        </w:tc>
        <w:tc>
          <w:tcPr>
            <w:tcW w:w="984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  <w:t>China Diamond Exchange Center Bldg,</w:t>
            </w:r>
            <w:r>
              <w:rPr>
                <w:rFonts w:hint="eastAsia" w:ascii="Times New Roman" w:hAnsi="Times New Roman" w:eastAsia="Arial Unicode MS" w:cs="Times New Roman"/>
                <w:color w:val="000000" w:themeColor="text1"/>
                <w:kern w:val="0"/>
                <w:szCs w:val="21"/>
              </w:rPr>
              <w:t xml:space="preserve"> </w:t>
            </w:r>
            <w:r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  <w:t>555 Pudian Roan, Shanghai</w:t>
            </w:r>
          </w:p>
        </w:tc>
        <w:tc>
          <w:tcPr>
            <w:tcW w:w="623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  <w:t>50151450</w:t>
            </w:r>
          </w:p>
        </w:tc>
        <w:tc>
          <w:tcPr>
            <w:tcW w:w="623" w:type="pct"/>
            <w:shd w:val="clear" w:color="auto" w:fill="FFFFFF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华文细黑" w:cs="Times New Roman"/>
                <w:color w:val="000000" w:themeColor="text1"/>
                <w:kern w:val="0"/>
                <w:sz w:val="32"/>
                <w:szCs w:val="32"/>
              </w:rPr>
              <w:t>√</w:t>
            </w:r>
          </w:p>
        </w:tc>
        <w:tc>
          <w:tcPr>
            <w:tcW w:w="626" w:type="pct"/>
            <w:shd w:val="clear" w:color="auto" w:fill="FFFFFF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</w:pPr>
            <w:r>
              <w:rPr>
                <w:rFonts w:hint="eastAsia" w:ascii="华文细黑" w:hAnsi="华文细黑" w:eastAsia="华文细黑" w:cs="宋体"/>
                <w:color w:val="000000"/>
                <w:kern w:val="0"/>
                <w:sz w:val="26"/>
                <w:szCs w:val="26"/>
              </w:rPr>
              <w:t>—</w:t>
            </w:r>
          </w:p>
        </w:tc>
        <w:tc>
          <w:tcPr>
            <w:tcW w:w="623" w:type="pct"/>
            <w:shd w:val="clear" w:color="auto" w:fill="FFFFFF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D2D2D2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7" w:type="dxa"/>
          <w:jc w:val="center"/>
        </w:trPr>
        <w:tc>
          <w:tcPr>
            <w:tcW w:w="464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Arial Unicode MS" w:cs="Times New Roman"/>
                <w:b/>
                <w:bCs/>
                <w:color w:val="000000" w:themeColor="text1"/>
                <w:kern w:val="0"/>
                <w:szCs w:val="21"/>
              </w:rPr>
              <w:t>CEB</w:t>
            </w:r>
          </w:p>
        </w:tc>
        <w:tc>
          <w:tcPr>
            <w:tcW w:w="1001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  <w:t>CEB Shanghai Futures Exchange Branch</w:t>
            </w:r>
          </w:p>
        </w:tc>
        <w:tc>
          <w:tcPr>
            <w:tcW w:w="984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  <w:t>1/F, Chamtime International Financial Center, 1589 Century Avenue, Shanghai</w:t>
            </w:r>
          </w:p>
        </w:tc>
        <w:tc>
          <w:tcPr>
            <w:tcW w:w="623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  <w:t>63797982</w:t>
            </w:r>
          </w:p>
        </w:tc>
        <w:tc>
          <w:tcPr>
            <w:tcW w:w="623" w:type="pct"/>
            <w:shd w:val="clear" w:color="auto" w:fill="FFFFFF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华文细黑" w:cs="Times New Roman"/>
                <w:color w:val="000000" w:themeColor="text1"/>
                <w:kern w:val="0"/>
                <w:sz w:val="32"/>
                <w:szCs w:val="32"/>
              </w:rPr>
              <w:t>√</w:t>
            </w:r>
          </w:p>
        </w:tc>
        <w:tc>
          <w:tcPr>
            <w:tcW w:w="626" w:type="pct"/>
            <w:shd w:val="clear" w:color="auto" w:fill="FFFFFF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</w:pPr>
            <w:r>
              <w:rPr>
                <w:rFonts w:hint="eastAsia" w:ascii="华文细黑" w:hAnsi="华文细黑" w:eastAsia="华文细黑" w:cs="宋体"/>
                <w:color w:val="000000"/>
                <w:kern w:val="0"/>
                <w:sz w:val="26"/>
                <w:szCs w:val="26"/>
              </w:rPr>
              <w:t>—</w:t>
            </w:r>
          </w:p>
        </w:tc>
        <w:tc>
          <w:tcPr>
            <w:tcW w:w="623" w:type="pct"/>
            <w:shd w:val="clear" w:color="auto" w:fill="FFFFFF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D2D2D2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7" w:type="dxa"/>
          <w:jc w:val="center"/>
        </w:trPr>
        <w:tc>
          <w:tcPr>
            <w:tcW w:w="464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Arial Unicode MS" w:cs="Times New Roman"/>
                <w:b/>
                <w:bCs/>
                <w:color w:val="000000" w:themeColor="text1"/>
                <w:kern w:val="0"/>
                <w:szCs w:val="21"/>
              </w:rPr>
              <w:t>CMBC</w:t>
            </w:r>
          </w:p>
        </w:tc>
        <w:tc>
          <w:tcPr>
            <w:tcW w:w="1001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  <w:t>CMBC Shanghai Futures Exchange Sub Branch</w:t>
            </w:r>
          </w:p>
        </w:tc>
        <w:tc>
          <w:tcPr>
            <w:tcW w:w="984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  <w:t>1/F, PingAn FortuneTower, 577 Pudian Road, Shanghai</w:t>
            </w:r>
          </w:p>
        </w:tc>
        <w:tc>
          <w:tcPr>
            <w:tcW w:w="623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  <w:t>50125289</w:t>
            </w:r>
          </w:p>
        </w:tc>
        <w:tc>
          <w:tcPr>
            <w:tcW w:w="623" w:type="pct"/>
            <w:shd w:val="clear" w:color="auto" w:fill="FFFFFF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华文细黑" w:cs="Times New Roman"/>
                <w:color w:val="000000" w:themeColor="text1"/>
                <w:kern w:val="0"/>
                <w:sz w:val="32"/>
                <w:szCs w:val="32"/>
              </w:rPr>
              <w:t>√</w:t>
            </w:r>
          </w:p>
        </w:tc>
        <w:tc>
          <w:tcPr>
            <w:tcW w:w="626" w:type="pct"/>
            <w:shd w:val="clear" w:color="auto" w:fill="FFFFFF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</w:pPr>
            <w:r>
              <w:rPr>
                <w:rFonts w:hint="eastAsia" w:ascii="华文细黑" w:hAnsi="华文细黑" w:eastAsia="华文细黑" w:cs="宋体"/>
                <w:color w:val="000000"/>
                <w:kern w:val="0"/>
                <w:sz w:val="26"/>
                <w:szCs w:val="26"/>
              </w:rPr>
              <w:t>—</w:t>
            </w:r>
          </w:p>
        </w:tc>
        <w:tc>
          <w:tcPr>
            <w:tcW w:w="623" w:type="pct"/>
            <w:shd w:val="clear" w:color="auto" w:fill="FFFFFF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D2D2D2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7" w:type="dxa"/>
          <w:jc w:val="center"/>
        </w:trPr>
        <w:tc>
          <w:tcPr>
            <w:tcW w:w="464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Arial Unicode MS" w:cs="Times New Roman"/>
                <w:b/>
                <w:bCs/>
                <w:color w:val="000000" w:themeColor="text1"/>
                <w:kern w:val="0"/>
                <w:szCs w:val="21"/>
              </w:rPr>
              <w:t>PingAn</w:t>
            </w:r>
          </w:p>
        </w:tc>
        <w:tc>
          <w:tcPr>
            <w:tcW w:w="1001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  <w:t>PingAn Bank Shanghai Futures Exchange Branch</w:t>
            </w:r>
          </w:p>
        </w:tc>
        <w:tc>
          <w:tcPr>
            <w:tcW w:w="984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  <w:t>1/F, SOHO Century Plaza, 288 Xiangcheng Road, Shanghai</w:t>
            </w:r>
          </w:p>
        </w:tc>
        <w:tc>
          <w:tcPr>
            <w:tcW w:w="623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  <w:t>58666527</w:t>
            </w:r>
          </w:p>
        </w:tc>
        <w:tc>
          <w:tcPr>
            <w:tcW w:w="623" w:type="pct"/>
            <w:shd w:val="clear" w:color="auto" w:fill="FFFFFF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华文细黑" w:cs="Times New Roman"/>
                <w:color w:val="000000" w:themeColor="text1"/>
                <w:kern w:val="0"/>
                <w:sz w:val="32"/>
                <w:szCs w:val="32"/>
              </w:rPr>
              <w:t>√</w:t>
            </w:r>
          </w:p>
        </w:tc>
        <w:tc>
          <w:tcPr>
            <w:tcW w:w="626" w:type="pct"/>
            <w:shd w:val="clear" w:color="auto" w:fill="FFFFFF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</w:pPr>
            <w:r>
              <w:rPr>
                <w:rFonts w:hint="eastAsia" w:ascii="华文细黑" w:hAnsi="华文细黑" w:eastAsia="华文细黑" w:cs="宋体"/>
                <w:color w:val="000000"/>
                <w:kern w:val="0"/>
                <w:sz w:val="26"/>
                <w:szCs w:val="26"/>
              </w:rPr>
              <w:t>—</w:t>
            </w:r>
          </w:p>
        </w:tc>
        <w:tc>
          <w:tcPr>
            <w:tcW w:w="623" w:type="pct"/>
            <w:shd w:val="clear" w:color="auto" w:fill="FFFFFF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Arial Unicode MS" w:cs="Times New Roman"/>
                <w:color w:val="000000" w:themeColor="text1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D2D2D2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7" w:type="dxa"/>
          <w:jc w:val="center"/>
        </w:trPr>
        <w:tc>
          <w:tcPr>
            <w:tcW w:w="464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Arial Unicode MS" w:cs="Times New Roman"/>
                <w:b/>
                <w:bCs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Arial Unicode MS" w:cs="Times New Roman"/>
                <w:b/>
                <w:bCs/>
                <w:color w:val="000000" w:themeColor="text1"/>
                <w:kern w:val="0"/>
                <w:szCs w:val="21"/>
              </w:rPr>
              <w:t>CGB</w:t>
            </w:r>
          </w:p>
        </w:tc>
        <w:tc>
          <w:tcPr>
            <w:tcW w:w="1001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Times New Roman" w:hAnsi="Times New Roman" w:eastAsia="Arial Unicode MS" w:cs="Times New Roman"/>
                <w:bCs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Arial Unicode MS" w:cs="Times New Roman"/>
                <w:bCs/>
                <w:color w:val="000000" w:themeColor="text1"/>
                <w:kern w:val="0"/>
                <w:szCs w:val="21"/>
              </w:rPr>
              <w:t>CGB Shanghai Futures Center Sub-branch</w:t>
            </w:r>
          </w:p>
        </w:tc>
        <w:tc>
          <w:tcPr>
            <w:tcW w:w="984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Times New Roman" w:hAnsi="Times New Roman" w:eastAsia="Arial Unicode MS" w:cs="Times New Roman"/>
                <w:bCs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Arial Unicode MS" w:cs="Times New Roman"/>
                <w:bCs/>
                <w:color w:val="000000" w:themeColor="text1"/>
                <w:kern w:val="0"/>
                <w:szCs w:val="21"/>
              </w:rPr>
              <w:t>No.1 Lingshan Road,Pudong New District,</w:t>
            </w:r>
            <w:r>
              <w:rPr>
                <w:rFonts w:hint="eastAsia" w:ascii="Times New Roman" w:hAnsi="Times New Roman" w:eastAsia="Arial Unicode MS" w:cs="Times New Roman"/>
                <w:bCs/>
                <w:color w:val="000000" w:themeColor="text1"/>
                <w:kern w:val="0"/>
                <w:szCs w:val="21"/>
              </w:rPr>
              <w:t xml:space="preserve"> </w:t>
            </w:r>
            <w:r>
              <w:rPr>
                <w:rFonts w:ascii="Times New Roman" w:hAnsi="Times New Roman" w:eastAsia="Arial Unicode MS" w:cs="Times New Roman"/>
                <w:bCs/>
                <w:color w:val="000000" w:themeColor="text1"/>
                <w:kern w:val="0"/>
                <w:szCs w:val="21"/>
              </w:rPr>
              <w:t>Shanghai</w:t>
            </w:r>
          </w:p>
        </w:tc>
        <w:tc>
          <w:tcPr>
            <w:tcW w:w="623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Arial Unicode MS" w:cs="Times New Roman"/>
                <w:bCs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Arial Unicode MS" w:cs="Times New Roman"/>
                <w:bCs/>
                <w:color w:val="000000" w:themeColor="text1"/>
                <w:kern w:val="0"/>
                <w:szCs w:val="21"/>
              </w:rPr>
              <w:t>50929589-8002</w:t>
            </w:r>
          </w:p>
        </w:tc>
        <w:tc>
          <w:tcPr>
            <w:tcW w:w="623" w:type="pct"/>
            <w:shd w:val="clear" w:color="auto" w:fill="FFFFFF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Arial Unicode MS" w:cs="Times New Roman"/>
                <w:bCs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华文细黑" w:cs="Times New Roman"/>
                <w:color w:val="000000" w:themeColor="text1"/>
                <w:kern w:val="0"/>
                <w:sz w:val="32"/>
                <w:szCs w:val="32"/>
              </w:rPr>
              <w:t>√</w:t>
            </w:r>
          </w:p>
        </w:tc>
        <w:tc>
          <w:tcPr>
            <w:tcW w:w="626" w:type="pct"/>
            <w:shd w:val="clear" w:color="auto" w:fill="FFFFFF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Arial Unicode MS" w:cs="Times New Roman"/>
                <w:bCs/>
                <w:color w:val="000000" w:themeColor="text1"/>
                <w:kern w:val="0"/>
                <w:szCs w:val="21"/>
              </w:rPr>
            </w:pPr>
            <w:r>
              <w:rPr>
                <w:rFonts w:hint="eastAsia" w:ascii="华文细黑" w:hAnsi="华文细黑" w:eastAsia="华文细黑" w:cs="宋体"/>
                <w:color w:val="000000"/>
                <w:kern w:val="0"/>
                <w:sz w:val="26"/>
                <w:szCs w:val="26"/>
              </w:rPr>
              <w:t>—</w:t>
            </w:r>
          </w:p>
        </w:tc>
        <w:tc>
          <w:tcPr>
            <w:tcW w:w="623" w:type="pct"/>
            <w:shd w:val="clear" w:color="auto" w:fill="FFFFFF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Arial Unicode MS" w:cs="Times New Roman"/>
                <w:bCs/>
                <w:color w:val="000000" w:themeColor="text1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D2D2D2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7" w:type="dxa"/>
          <w:jc w:val="center"/>
        </w:trPr>
        <w:tc>
          <w:tcPr>
            <w:tcW w:w="464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Arial Unicode MS" w:cs="Times New Roman"/>
                <w:b/>
                <w:bCs/>
                <w:color w:val="000000" w:themeColor="text1"/>
                <w:kern w:val="0"/>
                <w:szCs w:val="21"/>
              </w:rPr>
            </w:pPr>
            <w:r>
              <w:rPr>
                <w:rFonts w:hint="eastAsia" w:ascii="Times New Roman" w:hAnsi="Times New Roman" w:eastAsia="Microsoft YaHei UI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PSBC</w:t>
            </w:r>
          </w:p>
        </w:tc>
        <w:tc>
          <w:tcPr>
            <w:tcW w:w="1001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Times New Roman" w:hAnsi="Times New Roman" w:eastAsia="Arial Unicode MS" w:cs="Times New Roman"/>
                <w:bCs/>
                <w:color w:val="000000" w:themeColor="text1"/>
                <w:kern w:val="0"/>
                <w:szCs w:val="21"/>
              </w:rPr>
            </w:pPr>
            <w:r>
              <w:rPr>
                <w:rFonts w:hint="eastAsia" w:ascii="Times New Roman" w:hAnsi="Times New Roman" w:eastAsia="Arial Unicode MS" w:cs="Times New Roman"/>
                <w:bCs/>
                <w:color w:val="000000" w:themeColor="text1"/>
                <w:kern w:val="0"/>
                <w:szCs w:val="21"/>
              </w:rPr>
              <w:t>PSBC Shanghai P</w:t>
            </w:r>
            <w:r>
              <w:rPr>
                <w:rFonts w:ascii="Times New Roman" w:hAnsi="Times New Roman" w:eastAsia="Arial Unicode MS" w:cs="Times New Roman"/>
                <w:bCs/>
                <w:color w:val="000000" w:themeColor="text1"/>
                <w:kern w:val="0"/>
                <w:szCs w:val="21"/>
              </w:rPr>
              <w:t>u</w:t>
            </w:r>
            <w:r>
              <w:rPr>
                <w:rFonts w:hint="eastAsia" w:ascii="Times New Roman" w:hAnsi="Times New Roman" w:eastAsia="Arial Unicode MS" w:cs="Times New Roman"/>
                <w:bCs/>
                <w:color w:val="000000" w:themeColor="text1"/>
                <w:kern w:val="0"/>
                <w:szCs w:val="21"/>
              </w:rPr>
              <w:t>dong Century Avenue Branch</w:t>
            </w:r>
          </w:p>
        </w:tc>
        <w:tc>
          <w:tcPr>
            <w:tcW w:w="984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Times New Roman" w:hAnsi="Times New Roman" w:eastAsia="Arial Unicode MS" w:cs="Times New Roman"/>
                <w:bCs/>
                <w:color w:val="000000" w:themeColor="text1"/>
                <w:kern w:val="0"/>
                <w:szCs w:val="21"/>
              </w:rPr>
            </w:pPr>
            <w:r>
              <w:rPr>
                <w:rFonts w:hint="eastAsia" w:ascii="Times New Roman" w:hAnsi="Times New Roman" w:eastAsia="Arial Unicode MS" w:cs="Times New Roman"/>
                <w:bCs/>
                <w:color w:val="000000" w:themeColor="text1"/>
                <w:kern w:val="0"/>
                <w:szCs w:val="21"/>
              </w:rPr>
              <w:t>Room EF, 1F, No. 1777 Century Avenue, Pudong New Area, Shanghai</w:t>
            </w:r>
          </w:p>
        </w:tc>
        <w:tc>
          <w:tcPr>
            <w:tcW w:w="623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Arial Unicode MS" w:cs="Times New Roman"/>
                <w:bCs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Arial Unicode MS" w:cs="Times New Roman"/>
                <w:bCs/>
                <w:color w:val="000000" w:themeColor="text1"/>
                <w:kern w:val="0"/>
                <w:szCs w:val="21"/>
              </w:rPr>
              <w:t>58302083</w:t>
            </w:r>
          </w:p>
        </w:tc>
        <w:tc>
          <w:tcPr>
            <w:tcW w:w="623" w:type="pct"/>
            <w:shd w:val="clear" w:color="auto" w:fill="FFFFFF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华文细黑" w:cs="Times New Roman"/>
                <w:color w:val="000000" w:themeColor="text1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华文细黑" w:cs="Times New Roman"/>
                <w:color w:val="000000" w:themeColor="text1"/>
                <w:kern w:val="0"/>
                <w:sz w:val="32"/>
                <w:szCs w:val="32"/>
              </w:rPr>
              <w:t>√</w:t>
            </w:r>
          </w:p>
        </w:tc>
        <w:tc>
          <w:tcPr>
            <w:tcW w:w="626" w:type="pct"/>
            <w:shd w:val="clear" w:color="auto" w:fill="FFFFFF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Arial Unicode MS" w:cs="Times New Roman"/>
                <w:bCs/>
                <w:color w:val="000000" w:themeColor="text1"/>
                <w:kern w:val="0"/>
                <w:szCs w:val="21"/>
              </w:rPr>
            </w:pPr>
            <w:r>
              <w:rPr>
                <w:rFonts w:hint="eastAsia" w:ascii="华文细黑" w:hAnsi="华文细黑" w:eastAsia="华文细黑" w:cs="宋体"/>
                <w:color w:val="000000"/>
                <w:kern w:val="0"/>
                <w:sz w:val="26"/>
                <w:szCs w:val="26"/>
              </w:rPr>
              <w:t>—</w:t>
            </w:r>
          </w:p>
        </w:tc>
        <w:tc>
          <w:tcPr>
            <w:tcW w:w="623" w:type="pct"/>
            <w:shd w:val="clear" w:color="auto" w:fill="FFFFFF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Arial Unicode MS" w:cs="Times New Roman"/>
                <w:bCs/>
                <w:color w:val="000000" w:themeColor="text1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D2D2D2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7" w:type="dxa"/>
          <w:jc w:val="center"/>
        </w:trPr>
        <w:tc>
          <w:tcPr>
            <w:tcW w:w="464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Arial Unicode MS" w:cs="Times New Roman"/>
                <w:b/>
                <w:bCs/>
                <w:color w:val="000000" w:themeColor="text1"/>
                <w:kern w:val="0"/>
                <w:szCs w:val="21"/>
              </w:rPr>
            </w:pPr>
            <w:r>
              <w:rPr>
                <w:rFonts w:hint="eastAsia" w:ascii="Times New Roman" w:hAnsi="Times New Roman" w:eastAsia="Microsoft YaHei UI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DBS</w:t>
            </w:r>
          </w:p>
        </w:tc>
        <w:tc>
          <w:tcPr>
            <w:tcW w:w="1001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Times New Roman" w:hAnsi="Times New Roman" w:eastAsia="Arial Unicode MS" w:cs="Times New Roman"/>
                <w:bCs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Arial Unicode MS" w:cs="Times New Roman"/>
                <w:bCs/>
                <w:color w:val="000000" w:themeColor="text1"/>
                <w:kern w:val="0"/>
                <w:szCs w:val="21"/>
              </w:rPr>
              <w:t>DBS Bank (China) Limited</w:t>
            </w:r>
            <w:r>
              <w:rPr>
                <w:rFonts w:hint="eastAsia" w:ascii="Times New Roman" w:hAnsi="Times New Roman" w:eastAsia="Arial Unicode MS" w:cs="Times New Roman"/>
                <w:bCs/>
                <w:color w:val="000000" w:themeColor="text1"/>
                <w:kern w:val="0"/>
                <w:szCs w:val="21"/>
              </w:rPr>
              <w:t xml:space="preserve"> </w:t>
            </w:r>
            <w:r>
              <w:rPr>
                <w:rFonts w:ascii="Times New Roman" w:hAnsi="Times New Roman" w:eastAsia="Arial Unicode MS" w:cs="Times New Roman"/>
                <w:bCs/>
                <w:color w:val="000000" w:themeColor="text1"/>
                <w:kern w:val="0"/>
                <w:szCs w:val="21"/>
              </w:rPr>
              <w:t>Shanghai Branch</w:t>
            </w:r>
          </w:p>
        </w:tc>
        <w:tc>
          <w:tcPr>
            <w:tcW w:w="984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Times New Roman" w:hAnsi="Times New Roman" w:eastAsia="Arial Unicode MS" w:cs="Times New Roman"/>
                <w:bCs/>
                <w:color w:val="000000" w:themeColor="text1"/>
                <w:kern w:val="0"/>
                <w:szCs w:val="21"/>
              </w:rPr>
            </w:pPr>
            <w:r>
              <w:rPr>
                <w:rFonts w:hint="eastAsia" w:ascii="Times New Roman" w:hAnsi="Times New Roman" w:eastAsia="Arial Unicode MS" w:cs="Times New Roman"/>
                <w:bCs/>
                <w:color w:val="000000" w:themeColor="text1"/>
                <w:kern w:val="0"/>
                <w:szCs w:val="21"/>
              </w:rPr>
              <w:t xml:space="preserve">16F, </w:t>
            </w:r>
            <w:r>
              <w:rPr>
                <w:rFonts w:ascii="Times New Roman" w:hAnsi="Times New Roman" w:eastAsia="Arial Unicode MS" w:cs="Times New Roman"/>
                <w:bCs/>
                <w:color w:val="000000" w:themeColor="text1"/>
                <w:kern w:val="0"/>
                <w:szCs w:val="21"/>
              </w:rPr>
              <w:t>No. 1318 Lu Jia Zui Ring Road,</w:t>
            </w:r>
            <w:r>
              <w:rPr>
                <w:rFonts w:hint="eastAsia" w:ascii="Times New Roman" w:hAnsi="Times New Roman" w:eastAsia="Arial Unicode MS" w:cs="Times New Roman"/>
                <w:bCs/>
                <w:color w:val="000000" w:themeColor="text1"/>
                <w:kern w:val="0"/>
                <w:szCs w:val="21"/>
              </w:rPr>
              <w:t xml:space="preserve"> </w:t>
            </w:r>
            <w:r>
              <w:rPr>
                <w:rFonts w:ascii="Times New Roman" w:hAnsi="Times New Roman" w:eastAsia="Arial Unicode MS" w:cs="Times New Roman"/>
                <w:bCs/>
                <w:color w:val="000000" w:themeColor="text1"/>
                <w:kern w:val="0"/>
                <w:szCs w:val="21"/>
              </w:rPr>
              <w:t>Pudong New Area, Shanghai</w:t>
            </w:r>
          </w:p>
        </w:tc>
        <w:tc>
          <w:tcPr>
            <w:tcW w:w="623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Arial Unicode MS" w:cs="Times New Roman"/>
                <w:bCs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Arial Unicode MS" w:cs="Times New Roman"/>
                <w:bCs/>
                <w:color w:val="000000" w:themeColor="text1"/>
                <w:kern w:val="0"/>
                <w:szCs w:val="21"/>
              </w:rPr>
              <w:t>38968153</w:t>
            </w:r>
          </w:p>
        </w:tc>
        <w:tc>
          <w:tcPr>
            <w:tcW w:w="623" w:type="pct"/>
            <w:shd w:val="clear" w:color="auto" w:fill="FFFFFF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华文细黑" w:cs="Times New Roman"/>
                <w:color w:val="000000" w:themeColor="text1"/>
                <w:kern w:val="0"/>
                <w:sz w:val="32"/>
                <w:szCs w:val="32"/>
              </w:rPr>
            </w:pPr>
            <w:r>
              <w:rPr>
                <w:rFonts w:hint="eastAsia" w:ascii="华文细黑" w:hAnsi="华文细黑" w:eastAsia="华文细黑" w:cs="宋体"/>
                <w:color w:val="000000"/>
                <w:kern w:val="0"/>
                <w:sz w:val="26"/>
                <w:szCs w:val="26"/>
              </w:rPr>
              <w:t>—</w:t>
            </w:r>
          </w:p>
        </w:tc>
        <w:tc>
          <w:tcPr>
            <w:tcW w:w="626" w:type="pct"/>
            <w:shd w:val="clear" w:color="auto" w:fill="FFFFFF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华文细黑" w:cs="Times New Roman"/>
                <w:color w:val="000000" w:themeColor="text1"/>
                <w:kern w:val="0"/>
                <w:sz w:val="32"/>
                <w:szCs w:val="32"/>
              </w:rPr>
            </w:pPr>
            <w:r>
              <w:rPr>
                <w:rFonts w:hint="eastAsia" w:ascii="华文细黑" w:hAnsi="华文细黑" w:eastAsia="华文细黑" w:cs="宋体"/>
                <w:color w:val="000000"/>
                <w:kern w:val="0"/>
                <w:sz w:val="26"/>
                <w:szCs w:val="26"/>
              </w:rPr>
              <w:t>—</w:t>
            </w:r>
          </w:p>
        </w:tc>
        <w:tc>
          <w:tcPr>
            <w:tcW w:w="623" w:type="pct"/>
            <w:shd w:val="clear" w:color="auto" w:fill="FFFFFF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Arial Unicode MS" w:cs="Times New Roman"/>
                <w:bCs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华文细黑" w:cs="Times New Roman"/>
                <w:color w:val="000000" w:themeColor="text1"/>
                <w:kern w:val="0"/>
                <w:sz w:val="32"/>
                <w:szCs w:val="32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D2D2D2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7" w:type="dxa"/>
          <w:jc w:val="center"/>
        </w:trPr>
        <w:tc>
          <w:tcPr>
            <w:tcW w:w="464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Microsoft YaHei UI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Microsoft YaHei UI" w:cs="Times New Roman"/>
                <w:b/>
                <w:bCs/>
                <w:color w:val="000000" w:themeColor="text1"/>
                <w:kern w:val="0"/>
                <w:szCs w:val="21"/>
              </w:rPr>
              <w:t>Citibank</w:t>
            </w:r>
          </w:p>
        </w:tc>
        <w:tc>
          <w:tcPr>
            <w:tcW w:w="1001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Times New Roman" w:hAnsi="Times New Roman" w:eastAsia="Arial Unicode MS" w:cs="Times New Roman"/>
                <w:bCs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Arial Unicode MS" w:cs="Times New Roman"/>
                <w:bCs/>
                <w:color w:val="000000" w:themeColor="text1"/>
                <w:kern w:val="0"/>
                <w:szCs w:val="21"/>
              </w:rPr>
              <w:t xml:space="preserve">Citibank </w:t>
            </w:r>
            <w:r>
              <w:rPr>
                <w:rFonts w:hint="eastAsia" w:ascii="Times New Roman" w:hAnsi="Times New Roman" w:eastAsia="Arial Unicode MS" w:cs="Times New Roman"/>
                <w:bCs/>
                <w:color w:val="000000" w:themeColor="text1"/>
                <w:kern w:val="0"/>
                <w:szCs w:val="21"/>
              </w:rPr>
              <w:t>(</w:t>
            </w:r>
            <w:r>
              <w:rPr>
                <w:rFonts w:ascii="Times New Roman" w:hAnsi="Times New Roman" w:eastAsia="Arial Unicode MS" w:cs="Times New Roman"/>
                <w:bCs/>
                <w:color w:val="000000" w:themeColor="text1"/>
                <w:kern w:val="0"/>
                <w:szCs w:val="21"/>
              </w:rPr>
              <w:t>China</w:t>
            </w:r>
            <w:r>
              <w:rPr>
                <w:rFonts w:hint="eastAsia" w:ascii="Times New Roman" w:hAnsi="Times New Roman" w:eastAsia="Arial Unicode MS" w:cs="Times New Roman"/>
                <w:bCs/>
                <w:color w:val="000000" w:themeColor="text1"/>
                <w:kern w:val="0"/>
                <w:szCs w:val="21"/>
              </w:rPr>
              <w:t xml:space="preserve">) </w:t>
            </w:r>
            <w:r>
              <w:rPr>
                <w:rFonts w:ascii="Times New Roman" w:hAnsi="Times New Roman" w:eastAsia="Arial Unicode MS" w:cs="Times New Roman"/>
                <w:bCs/>
                <w:color w:val="000000" w:themeColor="text1"/>
                <w:kern w:val="0"/>
                <w:szCs w:val="21"/>
              </w:rPr>
              <w:t>Co., Ltd.</w:t>
            </w:r>
          </w:p>
        </w:tc>
        <w:tc>
          <w:tcPr>
            <w:tcW w:w="984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Times New Roman" w:hAnsi="Times New Roman" w:eastAsia="Arial Unicode MS" w:cs="Times New Roman"/>
                <w:bCs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Arial Unicode MS" w:cs="Times New Roman"/>
                <w:bCs/>
                <w:color w:val="000000" w:themeColor="text1"/>
                <w:kern w:val="0"/>
                <w:szCs w:val="21"/>
              </w:rPr>
              <w:t>31F Citigroup Tower, No 33 Hua Yuan Shi Qiao Road, Lu Jia Zui Finance and Trade Zone, Shanghai</w:t>
            </w:r>
          </w:p>
        </w:tc>
        <w:tc>
          <w:tcPr>
            <w:tcW w:w="623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Arial Unicode MS" w:cs="Times New Roman"/>
                <w:bCs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Arial Unicode MS" w:cs="Times New Roman"/>
                <w:bCs/>
                <w:color w:val="000000" w:themeColor="text1"/>
                <w:kern w:val="0"/>
                <w:szCs w:val="21"/>
              </w:rPr>
              <w:t>28963525</w:t>
            </w:r>
          </w:p>
        </w:tc>
        <w:tc>
          <w:tcPr>
            <w:tcW w:w="623" w:type="pct"/>
            <w:shd w:val="clear" w:color="auto" w:fill="FFFFFF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华文细黑" w:cs="Times New Roman"/>
                <w:color w:val="000000" w:themeColor="text1"/>
                <w:kern w:val="0"/>
                <w:sz w:val="32"/>
                <w:szCs w:val="32"/>
              </w:rPr>
            </w:pPr>
            <w:r>
              <w:rPr>
                <w:rFonts w:hint="eastAsia" w:ascii="华文细黑" w:hAnsi="华文细黑" w:eastAsia="华文细黑" w:cs="宋体"/>
                <w:color w:val="000000"/>
                <w:kern w:val="0"/>
                <w:sz w:val="26"/>
                <w:szCs w:val="26"/>
              </w:rPr>
              <w:t>—</w:t>
            </w:r>
          </w:p>
        </w:tc>
        <w:tc>
          <w:tcPr>
            <w:tcW w:w="626" w:type="pct"/>
            <w:shd w:val="clear" w:color="auto" w:fill="FFFFFF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华文细黑" w:cs="Times New Roman"/>
                <w:color w:val="000000" w:themeColor="text1"/>
                <w:kern w:val="0"/>
                <w:sz w:val="32"/>
                <w:szCs w:val="32"/>
              </w:rPr>
            </w:pPr>
            <w:r>
              <w:rPr>
                <w:rFonts w:hint="eastAsia" w:ascii="华文细黑" w:hAnsi="华文细黑" w:eastAsia="华文细黑" w:cs="宋体"/>
                <w:color w:val="000000"/>
                <w:kern w:val="0"/>
                <w:sz w:val="26"/>
                <w:szCs w:val="26"/>
              </w:rPr>
              <w:t>—</w:t>
            </w:r>
          </w:p>
        </w:tc>
        <w:tc>
          <w:tcPr>
            <w:tcW w:w="623" w:type="pct"/>
            <w:shd w:val="clear" w:color="auto" w:fill="FFFFFF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Arial Unicode MS" w:cs="Times New Roman"/>
                <w:bCs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 w:eastAsia="华文细黑" w:cs="Times New Roman"/>
                <w:color w:val="000000" w:themeColor="text1"/>
                <w:kern w:val="0"/>
                <w:sz w:val="32"/>
                <w:szCs w:val="32"/>
              </w:rPr>
              <w:t>√</w:t>
            </w:r>
          </w:p>
        </w:tc>
      </w:tr>
    </w:tbl>
    <w:p/>
    <w:p/>
    <w:sectPr>
      <w:pgSz w:w="11906" w:h="16838"/>
      <w:pgMar w:top="1440" w:right="1418" w:bottom="1440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 Light">
    <w:altName w:val="DejaVu Sans"/>
    <w:panose1 w:val="020F0302020204030204"/>
    <w:charset w:val="00"/>
    <w:family w:val="swiss"/>
    <w:pitch w:val="default"/>
    <w:sig w:usb0="00000000" w:usb1="00000000" w:usb2="00000009" w:usb3="00000000" w:csb0="000001FF" w:csb1="00000000"/>
  </w:font>
  <w:font w:name="方正大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icrosoft YaHei UI">
    <w:altName w:val="Droid Sans Fallback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Droid Sans Fallback">
    <w:panose1 w:val="020B0502000000000001"/>
    <w:charset w:val="86"/>
    <w:family w:val="auto"/>
    <w:pitch w:val="default"/>
    <w:sig w:usb0="910002FF" w:usb1="2BDFFCFB" w:usb2="00000036" w:usb3="00000000" w:csb0="203F01FF" w:csb1="D7FF0000"/>
  </w:font>
  <w:font w:name="华文细黑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Arial Unicode MS">
    <w:altName w:val="Times New Roman"/>
    <w:panose1 w:val="020B0604020202020204"/>
    <w:charset w:val="86"/>
    <w:family w:val="swiss"/>
    <w:pitch w:val="default"/>
    <w:sig w:usb0="00000000" w:usb1="00000000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rsids>
    <w:rsidRoot w:val="00E00183"/>
    <w:rsid w:val="00040DF2"/>
    <w:rsid w:val="00071B3F"/>
    <w:rsid w:val="000C23FE"/>
    <w:rsid w:val="0011323F"/>
    <w:rsid w:val="00295653"/>
    <w:rsid w:val="002B3895"/>
    <w:rsid w:val="00352E2C"/>
    <w:rsid w:val="00436993"/>
    <w:rsid w:val="004C19CD"/>
    <w:rsid w:val="004F1796"/>
    <w:rsid w:val="00514C53"/>
    <w:rsid w:val="0059166C"/>
    <w:rsid w:val="005A7C60"/>
    <w:rsid w:val="005F2827"/>
    <w:rsid w:val="005F5458"/>
    <w:rsid w:val="006B67E3"/>
    <w:rsid w:val="006E08DE"/>
    <w:rsid w:val="00723662"/>
    <w:rsid w:val="00834D97"/>
    <w:rsid w:val="0089610A"/>
    <w:rsid w:val="00B62C4F"/>
    <w:rsid w:val="00BD043E"/>
    <w:rsid w:val="00C12868"/>
    <w:rsid w:val="00CA268A"/>
    <w:rsid w:val="00DF7F99"/>
    <w:rsid w:val="00E00183"/>
    <w:rsid w:val="00E40A5B"/>
    <w:rsid w:val="00E575F2"/>
    <w:rsid w:val="00ED19F6"/>
    <w:rsid w:val="00EE665F"/>
    <w:rsid w:val="00EF036C"/>
    <w:rsid w:val="00F437D9"/>
    <w:rsid w:val="00F63A19"/>
    <w:rsid w:val="00F83DEC"/>
    <w:rsid w:val="00FB01B7"/>
    <w:rsid w:val="00FC070D"/>
    <w:rsid w:val="22FBBB96"/>
    <w:rsid w:val="2BBBED3F"/>
    <w:rsid w:val="3F7FF39D"/>
    <w:rsid w:val="4F398BB8"/>
    <w:rsid w:val="5CBE25B0"/>
    <w:rsid w:val="6ABF180D"/>
    <w:rsid w:val="6FB5D4CE"/>
    <w:rsid w:val="72B4F81E"/>
    <w:rsid w:val="77B389E1"/>
    <w:rsid w:val="77FFDC98"/>
    <w:rsid w:val="79BAA720"/>
    <w:rsid w:val="79DD4ABC"/>
    <w:rsid w:val="7B7BFDAC"/>
    <w:rsid w:val="7D78067F"/>
    <w:rsid w:val="7DB3392B"/>
    <w:rsid w:val="7DD5EFF1"/>
    <w:rsid w:val="7DF2863B"/>
    <w:rsid w:val="7E5509BF"/>
    <w:rsid w:val="7ECE742A"/>
    <w:rsid w:val="7EFDC475"/>
    <w:rsid w:val="7F47079D"/>
    <w:rsid w:val="7FDB59C3"/>
    <w:rsid w:val="7FEFB8ED"/>
    <w:rsid w:val="85EB2D79"/>
    <w:rsid w:val="86F76C10"/>
    <w:rsid w:val="9C776B42"/>
    <w:rsid w:val="9E83AF35"/>
    <w:rsid w:val="9FFE3A51"/>
    <w:rsid w:val="B77724B4"/>
    <w:rsid w:val="B7FF99AB"/>
    <w:rsid w:val="BE7FF5C6"/>
    <w:rsid w:val="D7E752BD"/>
    <w:rsid w:val="DDE94B99"/>
    <w:rsid w:val="E9FD43BB"/>
    <w:rsid w:val="EBD731A5"/>
    <w:rsid w:val="EBFFDD5F"/>
    <w:rsid w:val="EDBF5E83"/>
    <w:rsid w:val="EE7FFAF7"/>
    <w:rsid w:val="EEEBA0AC"/>
    <w:rsid w:val="EF67D044"/>
    <w:rsid w:val="EF8F4215"/>
    <w:rsid w:val="F2F54EBE"/>
    <w:rsid w:val="F3E9880C"/>
    <w:rsid w:val="F3FC4EB4"/>
    <w:rsid w:val="F7FE8FB4"/>
    <w:rsid w:val="F89FA3FA"/>
    <w:rsid w:val="FC9B5F43"/>
    <w:rsid w:val="FF7D1EB8"/>
    <w:rsid w:val="FF7FF4CC"/>
    <w:rsid w:val="FFEFBA78"/>
    <w:rsid w:val="FFF83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E75B5" w:themeColor="accent1" w:themeShade="BF"/>
      <w:sz w:val="48"/>
      <w:szCs w:val="48"/>
    </w:rPr>
  </w:style>
  <w:style w:type="paragraph" w:styleId="3">
    <w:name w:val="heading 2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E75B5" w:themeColor="accent1" w:themeShade="BF"/>
      <w:sz w:val="40"/>
      <w:szCs w:val="40"/>
    </w:rPr>
  </w:style>
  <w:style w:type="paragraph" w:styleId="4">
    <w:name w:val="heading 3"/>
    <w:basedOn w:val="1"/>
    <w:next w:val="1"/>
    <w:link w:val="22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E75B5" w:themeColor="accent1" w:themeShade="BF"/>
      <w:sz w:val="32"/>
      <w:szCs w:val="32"/>
    </w:rPr>
  </w:style>
  <w:style w:type="paragraph" w:styleId="5">
    <w:name w:val="heading 4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E75B5" w:themeColor="accent1" w:themeShade="BF"/>
      <w:sz w:val="28"/>
      <w:szCs w:val="28"/>
    </w:rPr>
  </w:style>
  <w:style w:type="paragraph" w:styleId="6">
    <w:name w:val="heading 5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E75B5" w:themeColor="accent1" w:themeShade="BF"/>
      <w:sz w:val="24"/>
      <w:szCs w:val="24"/>
    </w:rPr>
  </w:style>
  <w:style w:type="paragraph" w:styleId="7">
    <w:name w:val="heading 6"/>
    <w:basedOn w:val="1"/>
    <w:next w:val="1"/>
    <w:link w:val="25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E75B5" w:themeColor="accent1" w:themeShade="BF"/>
    </w:rPr>
  </w:style>
  <w:style w:type="paragraph" w:styleId="8">
    <w:name w:val="heading 7"/>
    <w:basedOn w:val="1"/>
    <w:next w:val="1"/>
    <w:link w:val="26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85858" w:themeColor="text1" w:themeTint="A6"/>
    </w:rPr>
  </w:style>
  <w:style w:type="paragraph" w:styleId="9">
    <w:name w:val="heading 8"/>
    <w:basedOn w:val="1"/>
    <w:next w:val="1"/>
    <w:link w:val="27"/>
    <w:semiHidden/>
    <w:unhideWhenUsed/>
    <w:qFormat/>
    <w:uiPriority w:val="9"/>
    <w:pPr>
      <w:keepNext/>
      <w:keepLines/>
      <w:outlineLvl w:val="7"/>
    </w:pPr>
    <w:rPr>
      <w:rFonts w:cstheme="majorBidi"/>
      <w:color w:val="585858" w:themeColor="text1" w:themeTint="A6"/>
    </w:rPr>
  </w:style>
  <w:style w:type="paragraph" w:styleId="10">
    <w:name w:val="heading 9"/>
    <w:basedOn w:val="1"/>
    <w:next w:val="1"/>
    <w:link w:val="28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85858" w:themeColor="text1" w:themeTint="A6"/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link w:val="40"/>
    <w:unhideWhenUsed/>
    <w:qFormat/>
    <w:uiPriority w:val="99"/>
    <w:pPr>
      <w:jc w:val="left"/>
    </w:pPr>
  </w:style>
  <w:style w:type="paragraph" w:styleId="12">
    <w:name w:val="Balloon Text"/>
    <w:basedOn w:val="1"/>
    <w:link w:val="41"/>
    <w:semiHidden/>
    <w:unhideWhenUsed/>
    <w:qFormat/>
    <w:uiPriority w:val="99"/>
    <w:rPr>
      <w:sz w:val="18"/>
      <w:szCs w:val="18"/>
    </w:rPr>
  </w:style>
  <w:style w:type="paragraph" w:styleId="13">
    <w:name w:val="footer"/>
    <w:basedOn w:val="1"/>
    <w:link w:val="3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link w:val="38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Subtitle"/>
    <w:basedOn w:val="1"/>
    <w:next w:val="1"/>
    <w:link w:val="30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85858" w:themeColor="text1" w:themeTint="A6"/>
      <w:spacing w:val="15"/>
      <w:sz w:val="28"/>
      <w:szCs w:val="28"/>
    </w:rPr>
  </w:style>
  <w:style w:type="paragraph" w:styleId="16">
    <w:name w:val="Title"/>
    <w:basedOn w:val="1"/>
    <w:next w:val="1"/>
    <w:link w:val="29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9">
    <w:name w:val="annotation reference"/>
    <w:basedOn w:val="18"/>
    <w:semiHidden/>
    <w:unhideWhenUsed/>
    <w:qFormat/>
    <w:uiPriority w:val="99"/>
    <w:rPr>
      <w:sz w:val="21"/>
      <w:szCs w:val="21"/>
    </w:rPr>
  </w:style>
  <w:style w:type="character" w:customStyle="1" w:styleId="20">
    <w:name w:val="标题 1 字符"/>
    <w:basedOn w:val="18"/>
    <w:link w:val="2"/>
    <w:qFormat/>
    <w:uiPriority w:val="9"/>
    <w:rPr>
      <w:rFonts w:asciiTheme="majorHAnsi" w:hAnsiTheme="majorHAnsi" w:eastAsiaTheme="majorEastAsia" w:cstheme="majorBidi"/>
      <w:color w:val="2E75B5" w:themeColor="accent1" w:themeShade="BF"/>
      <w:sz w:val="48"/>
      <w:szCs w:val="48"/>
    </w:rPr>
  </w:style>
  <w:style w:type="character" w:customStyle="1" w:styleId="21">
    <w:name w:val="标题 2 字符"/>
    <w:basedOn w:val="18"/>
    <w:link w:val="3"/>
    <w:semiHidden/>
    <w:qFormat/>
    <w:uiPriority w:val="9"/>
    <w:rPr>
      <w:rFonts w:asciiTheme="majorHAnsi" w:hAnsiTheme="majorHAnsi" w:eastAsiaTheme="majorEastAsia" w:cstheme="majorBidi"/>
      <w:color w:val="2E75B5" w:themeColor="accent1" w:themeShade="BF"/>
      <w:sz w:val="40"/>
      <w:szCs w:val="40"/>
    </w:rPr>
  </w:style>
  <w:style w:type="character" w:customStyle="1" w:styleId="22">
    <w:name w:val="标题 3 字符"/>
    <w:basedOn w:val="18"/>
    <w:link w:val="4"/>
    <w:semiHidden/>
    <w:qFormat/>
    <w:uiPriority w:val="9"/>
    <w:rPr>
      <w:rFonts w:asciiTheme="majorHAnsi" w:hAnsiTheme="majorHAnsi" w:eastAsiaTheme="majorEastAsia" w:cstheme="majorBidi"/>
      <w:color w:val="2E75B5" w:themeColor="accent1" w:themeShade="BF"/>
      <w:sz w:val="32"/>
      <w:szCs w:val="32"/>
    </w:rPr>
  </w:style>
  <w:style w:type="character" w:customStyle="1" w:styleId="23">
    <w:name w:val="标题 4 字符"/>
    <w:basedOn w:val="18"/>
    <w:link w:val="5"/>
    <w:semiHidden/>
    <w:qFormat/>
    <w:uiPriority w:val="9"/>
    <w:rPr>
      <w:rFonts w:cstheme="majorBidi"/>
      <w:color w:val="2E75B5" w:themeColor="accent1" w:themeShade="BF"/>
      <w:sz w:val="28"/>
      <w:szCs w:val="28"/>
    </w:rPr>
  </w:style>
  <w:style w:type="character" w:customStyle="1" w:styleId="24">
    <w:name w:val="标题 5 字符"/>
    <w:basedOn w:val="18"/>
    <w:link w:val="6"/>
    <w:semiHidden/>
    <w:qFormat/>
    <w:uiPriority w:val="9"/>
    <w:rPr>
      <w:rFonts w:cstheme="majorBidi"/>
      <w:color w:val="2E75B5" w:themeColor="accent1" w:themeShade="BF"/>
      <w:sz w:val="24"/>
      <w:szCs w:val="24"/>
    </w:rPr>
  </w:style>
  <w:style w:type="character" w:customStyle="1" w:styleId="25">
    <w:name w:val="标题 6 字符"/>
    <w:basedOn w:val="18"/>
    <w:link w:val="7"/>
    <w:semiHidden/>
    <w:qFormat/>
    <w:uiPriority w:val="9"/>
    <w:rPr>
      <w:rFonts w:cstheme="majorBidi"/>
      <w:b/>
      <w:bCs/>
      <w:color w:val="2E75B5" w:themeColor="accent1" w:themeShade="BF"/>
    </w:rPr>
  </w:style>
  <w:style w:type="character" w:customStyle="1" w:styleId="26">
    <w:name w:val="标题 7 字符"/>
    <w:basedOn w:val="18"/>
    <w:link w:val="8"/>
    <w:semiHidden/>
    <w:qFormat/>
    <w:uiPriority w:val="9"/>
    <w:rPr>
      <w:rFonts w:cstheme="majorBidi"/>
      <w:b/>
      <w:bCs/>
      <w:color w:val="585858" w:themeColor="text1" w:themeTint="A6"/>
    </w:rPr>
  </w:style>
  <w:style w:type="character" w:customStyle="1" w:styleId="27">
    <w:name w:val="标题 8 字符"/>
    <w:basedOn w:val="18"/>
    <w:link w:val="9"/>
    <w:semiHidden/>
    <w:qFormat/>
    <w:uiPriority w:val="9"/>
    <w:rPr>
      <w:rFonts w:cstheme="majorBidi"/>
      <w:color w:val="585858" w:themeColor="text1" w:themeTint="A6"/>
    </w:rPr>
  </w:style>
  <w:style w:type="character" w:customStyle="1" w:styleId="28">
    <w:name w:val="标题 9 字符"/>
    <w:basedOn w:val="18"/>
    <w:link w:val="10"/>
    <w:semiHidden/>
    <w:qFormat/>
    <w:uiPriority w:val="9"/>
    <w:rPr>
      <w:rFonts w:eastAsiaTheme="majorEastAsia" w:cstheme="majorBidi"/>
      <w:color w:val="585858" w:themeColor="text1" w:themeTint="A6"/>
    </w:rPr>
  </w:style>
  <w:style w:type="character" w:customStyle="1" w:styleId="29">
    <w:name w:val="标题 字符"/>
    <w:basedOn w:val="18"/>
    <w:link w:val="16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0">
    <w:name w:val="副标题 字符"/>
    <w:basedOn w:val="18"/>
    <w:link w:val="15"/>
    <w:qFormat/>
    <w:uiPriority w:val="11"/>
    <w:rPr>
      <w:rFonts w:asciiTheme="majorHAnsi" w:hAnsiTheme="majorHAnsi" w:eastAsiaTheme="majorEastAsia" w:cstheme="majorBidi"/>
      <w:color w:val="585858" w:themeColor="text1" w:themeTint="A6"/>
      <w:spacing w:val="15"/>
      <w:sz w:val="28"/>
      <w:szCs w:val="28"/>
    </w:rPr>
  </w:style>
  <w:style w:type="paragraph" w:styleId="31">
    <w:name w:val="Quote"/>
    <w:basedOn w:val="1"/>
    <w:next w:val="1"/>
    <w:link w:val="32"/>
    <w:qFormat/>
    <w:uiPriority w:val="29"/>
    <w:pPr>
      <w:spacing w:before="160" w:after="160"/>
      <w:jc w:val="center"/>
    </w:pPr>
    <w:rPr>
      <w:i/>
      <w:iCs/>
      <w:color w:val="3F3F3F" w:themeColor="text1" w:themeTint="BF"/>
    </w:rPr>
  </w:style>
  <w:style w:type="character" w:customStyle="1" w:styleId="32">
    <w:name w:val="引用 字符"/>
    <w:basedOn w:val="18"/>
    <w:link w:val="31"/>
    <w:qFormat/>
    <w:uiPriority w:val="29"/>
    <w:rPr>
      <w:i/>
      <w:iCs/>
      <w:color w:val="3F3F3F" w:themeColor="text1" w:themeTint="BF"/>
    </w:rPr>
  </w:style>
  <w:style w:type="paragraph" w:styleId="33">
    <w:name w:val="List Paragraph"/>
    <w:basedOn w:val="1"/>
    <w:qFormat/>
    <w:uiPriority w:val="34"/>
    <w:pPr>
      <w:ind w:left="720"/>
      <w:contextualSpacing/>
    </w:pPr>
  </w:style>
  <w:style w:type="character" w:customStyle="1" w:styleId="34">
    <w:name w:val="Intense Emphasis"/>
    <w:basedOn w:val="18"/>
    <w:qFormat/>
    <w:uiPriority w:val="21"/>
    <w:rPr>
      <w:i/>
      <w:iCs/>
      <w:color w:val="2E75B5" w:themeColor="accent1" w:themeShade="BF"/>
    </w:rPr>
  </w:style>
  <w:style w:type="paragraph" w:styleId="35">
    <w:name w:val="Intense Quote"/>
    <w:basedOn w:val="1"/>
    <w:next w:val="1"/>
    <w:link w:val="36"/>
    <w:qFormat/>
    <w:uiPriority w:val="30"/>
    <w:pPr>
      <w:pBdr>
        <w:top w:val="single" w:color="2E75B5" w:themeColor="accent1" w:themeShade="BF" w:sz="4" w:space="10"/>
        <w:bottom w:val="single" w:color="2E75B5" w:themeColor="accent1" w:themeShade="BF" w:sz="4" w:space="10"/>
      </w:pBdr>
      <w:spacing w:before="360" w:after="360"/>
      <w:ind w:left="864" w:right="864"/>
      <w:jc w:val="center"/>
    </w:pPr>
    <w:rPr>
      <w:i/>
      <w:iCs/>
      <w:color w:val="2E75B5" w:themeColor="accent1" w:themeShade="BF"/>
    </w:rPr>
  </w:style>
  <w:style w:type="character" w:customStyle="1" w:styleId="36">
    <w:name w:val="明显引用 字符"/>
    <w:basedOn w:val="18"/>
    <w:link w:val="35"/>
    <w:qFormat/>
    <w:uiPriority w:val="30"/>
    <w:rPr>
      <w:i/>
      <w:iCs/>
      <w:color w:val="2E75B5" w:themeColor="accent1" w:themeShade="BF"/>
    </w:rPr>
  </w:style>
  <w:style w:type="character" w:customStyle="1" w:styleId="37">
    <w:name w:val="Intense Reference"/>
    <w:basedOn w:val="18"/>
    <w:qFormat/>
    <w:uiPriority w:val="32"/>
    <w:rPr>
      <w:b/>
      <w:bCs/>
      <w:smallCaps/>
      <w:color w:val="2E75B5" w:themeColor="accent1" w:themeShade="BF"/>
      <w:spacing w:val="5"/>
    </w:rPr>
  </w:style>
  <w:style w:type="character" w:customStyle="1" w:styleId="38">
    <w:name w:val="页眉 字符"/>
    <w:basedOn w:val="18"/>
    <w:link w:val="14"/>
    <w:qFormat/>
    <w:uiPriority w:val="99"/>
    <w:rPr>
      <w:sz w:val="18"/>
      <w:szCs w:val="18"/>
    </w:rPr>
  </w:style>
  <w:style w:type="character" w:customStyle="1" w:styleId="39">
    <w:name w:val="页脚 字符"/>
    <w:basedOn w:val="18"/>
    <w:link w:val="13"/>
    <w:qFormat/>
    <w:uiPriority w:val="99"/>
    <w:rPr>
      <w:sz w:val="18"/>
      <w:szCs w:val="18"/>
    </w:rPr>
  </w:style>
  <w:style w:type="character" w:customStyle="1" w:styleId="40">
    <w:name w:val="批注文字 字符"/>
    <w:basedOn w:val="18"/>
    <w:link w:val="11"/>
    <w:qFormat/>
    <w:uiPriority w:val="99"/>
  </w:style>
  <w:style w:type="character" w:customStyle="1" w:styleId="41">
    <w:name w:val="批注框文本 字符"/>
    <w:basedOn w:val="18"/>
    <w:link w:val="1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2048</Words>
  <Characters>5238</Characters>
  <Lines>43</Lines>
  <Paragraphs>12</Paragraphs>
  <TotalTime>0</TotalTime>
  <ScaleCrop>false</ScaleCrop>
  <LinksUpToDate>false</LinksUpToDate>
  <CharactersWithSpaces>5849</CharactersWithSpaces>
  <Application>WPS Office_11.8.2.12219_F1E327BC-269C-435d-A152-05C5408002CA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2024-11-20T12:55:00Z</dcterms:created>
  <dc:creator>Jing Xia</dc:creator>
  <cp:lastModifiedBy>luo.yulian</cp:lastModifiedBy>
  <cp:lastPrinted>2026-08-07T18:54:00Z</cp:lastPrinted>
  <dcterms:modified xsi:type="dcterms:W3CDTF">2026-09-24T14:12:47Z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2052-11.8.2.12219</vt:lpwstr>
  </property>
  <property fmtid="{D5CDD505-2E9C-101B-9397-08002B2CF9AE}" pid="3" name="ICV">
    <vt:lpwstr>2A22CB3ED0E984523078A668C0753865</vt:lpwstr>
  </property>
</Properties>
</file>