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方正仿宋简体" w:cs="Times New Roman"/>
          <w:b/>
          <w:bCs w:val="0"/>
          <w:kern w:val="44"/>
          <w:sz w:val="36"/>
          <w:szCs w:val="36"/>
        </w:rPr>
      </w:pPr>
      <w:r>
        <w:rPr>
          <w:rFonts w:ascii="Times New Roman" w:hAnsi="Times New Roman" w:eastAsia="方正仿宋简体" w:cs="Times New Roman"/>
          <w:b/>
          <w:bCs w:val="0"/>
          <w:kern w:val="44"/>
          <w:sz w:val="36"/>
          <w:szCs w:val="36"/>
        </w:rPr>
        <w:t>Appendix 1</w:t>
      </w:r>
    </w:p>
    <w:p>
      <w:pPr>
        <w:jc w:val="left"/>
        <w:rPr>
          <w:rFonts w:ascii="Times New Roman" w:hAnsi="Times New Roman" w:eastAsia="方正仿宋简体" w:cs="Times New Roman"/>
          <w:bCs/>
          <w:kern w:val="44"/>
          <w:sz w:val="42"/>
          <w:szCs w:val="42"/>
        </w:rPr>
      </w:pPr>
    </w:p>
    <w:p>
      <w:pPr>
        <w:jc w:val="center"/>
        <w:rPr>
          <w:rFonts w:ascii="Times New Roman" w:hAnsi="Times New Roman" w:cs="Times New Roman"/>
          <w:b/>
          <w:sz w:val="32"/>
          <w:szCs w:val="30"/>
        </w:rPr>
      </w:pPr>
      <w:bookmarkStart w:id="0" w:name="_GoBack"/>
      <w:r>
        <w:rPr>
          <w:rFonts w:hint="eastAsia" w:ascii="Times New Roman" w:hAnsi="Times New Roman" w:cs="Times New Roman"/>
          <w:b/>
          <w:sz w:val="32"/>
          <w:szCs w:val="30"/>
        </w:rPr>
        <w:t>SHFE</w:t>
      </w:r>
      <w:r>
        <w:rPr>
          <w:rFonts w:ascii="Times New Roman" w:hAnsi="Times New Roman" w:cs="Times New Roman"/>
          <w:b/>
          <w:sz w:val="32"/>
          <w:szCs w:val="30"/>
        </w:rPr>
        <w:t xml:space="preserve"> </w:t>
      </w:r>
      <w:r>
        <w:rPr>
          <w:rFonts w:hint="eastAsia" w:ascii="Times New Roman" w:hAnsi="Times New Roman" w:cs="Times New Roman"/>
          <w:b/>
          <w:sz w:val="32"/>
          <w:szCs w:val="30"/>
        </w:rPr>
        <w:t xml:space="preserve">Hot-Rolled Coil </w:t>
      </w:r>
      <w:r>
        <w:rPr>
          <w:rFonts w:ascii="Times New Roman" w:hAnsi="Times New Roman" w:cs="Times New Roman"/>
          <w:b/>
          <w:sz w:val="32"/>
          <w:szCs w:val="30"/>
        </w:rPr>
        <w:t>Options Contract Specifications</w:t>
      </w:r>
    </w:p>
    <w:bookmarkEnd w:id="0"/>
    <w:p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4"/>
        <w:tblW w:w="5096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  <w:gridCol w:w="64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</w:trPr>
        <w:tc>
          <w:tcPr>
            <w:tcW w:w="125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  <w:t>Underlying</w:t>
            </w:r>
          </w:p>
        </w:tc>
        <w:tc>
          <w:tcPr>
            <w:tcW w:w="374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before="31" w:beforeLines="10" w:after="31" w:afterLines="10" w:line="360" w:lineRule="auto"/>
              <w:rPr>
                <w:rFonts w:ascii="Times New Roman" w:hAnsi="Times New Roman" w:eastAsia="方正仿宋简体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>SHFE</w:t>
            </w:r>
            <w:r>
              <w:rPr>
                <w:rFonts w:ascii="Times New Roman" w:hAnsi="Times New Roman" w:eastAsia="方正仿宋简体"/>
                <w:sz w:val="24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>Hot-Rolled Coil</w:t>
            </w:r>
            <w:r>
              <w:rPr>
                <w:rFonts w:hint="eastAsia" w:ascii="Times New Roman" w:hAnsi="Times New Roman" w:cs="Times New Roman"/>
                <w:b/>
                <w:sz w:val="32"/>
                <w:szCs w:val="30"/>
              </w:rPr>
              <w:t xml:space="preserve"> </w:t>
            </w:r>
            <w:r>
              <w:rPr>
                <w:rFonts w:ascii="Times New Roman" w:hAnsi="Times New Roman" w:eastAsia="方正仿宋简体"/>
                <w:sz w:val="24"/>
                <w:szCs w:val="28"/>
              </w:rPr>
              <w:t xml:space="preserve">Futures </w:t>
            </w: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>(HC</w:t>
            </w:r>
            <w:r>
              <w:rPr>
                <w:rFonts w:ascii="Times New Roman" w:hAnsi="Times New Roman" w:eastAsia="方正仿宋简体"/>
                <w:sz w:val="24"/>
                <w:szCs w:val="28"/>
              </w:rPr>
              <w:t>) Contract (10 metric tons)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125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adjustRightInd w:val="0"/>
              <w:snapToGrid w:val="0"/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  <w:t>Contract Type</w:t>
            </w:r>
          </w:p>
        </w:tc>
        <w:tc>
          <w:tcPr>
            <w:tcW w:w="374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sz w:val="24"/>
                <w:szCs w:val="28"/>
              </w:rPr>
              <w:t>Call option and put option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25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  <w:t>Contract Size</w:t>
            </w:r>
          </w:p>
        </w:tc>
        <w:tc>
          <w:tcPr>
            <w:tcW w:w="374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sz w:val="24"/>
                <w:szCs w:val="28"/>
              </w:rPr>
              <w:t xml:space="preserve">1 </w:t>
            </w: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 xml:space="preserve">HC </w:t>
            </w:r>
            <w:r>
              <w:rPr>
                <w:rFonts w:ascii="Times New Roman" w:hAnsi="Times New Roman" w:eastAsia="方正仿宋简体"/>
                <w:sz w:val="24"/>
                <w:szCs w:val="28"/>
              </w:rPr>
              <w:t>contract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25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Price Quotation</w:t>
            </w:r>
          </w:p>
        </w:tc>
        <w:tc>
          <w:tcPr>
            <w:tcW w:w="374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sz w:val="24"/>
                <w:szCs w:val="28"/>
              </w:rPr>
              <w:t>(RMB) Yuan/ton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25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  <w:t>Minimum Price Fluctuation</w:t>
            </w:r>
          </w:p>
        </w:tc>
        <w:tc>
          <w:tcPr>
            <w:tcW w:w="374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sz w:val="24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>0.5</w:t>
            </w:r>
            <w:r>
              <w:rPr>
                <w:rFonts w:ascii="Times New Roman" w:hAnsi="Times New Roman" w:eastAsia="方正仿宋简体"/>
                <w:sz w:val="24"/>
                <w:szCs w:val="28"/>
              </w:rPr>
              <w:t xml:space="preserve"> Yuan/ton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</w:trPr>
        <w:tc>
          <w:tcPr>
            <w:tcW w:w="125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Daily Price Limit</w:t>
            </w:r>
          </w:p>
        </w:tc>
        <w:tc>
          <w:tcPr>
            <w:tcW w:w="374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"/>
              <w:spacing w:line="360" w:lineRule="auto"/>
              <w:rPr>
                <w:sz w:val="36"/>
                <w:szCs w:val="36"/>
              </w:rPr>
            </w:pPr>
            <w:r>
              <w:rPr>
                <w:rFonts w:ascii="Times New Roman" w:hAnsi="Times New Roman" w:eastAsia="方正仿宋简体" w:cstheme="minorBidi"/>
                <w:b w:val="0"/>
                <w:bCs w:val="0"/>
                <w:sz w:val="24"/>
                <w:szCs w:val="28"/>
              </w:rPr>
              <w:t>Same as that for the</w:t>
            </w:r>
            <w:r>
              <w:rPr>
                <w:rFonts w:hint="eastAsia" w:ascii="Times New Roman" w:hAnsi="Times New Roman" w:eastAsia="方正仿宋简体" w:cstheme="minorBidi"/>
                <w:b w:val="0"/>
                <w:bCs w:val="0"/>
                <w:sz w:val="24"/>
                <w:szCs w:val="28"/>
              </w:rPr>
              <w:t xml:space="preserve"> Hot-Rolled Coil futures </w:t>
            </w:r>
            <w:r>
              <w:rPr>
                <w:rFonts w:ascii="Times New Roman" w:hAnsi="Times New Roman" w:eastAsia="方正仿宋简体" w:cstheme="minorBidi"/>
                <w:b w:val="0"/>
                <w:bCs w:val="0"/>
                <w:sz w:val="24"/>
                <w:szCs w:val="28"/>
              </w:rPr>
              <w:t xml:space="preserve">contract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25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  <w:t>Listed Contracts</w:t>
            </w:r>
          </w:p>
        </w:tc>
        <w:tc>
          <w:tcPr>
            <w:tcW w:w="374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Option contracts will be listed for the nearest two consecutive months and, when the open interest of the underlying futures contract after daily clearing reaches a specific threshold separately announced by </w:t>
            </w:r>
            <w:r>
              <w:rPr>
                <w:rFonts w:hint="eastAsia" w:ascii="Times New Roman" w:hAnsi="Times New Roman"/>
                <w:sz w:val="24"/>
                <w:szCs w:val="28"/>
              </w:rPr>
              <w:t>SHFE</w:t>
            </w:r>
            <w:r>
              <w:rPr>
                <w:rFonts w:ascii="Times New Roman" w:hAnsi="Times New Roman"/>
                <w:sz w:val="24"/>
                <w:szCs w:val="28"/>
              </w:rPr>
              <w:t>, for later months on the second trading day thereafter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25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  <w:t>Trading Hours</w:t>
            </w:r>
          </w:p>
        </w:tc>
        <w:tc>
          <w:tcPr>
            <w:tcW w:w="374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sz w:val="24"/>
                <w:szCs w:val="28"/>
              </w:rPr>
              <w:t xml:space="preserve">9:00 a.m. to 11:30 a.m., 1:30 p.m. to 3:00 p.m., and other hours specified by </w:t>
            </w: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>SHFE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25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  <w:t>Last Trading Day</w:t>
            </w:r>
          </w:p>
        </w:tc>
        <w:tc>
          <w:tcPr>
            <w:tcW w:w="374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eastAsia="方正仿宋简体"/>
                <w:sz w:val="24"/>
                <w:szCs w:val="28"/>
              </w:rPr>
              <w:t xml:space="preserve">The five-to-last trading day of the month before the delivery month of the underlying </w:t>
            </w: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>HC</w:t>
            </w:r>
            <w:r>
              <w:rPr>
                <w:rFonts w:ascii="Times New Roman" w:hAnsi="Times New Roman" w:eastAsia="方正仿宋简体"/>
                <w:sz w:val="24"/>
                <w:szCs w:val="28"/>
              </w:rPr>
              <w:t xml:space="preserve"> contract (subject to adjustment by </w:t>
            </w: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>SHFE</w:t>
            </w:r>
            <w:r>
              <w:rPr>
                <w:rFonts w:ascii="Times New Roman" w:hAnsi="Times New Roman" w:eastAsia="方正仿宋简体"/>
                <w:sz w:val="24"/>
                <w:szCs w:val="28"/>
              </w:rPr>
              <w:t xml:space="preserve"> in case of a national holiday and other special circumstances)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25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  <w:t>Expiration Date</w:t>
            </w:r>
          </w:p>
        </w:tc>
        <w:tc>
          <w:tcPr>
            <w:tcW w:w="374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sz w:val="24"/>
                <w:szCs w:val="28"/>
              </w:rPr>
              <w:t>Same as the last trading day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25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  <w:t>Strike Price</w:t>
            </w:r>
          </w:p>
        </w:tc>
        <w:tc>
          <w:tcPr>
            <w:tcW w:w="374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rPr>
                <w:rFonts w:ascii="Times New Roman" w:hAnsi="Times New Roman" w:eastAsia="方正仿宋简体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The range of strike price is the previous trading day’s settlement price of the </w:t>
            </w:r>
            <w:r>
              <w:rPr>
                <w:rFonts w:hint="eastAsia" w:ascii="Times New Roman" w:hAnsi="Times New Roman" w:cs="Times New Roman"/>
                <w:sz w:val="24"/>
                <w:szCs w:val="28"/>
              </w:rPr>
              <w:t>HC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contract plus or minus 1.5 times the current day’s price limit. The strike price interval is </w:t>
            </w:r>
            <w:r>
              <w:rPr>
                <w:rFonts w:hint="eastAsia" w:ascii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 Yuan/ton if strike price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8"/>
              </w:rPr>
              <w:t>≤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000 Yuan/ton; </w:t>
            </w:r>
            <w:r>
              <w:rPr>
                <w:rFonts w:hint="eastAsia"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 Yuan/ton if </w:t>
            </w:r>
            <w:r>
              <w:rPr>
                <w:rFonts w:hint="eastAsia"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00 Yuan/ton </w:t>
            </w:r>
            <w:r>
              <w:rPr>
                <w:rFonts w:ascii="Times New Roman" w:hAnsi="Times New Roman" w:eastAsia="方正仿宋简体" w:cs="Times New Roman"/>
                <w:sz w:val="24"/>
                <w:szCs w:val="28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strike price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8"/>
              </w:rPr>
              <w:t xml:space="preserve">≤ 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00 Yuan/ton; </w:t>
            </w:r>
            <w:r>
              <w:rPr>
                <w:rFonts w:hint="eastAsia"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00 Yuan/ton if strike price </w:t>
            </w:r>
            <w:r>
              <w:rPr>
                <w:rFonts w:ascii="Times New Roman" w:hAnsi="Times New Roman" w:eastAsia="方正仿宋简体" w:cs="Times New Roman"/>
                <w:sz w:val="24"/>
                <w:szCs w:val="28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000 Yuan/ ton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25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  <w:t>Option Style</w:t>
            </w:r>
          </w:p>
        </w:tc>
        <w:tc>
          <w:tcPr>
            <w:tcW w:w="374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American style. Buyers may submit an exercise request during trading hours on any trading day before the expiration date and an exercise or abandonment request before 3:30 p.m. on the expiration date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25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  <w:t>Contract Symbol</w:t>
            </w:r>
          </w:p>
        </w:tc>
        <w:tc>
          <w:tcPr>
            <w:tcW w:w="374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sz w:val="24"/>
                <w:szCs w:val="28"/>
              </w:rPr>
              <w:t xml:space="preserve">Call option: </w:t>
            </w: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>HC</w:t>
            </w:r>
            <w:r>
              <w:rPr>
                <w:rFonts w:ascii="Times New Roman" w:hAnsi="Times New Roman" w:eastAsia="方正仿宋简体"/>
                <w:sz w:val="24"/>
                <w:szCs w:val="28"/>
              </w:rPr>
              <w:t>-Contract Month-C-Strike Price</w:t>
            </w:r>
          </w:p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eastAsia="方正仿宋简体"/>
                <w:sz w:val="24"/>
                <w:szCs w:val="28"/>
              </w:rPr>
              <w:t xml:space="preserve">Put option: </w:t>
            </w: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>HC</w:t>
            </w:r>
            <w:r>
              <w:rPr>
                <w:rFonts w:ascii="Times New Roman" w:hAnsi="Times New Roman" w:eastAsia="方正仿宋简体"/>
                <w:sz w:val="24"/>
                <w:szCs w:val="28"/>
              </w:rPr>
              <w:t>-Contract Month-P-Strike Price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25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b/>
                <w:bCs/>
                <w:sz w:val="24"/>
                <w:szCs w:val="28"/>
              </w:rPr>
              <w:t>Listing Exchange</w:t>
            </w:r>
          </w:p>
        </w:tc>
        <w:tc>
          <w:tcPr>
            <w:tcW w:w="3745" w:type="pct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before="31" w:beforeLines="10" w:after="31" w:afterLines="10" w:line="360" w:lineRule="auto"/>
              <w:rPr>
                <w:rFonts w:ascii="Times New Roman" w:hAnsi="Times New Roman" w:eastAsia="方正仿宋简体"/>
                <w:sz w:val="24"/>
                <w:szCs w:val="28"/>
              </w:rPr>
            </w:pPr>
            <w:r>
              <w:rPr>
                <w:rFonts w:ascii="Times New Roman" w:hAnsi="Times New Roman" w:eastAsia="方正仿宋简体"/>
                <w:sz w:val="24"/>
                <w:szCs w:val="28"/>
              </w:rPr>
              <w:t xml:space="preserve">Shanghai </w:t>
            </w: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>Futures</w:t>
            </w:r>
            <w:r>
              <w:rPr>
                <w:rFonts w:ascii="Times New Roman" w:hAnsi="Times New Roman" w:eastAsia="方正仿宋简体"/>
                <w:sz w:val="24"/>
                <w:szCs w:val="28"/>
              </w:rPr>
              <w:t xml:space="preserve"> Exchange (</w:t>
            </w:r>
            <w:r>
              <w:rPr>
                <w:rFonts w:hint="eastAsia" w:ascii="Times New Roman" w:hAnsi="Times New Roman" w:eastAsia="方正仿宋简体"/>
                <w:sz w:val="24"/>
                <w:szCs w:val="28"/>
              </w:rPr>
              <w:t>SHFE</w:t>
            </w:r>
            <w:r>
              <w:rPr>
                <w:rFonts w:ascii="Times New Roman" w:hAnsi="Times New Roman" w:eastAsia="方正仿宋简体"/>
                <w:sz w:val="24"/>
                <w:szCs w:val="28"/>
              </w:rPr>
              <w:t>)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方正仿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3B468"/>
    <w:rsid w:val="67D3B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Theme="majorHAnsi" w:hAnsiTheme="majorHAnsi" w:eastAsiaTheme="majorEastAsia" w:cstheme="majorBidi"/>
      <w:b/>
      <w:bCs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2026-07-23T09:02:00Z</dcterms:created>
  <dc:creator>ji.shuoren</dc:creator>
  <cp:lastModifiedBy>ji.shuoren</cp:lastModifiedBy>
  <dcterms:modified xsi:type="dcterms:W3CDTF">2026-07-23T09:02:44Z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A84788F77171C3B32668616A0CFF6784</vt:lpwstr>
  </property>
</Properties>
</file>