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312" w:afterLines="100" w:line="276" w:lineRule="auto"/>
        <w:jc w:val="center"/>
        <w:rPr>
          <w:rFonts w:eastAsia="华文中宋"/>
          <w:b/>
          <w:sz w:val="28"/>
          <w:szCs w:val="28"/>
        </w:rPr>
      </w:pPr>
      <w:r>
        <w:rPr>
          <w:rFonts w:eastAsia="华文中宋"/>
          <w:b/>
          <w:sz w:val="28"/>
          <w:szCs w:val="28"/>
        </w:rPr>
        <w:t>C</w:t>
      </w:r>
      <w:r>
        <w:rPr>
          <w:rFonts w:hint="eastAsia" w:eastAsia="华文中宋"/>
          <w:b/>
          <w:sz w:val="28"/>
          <w:szCs w:val="28"/>
        </w:rPr>
        <w:t>OPPER</w:t>
      </w:r>
      <w:r>
        <w:rPr>
          <w:rFonts w:eastAsia="华文中宋"/>
          <w:b/>
          <w:sz w:val="28"/>
          <w:szCs w:val="28"/>
        </w:rPr>
        <w:t xml:space="preserve"> C</w:t>
      </w:r>
      <w:r>
        <w:rPr>
          <w:rFonts w:hint="eastAsia" w:eastAsia="华文中宋"/>
          <w:b/>
          <w:sz w:val="28"/>
          <w:szCs w:val="28"/>
        </w:rPr>
        <w:t>ATHODE</w:t>
      </w:r>
      <w:r>
        <w:rPr>
          <w:rFonts w:eastAsia="华文中宋"/>
          <w:b/>
          <w:sz w:val="28"/>
          <w:szCs w:val="28"/>
        </w:rPr>
        <w:t xml:space="preserve"> FUTURES RULES OF THE SHANGHAI FUTURES EXCHANGE</w:t>
      </w:r>
      <w:bookmarkStart w:id="0" w:name="_Hlk46334348"/>
    </w:p>
    <w:bookmarkEnd w:id="0"/>
    <w:p>
      <w:pPr>
        <w:widowControl/>
        <w:tabs>
          <w:tab w:val="left" w:pos="1560"/>
        </w:tabs>
        <w:adjustRightInd w:val="0"/>
        <w:snapToGrid w:val="0"/>
        <w:spacing w:before="468" w:beforeLines="150" w:after="312" w:afterLines="100" w:line="276" w:lineRule="auto"/>
        <w:jc w:val="center"/>
        <w:rPr>
          <w:b/>
          <w:sz w:val="22"/>
          <w:szCs w:val="22"/>
        </w:rPr>
      </w:pPr>
      <w:r>
        <w:rPr>
          <w:b/>
          <w:sz w:val="22"/>
          <w:szCs w:val="22"/>
        </w:rPr>
        <w:t>CHAPTER 1</w:t>
      </w:r>
      <w:r>
        <w:rPr>
          <w:b/>
          <w:sz w:val="22"/>
          <w:szCs w:val="22"/>
        </w:rPr>
        <w:tab/>
      </w:r>
      <w:r>
        <w:rPr>
          <w:b/>
          <w:sz w:val="22"/>
          <w:szCs w:val="22"/>
        </w:rPr>
        <w:t>GENERAL PROVISIONS</w:t>
      </w:r>
    </w:p>
    <w:p>
      <w:pPr>
        <w:tabs>
          <w:tab w:val="left" w:pos="1204"/>
        </w:tabs>
        <w:adjustRightInd w:val="0"/>
        <w:snapToGrid w:val="0"/>
        <w:spacing w:after="312" w:afterLines="100" w:line="276" w:lineRule="auto"/>
        <w:jc w:val="left"/>
        <w:rPr>
          <w:sz w:val="22"/>
          <w:szCs w:val="22"/>
        </w:rPr>
      </w:pPr>
      <w:bookmarkStart w:id="1" w:name="_Hlk501444119"/>
      <w:r>
        <w:rPr>
          <w:b/>
          <w:bCs/>
          <w:sz w:val="22"/>
          <w:szCs w:val="22"/>
        </w:rPr>
        <w:t>Article 1</w:t>
      </w:r>
      <w:r>
        <w:rPr>
          <w:sz w:val="22"/>
          <w:szCs w:val="22"/>
        </w:rPr>
        <w:tab/>
      </w:r>
      <w:r>
        <w:rPr>
          <w:sz w:val="22"/>
          <w:szCs w:val="22"/>
        </w:rPr>
        <w:t xml:space="preserve">These </w:t>
      </w:r>
      <w:r>
        <w:rPr>
          <w:i/>
          <w:sz w:val="22"/>
          <w:szCs w:val="22"/>
        </w:rPr>
        <w:t>Copper Cathode Futures Rules</w:t>
      </w:r>
      <w:r>
        <w:rPr>
          <w:sz w:val="22"/>
          <w:szCs w:val="22"/>
        </w:rPr>
        <w:t xml:space="preserve"> are made in accordance with the </w:t>
      </w:r>
      <w:r>
        <w:rPr>
          <w:i/>
          <w:iCs/>
          <w:sz w:val="22"/>
          <w:szCs w:val="22"/>
        </w:rPr>
        <w:t>General Exchange Rules of the Shanghai Futures Exchange</w:t>
      </w:r>
      <w:r>
        <w:rPr>
          <w:rFonts w:hint="eastAsia"/>
          <w:sz w:val="22"/>
          <w:szCs w:val="22"/>
        </w:rPr>
        <w:t>,</w:t>
      </w:r>
      <w:r>
        <w:rPr>
          <w:sz w:val="22"/>
          <w:szCs w:val="22"/>
        </w:rPr>
        <w:t xml:space="preserve"> </w:t>
      </w:r>
      <w:r>
        <w:rPr>
          <w:rFonts w:hint="eastAsia"/>
          <w:sz w:val="22"/>
          <w:szCs w:val="22"/>
        </w:rPr>
        <w:t>the</w:t>
      </w:r>
      <w:r>
        <w:rPr>
          <w:rFonts w:hint="eastAsia"/>
          <w:i/>
          <w:iCs/>
          <w:sz w:val="22"/>
          <w:szCs w:val="22"/>
        </w:rPr>
        <w:t xml:space="preserve"> SHFE </w:t>
      </w:r>
      <w:r>
        <w:rPr>
          <w:i/>
          <w:iCs/>
          <w:sz w:val="22"/>
          <w:szCs w:val="22"/>
        </w:rPr>
        <w:t xml:space="preserve">Copper Cathode Futures Contract </w:t>
      </w:r>
      <w:r>
        <w:rPr>
          <w:rFonts w:hint="eastAsia"/>
          <w:i/>
          <w:iCs/>
          <w:sz w:val="22"/>
          <w:szCs w:val="22"/>
        </w:rPr>
        <w:t>Specifications</w:t>
      </w:r>
      <w:r>
        <w:rPr>
          <w:rFonts w:hint="eastAsia"/>
          <w:sz w:val="22"/>
          <w:szCs w:val="22"/>
        </w:rPr>
        <w:t>, and the relevant business rul</w:t>
      </w:r>
      <w:bookmarkStart w:id="5" w:name="_GoBack"/>
      <w:bookmarkEnd w:id="5"/>
      <w:r>
        <w:rPr>
          <w:rFonts w:hint="eastAsia"/>
          <w:sz w:val="22"/>
          <w:szCs w:val="22"/>
        </w:rPr>
        <w:t>es</w:t>
      </w:r>
      <w:r>
        <w:rPr>
          <w:rFonts w:hint="eastAsia"/>
          <w:b/>
          <w:bCs/>
          <w:sz w:val="22"/>
          <w:szCs w:val="22"/>
        </w:rPr>
        <w:t xml:space="preserve"> </w:t>
      </w:r>
      <w:r>
        <w:rPr>
          <w:sz w:val="22"/>
          <w:szCs w:val="22"/>
        </w:rPr>
        <w:t xml:space="preserve">to </w:t>
      </w:r>
      <w:r>
        <w:rPr>
          <w:rFonts w:hint="eastAsia"/>
          <w:sz w:val="22"/>
          <w:szCs w:val="22"/>
        </w:rPr>
        <w:t>regulate business related to c</w:t>
      </w:r>
      <w:r>
        <w:rPr>
          <w:sz w:val="22"/>
          <w:szCs w:val="22"/>
        </w:rPr>
        <w:t xml:space="preserve">opper </w:t>
      </w:r>
      <w:r>
        <w:rPr>
          <w:rFonts w:hint="eastAsia"/>
          <w:sz w:val="22"/>
          <w:szCs w:val="22"/>
        </w:rPr>
        <w:t>c</w:t>
      </w:r>
      <w:r>
        <w:rPr>
          <w:sz w:val="22"/>
          <w:szCs w:val="22"/>
        </w:rPr>
        <w:t xml:space="preserve">athode </w:t>
      </w:r>
      <w:r>
        <w:rPr>
          <w:rFonts w:hint="eastAsia"/>
          <w:sz w:val="22"/>
          <w:szCs w:val="22"/>
        </w:rPr>
        <w:t>f</w:t>
      </w:r>
      <w:r>
        <w:rPr>
          <w:sz w:val="22"/>
          <w:szCs w:val="22"/>
        </w:rPr>
        <w:t>utures</w:t>
      </w:r>
      <w:r>
        <w:rPr>
          <w:rFonts w:hint="eastAsia"/>
          <w:sz w:val="22"/>
          <w:szCs w:val="22"/>
        </w:rPr>
        <w:t xml:space="preserve"> (the </w:t>
      </w:r>
      <w:r>
        <w:rPr>
          <w:sz w:val="22"/>
          <w:szCs w:val="22"/>
        </w:rPr>
        <w:t>“</w:t>
      </w:r>
      <w:r>
        <w:rPr>
          <w:rFonts w:hint="eastAsia"/>
          <w:sz w:val="22"/>
          <w:szCs w:val="22"/>
        </w:rPr>
        <w:t>copper futures</w:t>
      </w:r>
      <w:r>
        <w:rPr>
          <w:sz w:val="22"/>
          <w:szCs w:val="22"/>
        </w:rPr>
        <w:t>”</w:t>
      </w:r>
      <w:r>
        <w:rPr>
          <w:rFonts w:hint="eastAsia"/>
          <w:sz w:val="22"/>
          <w:szCs w:val="22"/>
        </w:rPr>
        <w:t xml:space="preserve">) </w:t>
      </w:r>
      <w:r>
        <w:rPr>
          <w:sz w:val="22"/>
          <w:szCs w:val="22"/>
        </w:rPr>
        <w:t>at the Shanghai Futures Exchange (the “Exchange”)</w:t>
      </w:r>
      <w:r>
        <w:rPr>
          <w:rFonts w:hint="eastAsia"/>
          <w:sz w:val="22"/>
          <w:szCs w:val="22"/>
        </w:rPr>
        <w:t>.</w:t>
      </w:r>
    </w:p>
    <w:bookmarkEnd w:id="1"/>
    <w:p>
      <w:pPr>
        <w:tabs>
          <w:tab w:val="left" w:pos="1204"/>
        </w:tabs>
        <w:adjustRightInd w:val="0"/>
        <w:snapToGrid w:val="0"/>
        <w:spacing w:after="312" w:afterLines="100" w:line="276" w:lineRule="auto"/>
        <w:jc w:val="left"/>
        <w:rPr>
          <w:color w:val="000000"/>
          <w:kern w:val="0"/>
          <w:sz w:val="22"/>
          <w:szCs w:val="22"/>
        </w:rPr>
      </w:pPr>
      <w:r>
        <w:rPr>
          <w:b/>
          <w:bCs/>
          <w:color w:val="000000"/>
          <w:sz w:val="22"/>
          <w:szCs w:val="22"/>
        </w:rPr>
        <w:t>Article 2</w:t>
      </w:r>
      <w:r>
        <w:rPr>
          <w:color w:val="000000"/>
          <w:sz w:val="22"/>
          <w:szCs w:val="22"/>
        </w:rPr>
        <w:tab/>
      </w:r>
      <w:r>
        <w:rPr>
          <w:color w:val="000000"/>
          <w:sz w:val="22"/>
          <w:szCs w:val="22"/>
        </w:rPr>
        <w:t xml:space="preserve">These </w:t>
      </w:r>
      <w:r>
        <w:rPr>
          <w:i/>
          <w:sz w:val="22"/>
          <w:szCs w:val="22"/>
        </w:rPr>
        <w:t>Copper Cathode Futures Rules</w:t>
      </w:r>
      <w:r>
        <w:rPr>
          <w:color w:val="000000"/>
          <w:sz w:val="22"/>
          <w:szCs w:val="22"/>
        </w:rPr>
        <w:t xml:space="preserve"> shall be observed by the Exchange, Members, Clients, </w:t>
      </w:r>
      <w:r>
        <w:rPr>
          <w:rFonts w:hint="eastAsia"/>
          <w:color w:val="000000"/>
          <w:sz w:val="22"/>
          <w:szCs w:val="22"/>
        </w:rPr>
        <w:t xml:space="preserve">Delivery Storage Facilities, Designated Inspection Agencies, </w:t>
      </w:r>
      <w:r>
        <w:rPr>
          <w:color w:val="000000"/>
          <w:sz w:val="22"/>
          <w:szCs w:val="22"/>
        </w:rPr>
        <w:t xml:space="preserve">Futures </w:t>
      </w:r>
      <w:r>
        <w:rPr>
          <w:rFonts w:hint="eastAsia"/>
          <w:color w:val="000000"/>
          <w:sz w:val="22"/>
          <w:szCs w:val="22"/>
        </w:rPr>
        <w:t>M</w:t>
      </w:r>
      <w:r>
        <w:rPr>
          <w:color w:val="000000"/>
          <w:sz w:val="22"/>
          <w:szCs w:val="22"/>
        </w:rPr>
        <w:t xml:space="preserve">argin </w:t>
      </w:r>
      <w:r>
        <w:rPr>
          <w:rFonts w:hint="eastAsia"/>
          <w:color w:val="000000"/>
          <w:sz w:val="22"/>
          <w:szCs w:val="22"/>
        </w:rPr>
        <w:t>D</w:t>
      </w:r>
      <w:r>
        <w:rPr>
          <w:color w:val="000000"/>
          <w:sz w:val="22"/>
          <w:szCs w:val="22"/>
        </w:rPr>
        <w:t>epository</w:t>
      </w:r>
      <w:r>
        <w:rPr>
          <w:rFonts w:hint="eastAsia"/>
          <w:color w:val="000000"/>
          <w:sz w:val="22"/>
          <w:szCs w:val="22"/>
        </w:rPr>
        <w:t xml:space="preserve"> Institutions, and other participants of the futures market</w:t>
      </w:r>
      <w:r>
        <w:rPr>
          <w:color w:val="000000"/>
          <w:sz w:val="22"/>
          <w:szCs w:val="22"/>
        </w:rPr>
        <w:t>.</w:t>
      </w:r>
    </w:p>
    <w:p>
      <w:pPr>
        <w:widowControl/>
        <w:tabs>
          <w:tab w:val="left" w:pos="1560"/>
        </w:tabs>
        <w:adjustRightInd w:val="0"/>
        <w:snapToGrid w:val="0"/>
        <w:spacing w:before="468" w:beforeLines="150" w:after="312" w:afterLines="100" w:line="276" w:lineRule="auto"/>
        <w:jc w:val="center"/>
        <w:rPr>
          <w:b/>
          <w:sz w:val="22"/>
          <w:szCs w:val="22"/>
        </w:rPr>
      </w:pPr>
      <w:bookmarkStart w:id="2" w:name="OLE_LINK1"/>
      <w:r>
        <w:rPr>
          <w:b/>
          <w:sz w:val="22"/>
          <w:szCs w:val="22"/>
        </w:rPr>
        <w:t xml:space="preserve">CHAPTER </w:t>
      </w:r>
      <w:r>
        <w:rPr>
          <w:rFonts w:hint="eastAsia"/>
          <w:b/>
          <w:sz w:val="22"/>
          <w:szCs w:val="22"/>
        </w:rPr>
        <w:t>2</w:t>
      </w:r>
      <w:r>
        <w:rPr>
          <w:b/>
          <w:sz w:val="22"/>
          <w:szCs w:val="22"/>
        </w:rPr>
        <w:tab/>
      </w:r>
      <w:r>
        <w:rPr>
          <w:rFonts w:hint="eastAsia"/>
          <w:b/>
          <w:sz w:val="22"/>
          <w:szCs w:val="22"/>
        </w:rPr>
        <w:t>TRADING</w:t>
      </w:r>
    </w:p>
    <w:bookmarkEnd w:id="2"/>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3</w:t>
      </w:r>
      <w:r>
        <w:rPr>
          <w:sz w:val="22"/>
          <w:szCs w:val="22"/>
        </w:rPr>
        <w:tab/>
      </w:r>
      <w:r>
        <w:rPr>
          <w:rFonts w:hint="eastAsia"/>
          <w:sz w:val="22"/>
          <w:szCs w:val="22"/>
        </w:rPr>
        <w:t xml:space="preserve">Contract size for </w:t>
      </w:r>
      <w:r>
        <w:rPr>
          <w:sz w:val="22"/>
          <w:szCs w:val="22"/>
        </w:rPr>
        <w:t xml:space="preserve">copper </w:t>
      </w:r>
      <w:r>
        <w:rPr>
          <w:rFonts w:hint="eastAsia"/>
          <w:sz w:val="22"/>
          <w:szCs w:val="22"/>
        </w:rPr>
        <w:t>futures</w:t>
      </w:r>
      <w:r>
        <w:rPr>
          <w:sz w:val="22"/>
          <w:szCs w:val="22"/>
        </w:rPr>
        <w:t xml:space="preserve"> is </w:t>
      </w:r>
      <w:r>
        <w:rPr>
          <w:rFonts w:hint="eastAsia"/>
          <w:sz w:val="22"/>
          <w:szCs w:val="22"/>
        </w:rPr>
        <w:t>five (</w:t>
      </w:r>
      <w:r>
        <w:rPr>
          <w:sz w:val="22"/>
          <w:szCs w:val="22"/>
        </w:rPr>
        <w:t>5</w:t>
      </w:r>
      <w:r>
        <w:rPr>
          <w:rFonts w:hint="eastAsia"/>
          <w:sz w:val="22"/>
          <w:szCs w:val="22"/>
        </w:rPr>
        <w:t>)</w:t>
      </w:r>
      <w:r>
        <w:rPr>
          <w:sz w:val="22"/>
          <w:szCs w:val="22"/>
        </w:rPr>
        <w:t xml:space="preserve"> </w:t>
      </w:r>
      <w:r>
        <w:rPr>
          <w:rFonts w:hint="eastAsia"/>
          <w:sz w:val="22"/>
          <w:szCs w:val="22"/>
        </w:rPr>
        <w:t xml:space="preserve">metric </w:t>
      </w:r>
      <w:r>
        <w:rPr>
          <w:sz w:val="22"/>
          <w:szCs w:val="22"/>
        </w:rPr>
        <w:t>tons per lot</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color w:val="000000"/>
          <w:sz w:val="22"/>
          <w:szCs w:val="22"/>
        </w:rPr>
        <w:t xml:space="preserve">Article </w:t>
      </w:r>
      <w:r>
        <w:rPr>
          <w:rFonts w:hint="eastAsia"/>
          <w:b/>
          <w:bCs/>
          <w:color w:val="000000"/>
          <w:sz w:val="22"/>
          <w:szCs w:val="22"/>
        </w:rPr>
        <w:t>4</w:t>
      </w:r>
      <w:r>
        <w:rPr>
          <w:color w:val="000000"/>
          <w:sz w:val="22"/>
          <w:szCs w:val="22"/>
        </w:rPr>
        <w:tab/>
      </w:r>
      <w:r>
        <w:rPr>
          <w:rFonts w:hint="eastAsia"/>
          <w:color w:val="000000"/>
          <w:sz w:val="22"/>
          <w:szCs w:val="22"/>
        </w:rPr>
        <w:t xml:space="preserve">Price quotation of a </w:t>
      </w:r>
      <w:r>
        <w:rPr>
          <w:sz w:val="22"/>
          <w:szCs w:val="22"/>
        </w:rPr>
        <w:t xml:space="preserve">copper </w:t>
      </w:r>
      <w:r>
        <w:rPr>
          <w:rFonts w:hint="eastAsia"/>
          <w:sz w:val="22"/>
          <w:szCs w:val="22"/>
        </w:rPr>
        <w:t>futures</w:t>
      </w:r>
      <w:r>
        <w:rPr>
          <w:sz w:val="22"/>
          <w:szCs w:val="22"/>
        </w:rPr>
        <w:t xml:space="preserve"> contract is</w:t>
      </w:r>
      <w:r>
        <w:rPr>
          <w:rFonts w:hint="eastAsia"/>
          <w:sz w:val="22"/>
          <w:szCs w:val="22"/>
        </w:rPr>
        <w:t xml:space="preserve"> </w:t>
      </w:r>
      <w:r>
        <w:rPr>
          <w:sz w:val="22"/>
          <w:szCs w:val="22"/>
        </w:rPr>
        <w:t>Yuan (RMB)/metric ton</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5</w:t>
      </w:r>
      <w:r>
        <w:rPr>
          <w:sz w:val="22"/>
          <w:szCs w:val="22"/>
        </w:rPr>
        <w:tab/>
      </w:r>
      <w:r>
        <w:rPr>
          <w:sz w:val="22"/>
          <w:szCs w:val="22"/>
        </w:rPr>
        <w:t xml:space="preserve">Minimum </w:t>
      </w:r>
      <w:r>
        <w:rPr>
          <w:rFonts w:hint="eastAsia"/>
          <w:sz w:val="22"/>
          <w:szCs w:val="22"/>
        </w:rPr>
        <w:t>p</w:t>
      </w:r>
      <w:r>
        <w:rPr>
          <w:sz w:val="22"/>
          <w:szCs w:val="22"/>
        </w:rPr>
        <w:t xml:space="preserve">rice </w:t>
      </w:r>
      <w:r>
        <w:rPr>
          <w:rFonts w:hint="eastAsia"/>
          <w:sz w:val="22"/>
          <w:szCs w:val="22"/>
        </w:rPr>
        <w:t>f</w:t>
      </w:r>
      <w:r>
        <w:rPr>
          <w:sz w:val="22"/>
          <w:szCs w:val="22"/>
        </w:rPr>
        <w:t>luctuation</w:t>
      </w:r>
      <w:r>
        <w:rPr>
          <w:rFonts w:hint="eastAsia"/>
          <w:sz w:val="22"/>
          <w:szCs w:val="22"/>
        </w:rPr>
        <w:t xml:space="preserve"> of a </w:t>
      </w:r>
      <w:r>
        <w:rPr>
          <w:sz w:val="22"/>
          <w:szCs w:val="22"/>
        </w:rPr>
        <w:t xml:space="preserve">copper </w:t>
      </w:r>
      <w:r>
        <w:rPr>
          <w:rFonts w:hint="eastAsia"/>
          <w:sz w:val="22"/>
          <w:szCs w:val="22"/>
        </w:rPr>
        <w:t>futures</w:t>
      </w:r>
      <w:r>
        <w:rPr>
          <w:sz w:val="22"/>
          <w:szCs w:val="22"/>
        </w:rPr>
        <w:t xml:space="preserve"> contract is</w:t>
      </w:r>
      <w:r>
        <w:rPr>
          <w:rFonts w:hint="eastAsia"/>
          <w:sz w:val="22"/>
          <w:szCs w:val="22"/>
        </w:rPr>
        <w:t xml:space="preserve"> ten (</w:t>
      </w:r>
      <w:r>
        <w:rPr>
          <w:sz w:val="22"/>
          <w:szCs w:val="22"/>
        </w:rPr>
        <w:t>10</w:t>
      </w:r>
      <w:r>
        <w:rPr>
          <w:rFonts w:hint="eastAsia"/>
          <w:sz w:val="22"/>
          <w:szCs w:val="22"/>
        </w:rPr>
        <w:t>)</w:t>
      </w:r>
      <w:r>
        <w:rPr>
          <w:sz w:val="22"/>
          <w:szCs w:val="22"/>
        </w:rPr>
        <w:t xml:space="preserve"> Yuan/metric ton</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6</w:t>
      </w:r>
      <w:r>
        <w:rPr>
          <w:sz w:val="22"/>
          <w:szCs w:val="22"/>
        </w:rPr>
        <w:tab/>
      </w:r>
      <w:r>
        <w:rPr>
          <w:sz w:val="22"/>
          <w:szCs w:val="22"/>
        </w:rPr>
        <w:t xml:space="preserve">Listed </w:t>
      </w:r>
      <w:r>
        <w:rPr>
          <w:rFonts w:hint="eastAsia"/>
          <w:sz w:val="22"/>
          <w:szCs w:val="22"/>
        </w:rPr>
        <w:t>c</w:t>
      </w:r>
      <w:r>
        <w:rPr>
          <w:sz w:val="22"/>
          <w:szCs w:val="22"/>
        </w:rPr>
        <w:t>ontracts</w:t>
      </w:r>
      <w:r>
        <w:rPr>
          <w:rFonts w:hint="eastAsia"/>
          <w:sz w:val="22"/>
          <w:szCs w:val="22"/>
        </w:rPr>
        <w:t xml:space="preserve"> of </w:t>
      </w:r>
      <w:r>
        <w:rPr>
          <w:sz w:val="22"/>
          <w:szCs w:val="22"/>
        </w:rPr>
        <w:t xml:space="preserve">copper </w:t>
      </w:r>
      <w:r>
        <w:rPr>
          <w:rFonts w:hint="eastAsia"/>
          <w:sz w:val="22"/>
          <w:szCs w:val="22"/>
        </w:rPr>
        <w:t>futures cover</w:t>
      </w:r>
      <w:r>
        <w:rPr>
          <w:sz w:val="22"/>
          <w:szCs w:val="22"/>
        </w:rPr>
        <w:t xml:space="preserve"> the most recent </w:t>
      </w:r>
      <w:r>
        <w:rPr>
          <w:rFonts w:hint="eastAsia"/>
          <w:sz w:val="22"/>
          <w:szCs w:val="22"/>
        </w:rPr>
        <w:t>twelve (</w:t>
      </w:r>
      <w:r>
        <w:rPr>
          <w:sz w:val="22"/>
          <w:szCs w:val="22"/>
        </w:rPr>
        <w:t>12</w:t>
      </w:r>
      <w:r>
        <w:rPr>
          <w:rFonts w:hint="eastAsia"/>
          <w:sz w:val="22"/>
          <w:szCs w:val="22"/>
        </w:rPr>
        <w:t>)</w:t>
      </w:r>
      <w:r>
        <w:rPr>
          <w:sz w:val="22"/>
          <w:szCs w:val="22"/>
        </w:rPr>
        <w:t xml:space="preserve"> months</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7</w:t>
      </w:r>
      <w:r>
        <w:rPr>
          <w:sz w:val="22"/>
          <w:szCs w:val="22"/>
        </w:rPr>
        <w:tab/>
      </w:r>
      <w:r>
        <w:rPr>
          <w:rFonts w:hint="eastAsia"/>
          <w:sz w:val="22"/>
          <w:szCs w:val="22"/>
        </w:rPr>
        <w:t xml:space="preserve">Trading hours of a </w:t>
      </w:r>
      <w:r>
        <w:rPr>
          <w:sz w:val="22"/>
          <w:szCs w:val="22"/>
        </w:rPr>
        <w:t xml:space="preserve">copper </w:t>
      </w:r>
      <w:r>
        <w:rPr>
          <w:rFonts w:hint="eastAsia"/>
          <w:sz w:val="22"/>
          <w:szCs w:val="22"/>
        </w:rPr>
        <w:t>futures</w:t>
      </w:r>
      <w:r>
        <w:rPr>
          <w:sz w:val="22"/>
          <w:szCs w:val="22"/>
        </w:rPr>
        <w:t xml:space="preserve"> contract</w:t>
      </w:r>
      <w:r>
        <w:rPr>
          <w:rFonts w:hint="eastAsia"/>
          <w:sz w:val="22"/>
          <w:szCs w:val="22"/>
        </w:rPr>
        <w:t xml:space="preserve"> are</w:t>
      </w:r>
      <w:r>
        <w:rPr>
          <w:sz w:val="22"/>
          <w:szCs w:val="22"/>
        </w:rPr>
        <w:t xml:space="preserve"> 9:00 a.m. to 11:30 a.m., 1:30 p.m. to 3:00 p.m., and other hours specified by the Exchange</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8</w:t>
      </w:r>
      <w:r>
        <w:rPr>
          <w:sz w:val="22"/>
          <w:szCs w:val="22"/>
        </w:rPr>
        <w:tab/>
      </w:r>
      <w:r>
        <w:rPr>
          <w:rFonts w:hint="eastAsia"/>
          <w:sz w:val="22"/>
          <w:szCs w:val="22"/>
        </w:rPr>
        <w:t>The last trading day of</w:t>
      </w:r>
      <w:r>
        <w:rPr>
          <w:sz w:val="22"/>
          <w:szCs w:val="22"/>
        </w:rPr>
        <w:t xml:space="preserve"> </w:t>
      </w:r>
      <w:r>
        <w:rPr>
          <w:rFonts w:hint="eastAsia"/>
          <w:sz w:val="22"/>
          <w:szCs w:val="22"/>
        </w:rPr>
        <w:t xml:space="preserve">a </w:t>
      </w:r>
      <w:r>
        <w:rPr>
          <w:sz w:val="22"/>
          <w:szCs w:val="22"/>
        </w:rPr>
        <w:t xml:space="preserve">copper </w:t>
      </w:r>
      <w:r>
        <w:rPr>
          <w:rFonts w:hint="eastAsia"/>
          <w:sz w:val="22"/>
          <w:szCs w:val="22"/>
        </w:rPr>
        <w:t>futures</w:t>
      </w:r>
      <w:r>
        <w:rPr>
          <w:sz w:val="22"/>
          <w:szCs w:val="22"/>
        </w:rPr>
        <w:t xml:space="preserve"> contract</w:t>
      </w:r>
      <w:r>
        <w:rPr>
          <w:rFonts w:hint="eastAsia"/>
          <w:sz w:val="22"/>
          <w:szCs w:val="22"/>
        </w:rPr>
        <w:t xml:space="preserve"> is the 15th day of the contract month.</w:t>
      </w:r>
      <w:r>
        <w:t xml:space="preserve"> </w:t>
      </w:r>
      <w:r>
        <w:rPr>
          <w:sz w:val="22"/>
          <w:szCs w:val="22"/>
        </w:rPr>
        <w:t>The last trading day will be postponed accordingly if it is a legal holiday in China, and will be subject to separate adjustment and announcement by the Exchange if it falls in the Spring Festival month or any other month specially designated by the Exchange.</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9</w:t>
      </w:r>
      <w:r>
        <w:rPr>
          <w:sz w:val="22"/>
          <w:szCs w:val="22"/>
        </w:rPr>
        <w:tab/>
      </w:r>
      <w:r>
        <w:rPr>
          <w:sz w:val="22"/>
          <w:szCs w:val="22"/>
        </w:rPr>
        <w:t xml:space="preserve">Contract </w:t>
      </w:r>
      <w:r>
        <w:rPr>
          <w:rFonts w:hint="eastAsia"/>
          <w:sz w:val="22"/>
          <w:szCs w:val="22"/>
        </w:rPr>
        <w:t>s</w:t>
      </w:r>
      <w:r>
        <w:rPr>
          <w:sz w:val="22"/>
          <w:szCs w:val="22"/>
        </w:rPr>
        <w:t>ymbol</w:t>
      </w:r>
      <w:r>
        <w:rPr>
          <w:rFonts w:hint="eastAsia"/>
          <w:sz w:val="22"/>
          <w:szCs w:val="22"/>
        </w:rPr>
        <w:t xml:space="preserve"> of </w:t>
      </w:r>
      <w:r>
        <w:rPr>
          <w:sz w:val="22"/>
          <w:szCs w:val="22"/>
        </w:rPr>
        <w:t xml:space="preserve">copper </w:t>
      </w:r>
      <w:r>
        <w:rPr>
          <w:rFonts w:hint="eastAsia"/>
          <w:sz w:val="22"/>
          <w:szCs w:val="22"/>
        </w:rPr>
        <w:t>futures is CU.</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10</w:t>
      </w:r>
      <w:r>
        <w:rPr>
          <w:sz w:val="22"/>
          <w:szCs w:val="22"/>
        </w:rPr>
        <w:tab/>
      </w:r>
      <w:r>
        <w:rPr>
          <w:rFonts w:hint="eastAsia"/>
          <w:sz w:val="22"/>
          <w:szCs w:val="22"/>
        </w:rPr>
        <w:t>For the h</w:t>
      </w:r>
      <w:r>
        <w:rPr>
          <w:sz w:val="22"/>
          <w:szCs w:val="22"/>
        </w:rPr>
        <w:t xml:space="preserve">edging </w:t>
      </w:r>
      <w:r>
        <w:rPr>
          <w:rFonts w:hint="eastAsia"/>
          <w:sz w:val="22"/>
          <w:szCs w:val="22"/>
        </w:rPr>
        <w:t>and a</w:t>
      </w:r>
      <w:r>
        <w:rPr>
          <w:sz w:val="22"/>
          <w:szCs w:val="22"/>
        </w:rPr>
        <w:t>rbitrage position quota</w:t>
      </w:r>
      <w:r>
        <w:rPr>
          <w:rFonts w:hint="eastAsia"/>
          <w:sz w:val="22"/>
          <w:szCs w:val="22"/>
        </w:rPr>
        <w:t xml:space="preserve">s of a </w:t>
      </w:r>
      <w:r>
        <w:rPr>
          <w:sz w:val="22"/>
          <w:szCs w:val="22"/>
        </w:rPr>
        <w:t>copper</w:t>
      </w:r>
      <w:r>
        <w:rPr>
          <w:rFonts w:hint="eastAsia"/>
          <w:sz w:val="22"/>
          <w:szCs w:val="22"/>
        </w:rPr>
        <w:t xml:space="preserve"> futures contract, regular months extend from </w:t>
      </w:r>
      <w:r>
        <w:rPr>
          <w:sz w:val="22"/>
          <w:szCs w:val="22"/>
        </w:rPr>
        <w:t>the day of listing to the last trading day of the second month before the delivery month</w:t>
      </w:r>
      <w:r>
        <w:rPr>
          <w:rFonts w:hint="eastAsia"/>
          <w:sz w:val="22"/>
          <w:szCs w:val="22"/>
        </w:rPr>
        <w:t xml:space="preserve">, while </w:t>
      </w:r>
      <w:r>
        <w:rPr>
          <w:sz w:val="22"/>
          <w:szCs w:val="22"/>
        </w:rPr>
        <w:t>nearby delivery months</w:t>
      </w:r>
      <w:r>
        <w:rPr>
          <w:rFonts w:hint="eastAsia"/>
          <w:sz w:val="22"/>
          <w:szCs w:val="22"/>
        </w:rPr>
        <w:t xml:space="preserve"> cover </w:t>
      </w:r>
      <w:r>
        <w:rPr>
          <w:sz w:val="22"/>
          <w:szCs w:val="22"/>
        </w:rPr>
        <w:t xml:space="preserve">the month before the delivery month </w:t>
      </w:r>
      <w:r>
        <w:rPr>
          <w:rFonts w:hint="eastAsia"/>
          <w:sz w:val="22"/>
          <w:szCs w:val="22"/>
        </w:rPr>
        <w:t>and</w:t>
      </w:r>
      <w:r>
        <w:rPr>
          <w:sz w:val="22"/>
          <w:szCs w:val="22"/>
        </w:rPr>
        <w:t xml:space="preserve"> the delivery month</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11</w:t>
      </w:r>
      <w:r>
        <w:rPr>
          <w:sz w:val="22"/>
          <w:szCs w:val="22"/>
        </w:rPr>
        <w:tab/>
      </w:r>
      <w:r>
        <w:rPr>
          <w:sz w:val="22"/>
          <w:szCs w:val="22"/>
        </w:rPr>
        <w:t>An application for a regular month hedging position quota of a copper futures contract shall be submitted by the last trading day of the second month before the delivery month of the contract. Late applications will not be accepted by the Exchange.</w:t>
      </w:r>
    </w:p>
    <w:p>
      <w:pPr>
        <w:tabs>
          <w:tab w:val="left" w:pos="1204"/>
        </w:tabs>
        <w:adjustRightInd w:val="0"/>
        <w:snapToGrid w:val="0"/>
        <w:spacing w:after="312" w:afterLines="100" w:line="276" w:lineRule="auto"/>
        <w:jc w:val="left"/>
        <w:rPr>
          <w:sz w:val="22"/>
          <w:szCs w:val="22"/>
        </w:rPr>
      </w:pPr>
      <w:r>
        <w:rPr>
          <w:sz w:val="22"/>
          <w:szCs w:val="22"/>
        </w:rPr>
        <w:t>An application for a nearby delivery month hedging position quota of a copper futures contract shall be submitted between the first trading day of the third month before the delivery month of the contract and the last trading day of the month before the delivery month. Late applications will not be accepted by the Exchange</w:t>
      </w:r>
      <w:r>
        <w:rPr>
          <w:rFonts w:hint="eastAsia"/>
          <w:sz w:val="22"/>
          <w:szCs w:val="22"/>
        </w:rPr>
        <w:t>. A</w:t>
      </w:r>
      <w:r>
        <w:rPr>
          <w:sz w:val="22"/>
          <w:szCs w:val="22"/>
        </w:rPr>
        <w:t>n application for a nearby delivery month arbitrage position quota of a copper futures contract shall be submitted between the first trading day of the second month before the delivery month of the contract and the last trading day of the month before the delivery month. Late applications will not be accepted by the Exchange.</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12</w:t>
      </w:r>
      <w:r>
        <w:rPr>
          <w:sz w:val="22"/>
          <w:szCs w:val="22"/>
        </w:rPr>
        <w:tab/>
      </w:r>
      <w:r>
        <w:rPr>
          <w:sz w:val="22"/>
          <w:szCs w:val="22"/>
        </w:rPr>
        <w:t xml:space="preserve">Hedging position quota of a </w:t>
      </w:r>
      <w:r>
        <w:rPr>
          <w:rFonts w:hint="eastAsia"/>
          <w:sz w:val="22"/>
          <w:szCs w:val="22"/>
        </w:rPr>
        <w:t>copper</w:t>
      </w:r>
      <w:r>
        <w:rPr>
          <w:sz w:val="22"/>
          <w:szCs w:val="22"/>
        </w:rPr>
        <w:t xml:space="preserve"> futures contract shall no longer be used in a revolving manner starting from the first trading day of the delivery month.</w:t>
      </w:r>
    </w:p>
    <w:p>
      <w:pPr>
        <w:widowControl/>
        <w:tabs>
          <w:tab w:val="left" w:pos="1560"/>
        </w:tabs>
        <w:adjustRightInd w:val="0"/>
        <w:snapToGrid w:val="0"/>
        <w:spacing w:before="468" w:beforeLines="150" w:after="312" w:afterLines="100" w:line="276" w:lineRule="auto"/>
        <w:jc w:val="center"/>
        <w:rPr>
          <w:b/>
          <w:sz w:val="22"/>
          <w:szCs w:val="22"/>
        </w:rPr>
      </w:pPr>
      <w:r>
        <w:rPr>
          <w:b/>
          <w:sz w:val="22"/>
          <w:szCs w:val="22"/>
        </w:rPr>
        <w:t xml:space="preserve">CHAPTER </w:t>
      </w:r>
      <w:r>
        <w:rPr>
          <w:rFonts w:hint="eastAsia"/>
          <w:b/>
          <w:sz w:val="22"/>
          <w:szCs w:val="22"/>
        </w:rPr>
        <w:t>3</w:t>
      </w:r>
      <w:r>
        <w:rPr>
          <w:b/>
          <w:sz w:val="22"/>
          <w:szCs w:val="22"/>
        </w:rPr>
        <w:tab/>
      </w:r>
      <w:r>
        <w:rPr>
          <w:rFonts w:hint="eastAsia"/>
          <w:b/>
          <w:sz w:val="22"/>
          <w:szCs w:val="22"/>
        </w:rPr>
        <w:t>DELIVERY</w:t>
      </w:r>
    </w:p>
    <w:p>
      <w:pPr>
        <w:tabs>
          <w:tab w:val="left" w:pos="1204"/>
        </w:tabs>
        <w:adjustRightInd w:val="0"/>
        <w:snapToGrid w:val="0"/>
        <w:spacing w:after="312" w:afterLines="100" w:line="276" w:lineRule="auto"/>
        <w:jc w:val="left"/>
        <w:rPr>
          <w:sz w:val="22"/>
          <w:szCs w:val="22"/>
        </w:rPr>
      </w:pPr>
      <w:r>
        <w:rPr>
          <w:b/>
          <w:bCs/>
          <w:sz w:val="22"/>
          <w:szCs w:val="22"/>
        </w:rPr>
        <w:t>Article 1</w:t>
      </w:r>
      <w:r>
        <w:rPr>
          <w:rFonts w:hint="eastAsia"/>
          <w:b/>
          <w:bCs/>
          <w:sz w:val="22"/>
          <w:szCs w:val="22"/>
        </w:rPr>
        <w:t>3</w:t>
      </w:r>
      <w:r>
        <w:rPr>
          <w:b/>
          <w:bCs/>
          <w:sz w:val="22"/>
          <w:szCs w:val="22"/>
        </w:rPr>
        <w:tab/>
      </w:r>
      <w:r>
        <w:rPr>
          <w:rFonts w:hint="eastAsia"/>
          <w:sz w:val="22"/>
          <w:szCs w:val="22"/>
        </w:rPr>
        <w:t xml:space="preserve">A copper futures contract </w:t>
      </w:r>
      <w:r>
        <w:rPr>
          <w:sz w:val="22"/>
          <w:szCs w:val="22"/>
        </w:rPr>
        <w:t>may be physically delivered through an Exchange of Futures for Physicals (“EFP”)</w:t>
      </w:r>
      <w:r>
        <w:rPr>
          <w:rFonts w:hint="eastAsia"/>
          <w:sz w:val="22"/>
          <w:szCs w:val="22"/>
        </w:rPr>
        <w:t xml:space="preserve"> or a delivery warehouse.</w:t>
      </w:r>
    </w:p>
    <w:p>
      <w:pPr>
        <w:tabs>
          <w:tab w:val="left" w:pos="1204"/>
        </w:tabs>
        <w:adjustRightInd w:val="0"/>
        <w:snapToGrid w:val="0"/>
        <w:spacing w:after="312" w:afterLines="100" w:line="276" w:lineRule="auto"/>
        <w:jc w:val="left"/>
        <w:rPr>
          <w:sz w:val="22"/>
          <w:szCs w:val="22"/>
        </w:rPr>
      </w:pPr>
      <w:r>
        <w:rPr>
          <w:rFonts w:hint="eastAsia"/>
          <w:sz w:val="22"/>
          <w:szCs w:val="22"/>
        </w:rPr>
        <w:t>Copper</w:t>
      </w:r>
      <w:r>
        <w:rPr>
          <w:sz w:val="22"/>
          <w:szCs w:val="22"/>
        </w:rPr>
        <w:t xml:space="preserve"> futures</w:t>
      </w:r>
      <w:r>
        <w:rPr>
          <w:rFonts w:hint="eastAsia"/>
          <w:sz w:val="22"/>
          <w:szCs w:val="22"/>
        </w:rPr>
        <w:t xml:space="preserve"> adopt</w:t>
      </w:r>
      <w:r>
        <w:rPr>
          <w:sz w:val="22"/>
          <w:szCs w:val="22"/>
        </w:rPr>
        <w:t xml:space="preserve"> bonded delivery and duty-paid delivery</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Article 1</w:t>
      </w:r>
      <w:r>
        <w:rPr>
          <w:rFonts w:hint="eastAsia"/>
          <w:b/>
          <w:bCs/>
          <w:sz w:val="22"/>
          <w:szCs w:val="22"/>
        </w:rPr>
        <w:t>4</w:t>
      </w:r>
      <w:r>
        <w:rPr>
          <w:b/>
          <w:bCs/>
          <w:sz w:val="22"/>
          <w:szCs w:val="22"/>
        </w:rPr>
        <w:tab/>
      </w:r>
      <w:r>
        <w:rPr>
          <w:sz w:val="22"/>
          <w:szCs w:val="22"/>
        </w:rPr>
        <w:t>Grade and quality specifications are provided in the</w:t>
      </w:r>
      <w:r>
        <w:rPr>
          <w:i/>
          <w:iCs/>
          <w:sz w:val="22"/>
          <w:szCs w:val="22"/>
        </w:rPr>
        <w:t xml:space="preserve"> </w:t>
      </w:r>
      <w:r>
        <w:rPr>
          <w:rFonts w:hint="eastAsia"/>
          <w:i/>
          <w:iCs/>
          <w:sz w:val="22"/>
          <w:szCs w:val="22"/>
        </w:rPr>
        <w:t xml:space="preserve">SHFE </w:t>
      </w:r>
      <w:r>
        <w:rPr>
          <w:i/>
          <w:iCs/>
          <w:sz w:val="22"/>
          <w:szCs w:val="22"/>
        </w:rPr>
        <w:t>Copper Cathode Futures Contract</w:t>
      </w:r>
      <w:r>
        <w:rPr>
          <w:rFonts w:hint="eastAsia"/>
          <w:i/>
          <w:iCs/>
          <w:sz w:val="22"/>
          <w:szCs w:val="22"/>
        </w:rPr>
        <w:t xml:space="preserve"> Specifications</w:t>
      </w:r>
      <w:r>
        <w:rPr>
          <w:sz w:val="22"/>
          <w:szCs w:val="22"/>
        </w:rPr>
        <w:t xml:space="preserve">. </w:t>
      </w:r>
    </w:p>
    <w:p>
      <w:pPr>
        <w:tabs>
          <w:tab w:val="left" w:pos="1204"/>
        </w:tabs>
        <w:adjustRightInd w:val="0"/>
        <w:snapToGrid w:val="0"/>
        <w:spacing w:after="312" w:afterLines="100" w:line="276" w:lineRule="auto"/>
        <w:jc w:val="left"/>
        <w:rPr>
          <w:sz w:val="22"/>
          <w:szCs w:val="22"/>
        </w:rPr>
      </w:pPr>
      <w:r>
        <w:rPr>
          <w:b/>
          <w:bCs/>
          <w:sz w:val="22"/>
          <w:szCs w:val="22"/>
        </w:rPr>
        <w:t>Article 1</w:t>
      </w:r>
      <w:r>
        <w:rPr>
          <w:rFonts w:hint="eastAsia"/>
          <w:b/>
          <w:bCs/>
          <w:sz w:val="22"/>
          <w:szCs w:val="22"/>
        </w:rPr>
        <w:t>5</w:t>
      </w:r>
      <w:r>
        <w:rPr>
          <w:b/>
          <w:bCs/>
          <w:sz w:val="22"/>
          <w:szCs w:val="22"/>
        </w:rPr>
        <w:tab/>
      </w:r>
      <w:r>
        <w:rPr>
          <w:sz w:val="22"/>
          <w:szCs w:val="22"/>
        </w:rPr>
        <w:t>The deliverable commodity shall be of a registered trademark from a manufacturer registered with the Exchange.</w:t>
      </w:r>
    </w:p>
    <w:p>
      <w:pPr>
        <w:tabs>
          <w:tab w:val="left" w:pos="1204"/>
        </w:tabs>
        <w:adjustRightInd w:val="0"/>
        <w:snapToGrid w:val="0"/>
        <w:spacing w:after="312" w:afterLines="100" w:line="276" w:lineRule="auto"/>
        <w:jc w:val="left"/>
        <w:rPr>
          <w:sz w:val="22"/>
          <w:szCs w:val="22"/>
        </w:rPr>
      </w:pPr>
      <w:r>
        <w:rPr>
          <w:b/>
          <w:bCs/>
          <w:sz w:val="22"/>
          <w:szCs w:val="22"/>
        </w:rPr>
        <w:t>Article 1</w:t>
      </w:r>
      <w:r>
        <w:rPr>
          <w:rFonts w:hint="eastAsia"/>
          <w:b/>
          <w:bCs/>
          <w:sz w:val="22"/>
          <w:szCs w:val="22"/>
        </w:rPr>
        <w:t>6</w:t>
      </w:r>
      <w:r>
        <w:rPr>
          <w:b/>
          <w:bCs/>
          <w:sz w:val="22"/>
          <w:szCs w:val="22"/>
        </w:rPr>
        <w:tab/>
      </w:r>
      <w:r>
        <w:rPr>
          <w:sz w:val="22"/>
          <w:szCs w:val="22"/>
        </w:rPr>
        <w:t xml:space="preserve">Packaging for deliverable commodity </w:t>
      </w:r>
    </w:p>
    <w:p>
      <w:pPr>
        <w:tabs>
          <w:tab w:val="left" w:pos="709"/>
          <w:tab w:val="left" w:pos="1204"/>
        </w:tabs>
        <w:adjustRightInd w:val="0"/>
        <w:snapToGrid w:val="0"/>
        <w:spacing w:after="312" w:afterLines="100" w:line="276" w:lineRule="auto"/>
        <w:jc w:val="left"/>
        <w:rPr>
          <w:sz w:val="22"/>
          <w:szCs w:val="22"/>
        </w:rPr>
      </w:pPr>
      <w:r>
        <w:rPr>
          <w:sz w:val="22"/>
          <w:szCs w:val="22"/>
        </w:rPr>
        <w:t>(i)</w:t>
      </w:r>
      <w:r>
        <w:rPr>
          <w:sz w:val="22"/>
          <w:szCs w:val="22"/>
        </w:rPr>
        <w:tab/>
      </w:r>
      <w:r>
        <w:rPr>
          <w:sz w:val="22"/>
          <w:szCs w:val="22"/>
        </w:rPr>
        <w:t xml:space="preserve">Packaging: copper cathodes </w:t>
      </w:r>
      <w:r>
        <w:rPr>
          <w:rFonts w:hint="eastAsia"/>
          <w:sz w:val="22"/>
          <w:szCs w:val="22"/>
        </w:rPr>
        <w:t>of each delivery unit</w:t>
      </w:r>
      <w:r>
        <w:rPr>
          <w:sz w:val="22"/>
          <w:szCs w:val="22"/>
        </w:rPr>
        <w:t xml:space="preserve"> shall consist of commodity of the same manufacturer, registered trademark, quality grade, shape, </w:t>
      </w:r>
      <w:r>
        <w:rPr>
          <w:rFonts w:hint="eastAsia"/>
          <w:sz w:val="22"/>
          <w:szCs w:val="22"/>
        </w:rPr>
        <w:t xml:space="preserve">and </w:t>
      </w:r>
      <w:r>
        <w:rPr>
          <w:sz w:val="22"/>
          <w:szCs w:val="22"/>
        </w:rPr>
        <w:t>secured into bundles of similar weight. The registered manufacturer may decide the weight of each bundle at its sole discretion, provided that the bundles can readily yield the delivery unit.</w:t>
      </w:r>
      <w:r>
        <w:rPr>
          <w:rFonts w:hint="eastAsia"/>
          <w:sz w:val="22"/>
          <w:szCs w:val="22"/>
        </w:rPr>
        <w:t xml:space="preserve"> </w:t>
      </w:r>
      <w:r>
        <w:rPr>
          <w:sz w:val="22"/>
          <w:szCs w:val="22"/>
        </w:rPr>
        <w:t>Copper cathodes shall be tightened into bundles with rust-resistant steel straps in a dual-line grid (#) pattern or with other methods of comparable strength using steel straps. The strapping shall be reliable and each bundle shall be marked by a prominent and secure product label and weight, which shall not exceed four (4) metric tons.</w:t>
      </w:r>
    </w:p>
    <w:p>
      <w:pPr>
        <w:tabs>
          <w:tab w:val="left" w:pos="709"/>
          <w:tab w:val="left" w:pos="1204"/>
        </w:tabs>
        <w:adjustRightInd w:val="0"/>
        <w:snapToGrid w:val="0"/>
        <w:spacing w:after="312" w:afterLines="100" w:line="276" w:lineRule="auto"/>
        <w:jc w:val="left"/>
        <w:rPr>
          <w:sz w:val="22"/>
          <w:szCs w:val="22"/>
        </w:rPr>
      </w:pPr>
      <w:r>
        <w:rPr>
          <w:sz w:val="22"/>
          <w:szCs w:val="22"/>
        </w:rPr>
        <w:t>(ii)</w:t>
      </w:r>
      <w:r>
        <w:rPr>
          <w:sz w:val="22"/>
          <w:szCs w:val="22"/>
        </w:rPr>
        <w:tab/>
      </w:r>
      <w:r>
        <w:rPr>
          <w:sz w:val="22"/>
          <w:szCs w:val="22"/>
        </w:rPr>
        <w:t>If the commodities arrive at the warehouse with broken steel straps, severely rusted or corroded bundling materials, or loose plates, the commodities shall be repackaged and securely tightened with specified steel straps before they are delivered. Any costs incurred in the reassembly shall be borne by the owner.</w:t>
      </w:r>
    </w:p>
    <w:p>
      <w:pPr>
        <w:tabs>
          <w:tab w:val="left" w:pos="1204"/>
        </w:tabs>
        <w:adjustRightInd w:val="0"/>
        <w:snapToGrid w:val="0"/>
        <w:spacing w:after="312" w:afterLines="100" w:line="276" w:lineRule="auto"/>
        <w:jc w:val="left"/>
        <w:rPr>
          <w:sz w:val="22"/>
          <w:szCs w:val="22"/>
        </w:rPr>
      </w:pPr>
      <w:r>
        <w:rPr>
          <w:b/>
          <w:bCs/>
          <w:sz w:val="22"/>
          <w:szCs w:val="22"/>
        </w:rPr>
        <w:t>Article 1</w:t>
      </w:r>
      <w:r>
        <w:rPr>
          <w:rFonts w:hint="eastAsia"/>
          <w:b/>
          <w:bCs/>
          <w:sz w:val="22"/>
          <w:szCs w:val="22"/>
        </w:rPr>
        <w:t>7</w:t>
      </w:r>
      <w:r>
        <w:rPr>
          <w:b/>
          <w:bCs/>
          <w:sz w:val="22"/>
          <w:szCs w:val="22"/>
        </w:rPr>
        <w:tab/>
      </w:r>
      <w:r>
        <w:rPr>
          <w:sz w:val="22"/>
          <w:szCs w:val="22"/>
        </w:rPr>
        <w:t>Required documentation for deliverable commodity</w:t>
      </w:r>
    </w:p>
    <w:p>
      <w:pPr>
        <w:tabs>
          <w:tab w:val="left" w:pos="709"/>
          <w:tab w:val="left" w:pos="1204"/>
        </w:tabs>
        <w:adjustRightInd w:val="0"/>
        <w:snapToGrid w:val="0"/>
        <w:spacing w:after="312" w:afterLines="100" w:line="276" w:lineRule="auto"/>
        <w:jc w:val="left"/>
        <w:rPr>
          <w:sz w:val="22"/>
          <w:szCs w:val="22"/>
        </w:rPr>
      </w:pPr>
      <w:r>
        <w:rPr>
          <w:sz w:val="22"/>
          <w:szCs w:val="22"/>
        </w:rPr>
        <w:t>(i)</w:t>
      </w:r>
      <w:r>
        <w:rPr>
          <w:sz w:val="22"/>
          <w:szCs w:val="22"/>
        </w:rPr>
        <w:tab/>
      </w:r>
      <w:r>
        <w:rPr>
          <w:sz w:val="22"/>
          <w:szCs w:val="22"/>
        </w:rPr>
        <w:t>Domestic commodity: the certificate of quality issued by the registered manufacturer.</w:t>
      </w:r>
    </w:p>
    <w:p>
      <w:pPr>
        <w:tabs>
          <w:tab w:val="left" w:pos="709"/>
          <w:tab w:val="left" w:pos="1204"/>
        </w:tabs>
        <w:adjustRightInd w:val="0"/>
        <w:snapToGrid w:val="0"/>
        <w:spacing w:after="312" w:afterLines="100" w:line="276" w:lineRule="auto"/>
        <w:jc w:val="left"/>
        <w:rPr>
          <w:sz w:val="22"/>
          <w:szCs w:val="22"/>
        </w:rPr>
      </w:pPr>
      <w:r>
        <w:rPr>
          <w:sz w:val="22"/>
          <w:szCs w:val="22"/>
        </w:rPr>
        <w:t>(ii)</w:t>
      </w:r>
      <w:r>
        <w:rPr>
          <w:sz w:val="22"/>
          <w:szCs w:val="22"/>
        </w:rPr>
        <w:tab/>
      </w:r>
      <w:r>
        <w:rPr>
          <w:sz w:val="22"/>
          <w:szCs w:val="22"/>
        </w:rPr>
        <w:t>Imported commodity: the certificate of quality, certificate of origin, certificate of commodity inspection, certificate of payment of import tariff, and certificate of VAT withholding by the customs. These documents are deemed valid only upon being verified by the Exchange.</w:t>
      </w:r>
    </w:p>
    <w:p>
      <w:pPr>
        <w:tabs>
          <w:tab w:val="left" w:pos="1204"/>
        </w:tabs>
        <w:adjustRightInd w:val="0"/>
        <w:snapToGrid w:val="0"/>
        <w:spacing w:after="312" w:afterLines="100" w:line="276" w:lineRule="auto"/>
        <w:jc w:val="left"/>
        <w:rPr>
          <w:sz w:val="22"/>
          <w:szCs w:val="22"/>
        </w:rPr>
      </w:pPr>
      <w:r>
        <w:rPr>
          <w:sz w:val="22"/>
          <w:szCs w:val="22"/>
        </w:rPr>
        <w:t>If there has been any change to national policies on taxation, commodity inspection, or other relevant matters, the revised policies shall prevail. Under such circumstance, the Exchange will separately announce the revised requirements for the documentation</w:t>
      </w:r>
      <w:r>
        <w:rPr>
          <w:rFonts w:hint="eastAsia"/>
          <w:sz w:val="22"/>
          <w:szCs w:val="22"/>
        </w:rPr>
        <w:t xml:space="preserve"> of</w:t>
      </w:r>
      <w:r>
        <w:rPr>
          <w:sz w:val="22"/>
          <w:szCs w:val="22"/>
        </w:rPr>
        <w:t xml:space="preserve"> relevant imported products.</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18</w:t>
      </w:r>
      <w:r>
        <w:rPr>
          <w:b/>
          <w:bCs/>
          <w:sz w:val="22"/>
          <w:szCs w:val="22"/>
        </w:rPr>
        <w:tab/>
      </w:r>
      <w:r>
        <w:rPr>
          <w:sz w:val="22"/>
          <w:szCs w:val="22"/>
        </w:rPr>
        <w:t>Tolerance and pound difference: The underlying copper cathode for each standard warrant weighs twenty-five (25) metric tons. Difference between standard warrant weight and actual delivery weight shall not exceed plus or minus two percent (±2%). Pound difference shall not exceed plus or minus one-tenth of one percent (±0.1%).</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19</w:t>
      </w:r>
      <w:r>
        <w:rPr>
          <w:b/>
          <w:bCs/>
          <w:sz w:val="22"/>
          <w:szCs w:val="22"/>
        </w:rPr>
        <w:tab/>
      </w:r>
      <w:r>
        <w:rPr>
          <w:sz w:val="22"/>
          <w:szCs w:val="22"/>
        </w:rPr>
        <w:t>Delivery unit</w:t>
      </w:r>
      <w:r>
        <w:rPr>
          <w:rFonts w:hint="eastAsia"/>
          <w:sz w:val="22"/>
          <w:szCs w:val="22"/>
        </w:rPr>
        <w:t xml:space="preserve"> of a copper futures contract is</w:t>
      </w:r>
      <w:r>
        <w:rPr>
          <w:sz w:val="22"/>
          <w:szCs w:val="22"/>
        </w:rPr>
        <w:t xml:space="preserve"> twenty-five (25) metric tons.</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20</w:t>
      </w:r>
      <w:r>
        <w:rPr>
          <w:b/>
          <w:bCs/>
          <w:sz w:val="22"/>
          <w:szCs w:val="22"/>
        </w:rPr>
        <w:tab/>
      </w:r>
      <w:r>
        <w:rPr>
          <w:rFonts w:hint="eastAsia"/>
          <w:sz w:val="22"/>
          <w:szCs w:val="22"/>
        </w:rPr>
        <w:t>D</w:t>
      </w:r>
      <w:r>
        <w:rPr>
          <w:sz w:val="22"/>
          <w:szCs w:val="22"/>
        </w:rPr>
        <w:t xml:space="preserve">elivery period </w:t>
      </w:r>
      <w:r>
        <w:rPr>
          <w:rFonts w:hint="eastAsia"/>
          <w:sz w:val="22"/>
          <w:szCs w:val="22"/>
        </w:rPr>
        <w:t>of a copper futures contract is</w:t>
      </w:r>
      <w:r>
        <w:rPr>
          <w:sz w:val="22"/>
          <w:szCs w:val="22"/>
        </w:rPr>
        <w:t xml:space="preserve"> the two (2) consecutive business days immediately following the last trading day of the contract.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21</w:t>
      </w:r>
      <w:r>
        <w:rPr>
          <w:b/>
          <w:bCs/>
          <w:sz w:val="22"/>
          <w:szCs w:val="22"/>
        </w:rPr>
        <w:tab/>
      </w:r>
      <w:r>
        <w:rPr>
          <w:sz w:val="22"/>
          <w:szCs w:val="22"/>
        </w:rPr>
        <w:t xml:space="preserve">The benchmark price for delivery settlement of a </w:t>
      </w:r>
      <w:r>
        <w:rPr>
          <w:rFonts w:hint="eastAsia"/>
          <w:sz w:val="22"/>
          <w:szCs w:val="22"/>
        </w:rPr>
        <w:t xml:space="preserve">copper </w:t>
      </w:r>
      <w:r>
        <w:rPr>
          <w:sz w:val="22"/>
          <w:szCs w:val="22"/>
        </w:rPr>
        <w:t>futures contract is its settlement price on the last trading day</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22</w:t>
      </w:r>
      <w:r>
        <w:rPr>
          <w:b/>
          <w:bCs/>
          <w:sz w:val="22"/>
          <w:szCs w:val="22"/>
        </w:rPr>
        <w:tab/>
      </w:r>
      <w:r>
        <w:rPr>
          <w:sz w:val="22"/>
          <w:szCs w:val="22"/>
        </w:rPr>
        <w:t>Delivery settlement of bonded standard warrants</w:t>
      </w:r>
    </w:p>
    <w:p>
      <w:pPr>
        <w:tabs>
          <w:tab w:val="left" w:pos="709"/>
          <w:tab w:val="left" w:pos="1204"/>
        </w:tabs>
        <w:adjustRightInd w:val="0"/>
        <w:snapToGrid w:val="0"/>
        <w:spacing w:after="312" w:afterLines="100" w:line="276" w:lineRule="auto"/>
        <w:jc w:val="left"/>
        <w:rPr>
          <w:sz w:val="22"/>
          <w:szCs w:val="22"/>
        </w:rPr>
      </w:pPr>
      <w:r>
        <w:rPr>
          <w:sz w:val="22"/>
          <w:szCs w:val="22"/>
        </w:rPr>
        <w:t>(i)</w:t>
      </w:r>
      <w:r>
        <w:rPr>
          <w:sz w:val="22"/>
          <w:szCs w:val="22"/>
        </w:rPr>
        <w:tab/>
      </w:r>
      <w:r>
        <w:rPr>
          <w:sz w:val="22"/>
          <w:szCs w:val="22"/>
        </w:rPr>
        <w:t>A buyer will receive bonded standard warrants in a physical delivery against an expired futures contract, upon settling corresponding commodity payment based on the bonded final settlement price of the contract. This price equals the contract’s tax-inclusive final settlement price, as generated on the contract’s last trading day pursuant to existing rules, minus relevant taxes and fees. The delivery payment for bonded standard warrants shall be calculated on the basis of the delivery quantity and the bonded final settlement price.</w:t>
      </w:r>
    </w:p>
    <w:p>
      <w:pPr>
        <w:tabs>
          <w:tab w:val="left" w:pos="1204"/>
        </w:tabs>
        <w:adjustRightInd w:val="0"/>
        <w:snapToGrid w:val="0"/>
        <w:spacing w:after="312" w:afterLines="100" w:line="276" w:lineRule="auto"/>
        <w:jc w:val="left"/>
        <w:rPr>
          <w:sz w:val="22"/>
          <w:szCs w:val="22"/>
        </w:rPr>
      </w:pPr>
      <w:r>
        <w:rPr>
          <w:sz w:val="22"/>
          <w:szCs w:val="22"/>
        </w:rPr>
        <w:t>Bonded final settlement price = [(tax-inclusive final settlement price - relevant fees)/ (1 + import VAT rate) - consumption tax]/ (1 + import duty rate)</w:t>
      </w:r>
    </w:p>
    <w:p>
      <w:pPr>
        <w:tabs>
          <w:tab w:val="left" w:pos="1204"/>
        </w:tabs>
        <w:adjustRightInd w:val="0"/>
        <w:snapToGrid w:val="0"/>
        <w:spacing w:after="312" w:afterLines="100" w:line="276" w:lineRule="auto"/>
        <w:jc w:val="left"/>
        <w:rPr>
          <w:sz w:val="22"/>
          <w:szCs w:val="22"/>
        </w:rPr>
      </w:pPr>
      <w:r>
        <w:rPr>
          <w:sz w:val="22"/>
          <w:szCs w:val="22"/>
        </w:rPr>
        <w:t>Bonded premiums or discounts = [premiums or discounts/ (1 + import VAT rate)]/ (1 + import duty rate)</w:t>
      </w:r>
    </w:p>
    <w:p>
      <w:pPr>
        <w:tabs>
          <w:tab w:val="left" w:pos="1204"/>
        </w:tabs>
        <w:adjustRightInd w:val="0"/>
        <w:snapToGrid w:val="0"/>
        <w:spacing w:after="312" w:afterLines="100" w:line="276" w:lineRule="auto"/>
        <w:jc w:val="left"/>
        <w:rPr>
          <w:sz w:val="22"/>
          <w:szCs w:val="22"/>
        </w:rPr>
      </w:pPr>
      <w:r>
        <w:rPr>
          <w:sz w:val="22"/>
          <w:szCs w:val="22"/>
        </w:rPr>
        <w:t>Bonded delivery payment = (bonded final settlement price + bonded premiums or discounts) × bonded delivery quantity</w:t>
      </w:r>
    </w:p>
    <w:p>
      <w:pPr>
        <w:tabs>
          <w:tab w:val="left" w:pos="709"/>
          <w:tab w:val="left" w:pos="1204"/>
        </w:tabs>
        <w:adjustRightInd w:val="0"/>
        <w:snapToGrid w:val="0"/>
        <w:spacing w:after="312" w:afterLines="100" w:line="276" w:lineRule="auto"/>
        <w:jc w:val="left"/>
        <w:rPr>
          <w:sz w:val="22"/>
          <w:szCs w:val="22"/>
        </w:rPr>
      </w:pPr>
      <w:r>
        <w:rPr>
          <w:sz w:val="22"/>
          <w:szCs w:val="22"/>
        </w:rPr>
        <w:t>(ii)</w:t>
      </w:r>
      <w:r>
        <w:rPr>
          <w:sz w:val="22"/>
          <w:szCs w:val="22"/>
        </w:rPr>
        <w:tab/>
      </w:r>
      <w:r>
        <w:rPr>
          <w:sz w:val="22"/>
          <w:szCs w:val="22"/>
        </w:rPr>
        <w:t>Calculation of the bonded final settlement price for an EFP</w:t>
      </w:r>
    </w:p>
    <w:p>
      <w:pPr>
        <w:tabs>
          <w:tab w:val="left" w:pos="1204"/>
        </w:tabs>
        <w:adjustRightInd w:val="0"/>
        <w:snapToGrid w:val="0"/>
        <w:spacing w:after="312" w:afterLines="100" w:line="276" w:lineRule="auto"/>
        <w:jc w:val="left"/>
        <w:rPr>
          <w:sz w:val="22"/>
          <w:szCs w:val="22"/>
        </w:rPr>
      </w:pPr>
      <w:r>
        <w:rPr>
          <w:sz w:val="22"/>
          <w:szCs w:val="22"/>
        </w:rPr>
        <w:t>EFP bonded final settlement price = [(settlement price of the delivery month contract on the trading day preceding the EFP application day - relevant fees)/ (1 + import VAT rate) - consumption tax]/ (1 + import duty rate)</w:t>
      </w:r>
    </w:p>
    <w:p>
      <w:pPr>
        <w:tabs>
          <w:tab w:val="left" w:pos="1204"/>
        </w:tabs>
        <w:adjustRightInd w:val="0"/>
        <w:snapToGrid w:val="0"/>
        <w:spacing w:after="312" w:afterLines="100" w:line="276" w:lineRule="auto"/>
        <w:jc w:val="left"/>
        <w:rPr>
          <w:sz w:val="22"/>
          <w:szCs w:val="22"/>
        </w:rPr>
      </w:pPr>
      <w:r>
        <w:rPr>
          <w:sz w:val="22"/>
          <w:szCs w:val="22"/>
        </w:rPr>
        <w:t>Bonded premiums or discounts = [premiums or discounts/ (1 + import VAT rate)]/(1 + import duty rate)</w:t>
      </w:r>
    </w:p>
    <w:p>
      <w:pPr>
        <w:tabs>
          <w:tab w:val="left" w:pos="1204"/>
        </w:tabs>
        <w:adjustRightInd w:val="0"/>
        <w:snapToGrid w:val="0"/>
        <w:spacing w:after="312" w:afterLines="100" w:line="276" w:lineRule="auto"/>
        <w:jc w:val="left"/>
        <w:rPr>
          <w:sz w:val="22"/>
          <w:szCs w:val="22"/>
        </w:rPr>
      </w:pPr>
      <w:r>
        <w:rPr>
          <w:sz w:val="22"/>
          <w:szCs w:val="22"/>
        </w:rPr>
        <w:t>EFP bonded delivery payment = (EFP bonded final settlement price + bonded premiums or discounts) × bonded delivery quantity</w:t>
      </w:r>
    </w:p>
    <w:p>
      <w:pPr>
        <w:tabs>
          <w:tab w:val="left" w:pos="709"/>
          <w:tab w:val="left" w:pos="1204"/>
        </w:tabs>
        <w:adjustRightInd w:val="0"/>
        <w:snapToGrid w:val="0"/>
        <w:spacing w:after="312" w:afterLines="100" w:line="276" w:lineRule="auto"/>
        <w:jc w:val="left"/>
        <w:rPr>
          <w:sz w:val="22"/>
          <w:szCs w:val="22"/>
        </w:rPr>
      </w:pPr>
      <w:r>
        <w:rPr>
          <w:sz w:val="22"/>
          <w:szCs w:val="22"/>
        </w:rPr>
        <w:t>(iii)</w:t>
      </w:r>
      <w:r>
        <w:rPr>
          <w:sz w:val="22"/>
          <w:szCs w:val="22"/>
        </w:rPr>
        <w:tab/>
      </w:r>
      <w:r>
        <w:rPr>
          <w:sz w:val="22"/>
          <w:szCs w:val="22"/>
        </w:rPr>
        <w:t>The premiums or discounts in these formulas reflect the adjustment to the final settlement price while considering such factors as delivery grade, quality, and location of warehouses. Premiums, discounts, and relevant fees will be separately announced by the Exchange.</w:t>
      </w:r>
    </w:p>
    <w:p>
      <w:pPr>
        <w:tabs>
          <w:tab w:val="left" w:pos="1204"/>
        </w:tabs>
        <w:adjustRightInd w:val="0"/>
        <w:snapToGrid w:val="0"/>
        <w:spacing w:after="312" w:afterLines="100" w:line="276" w:lineRule="auto"/>
        <w:jc w:val="left"/>
        <w:rPr>
          <w:sz w:val="22"/>
          <w:szCs w:val="22"/>
        </w:rPr>
      </w:pPr>
      <w:r>
        <w:rPr>
          <w:sz w:val="22"/>
          <w:szCs w:val="22"/>
        </w:rPr>
        <w:t>If there has been any adjustment to national tax policies, the Exchange may revise the formulas for bonded final settlement price and announce the revised formulas in due course.</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23</w:t>
      </w:r>
      <w:r>
        <w:rPr>
          <w:b/>
          <w:bCs/>
          <w:sz w:val="22"/>
          <w:szCs w:val="22"/>
        </w:rPr>
        <w:tab/>
      </w:r>
      <w:r>
        <w:rPr>
          <w:sz w:val="22"/>
          <w:szCs w:val="22"/>
        </w:rPr>
        <w:t xml:space="preserve">For </w:t>
      </w:r>
      <w:r>
        <w:rPr>
          <w:rFonts w:hint="eastAsia"/>
          <w:sz w:val="22"/>
          <w:szCs w:val="22"/>
        </w:rPr>
        <w:t xml:space="preserve">copper </w:t>
      </w:r>
      <w:r>
        <w:rPr>
          <w:sz w:val="22"/>
          <w:szCs w:val="22"/>
        </w:rPr>
        <w:t>futures</w:t>
      </w:r>
      <w:r>
        <w:rPr>
          <w:rFonts w:hint="eastAsia"/>
          <w:sz w:val="22"/>
          <w:szCs w:val="22"/>
        </w:rPr>
        <w:t xml:space="preserve"> contracts</w:t>
      </w:r>
      <w:r>
        <w:rPr>
          <w:sz w:val="22"/>
          <w:szCs w:val="22"/>
        </w:rPr>
        <w:t xml:space="preserve"> intended for bonded delivery, the Exchange shall announce the tax-inclusive delivery settlement price and the bonded final settlement price of each contract upon its expiration.</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24</w:t>
      </w:r>
      <w:r>
        <w:rPr>
          <w:b/>
          <w:bCs/>
          <w:sz w:val="22"/>
          <w:szCs w:val="22"/>
        </w:rPr>
        <w:tab/>
      </w:r>
      <w:r>
        <w:rPr>
          <w:sz w:val="22"/>
          <w:szCs w:val="22"/>
        </w:rPr>
        <w:t>Delivery venue: the delivery warehouse</w:t>
      </w:r>
      <w:r>
        <w:rPr>
          <w:rFonts w:hint="eastAsia"/>
          <w:sz w:val="22"/>
          <w:szCs w:val="22"/>
        </w:rPr>
        <w:t>s</w:t>
      </w:r>
      <w:r>
        <w:rPr>
          <w:sz w:val="22"/>
          <w:szCs w:val="22"/>
        </w:rPr>
        <w:t xml:space="preserve"> </w:t>
      </w:r>
      <w:r>
        <w:rPr>
          <w:rFonts w:hint="eastAsia"/>
          <w:sz w:val="22"/>
          <w:szCs w:val="22"/>
        </w:rPr>
        <w:t xml:space="preserve">of </w:t>
      </w:r>
      <w:r>
        <w:rPr>
          <w:sz w:val="22"/>
          <w:szCs w:val="22"/>
        </w:rPr>
        <w:t>the Exchange</w:t>
      </w:r>
      <w:r>
        <w:rPr>
          <w:rFonts w:hint="eastAsia"/>
          <w:sz w:val="22"/>
          <w:szCs w:val="22"/>
        </w:rPr>
        <w:t>, to be separately announced by the Exchange</w:t>
      </w:r>
      <w:r>
        <w:rPr>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25</w:t>
      </w:r>
      <w:r>
        <w:rPr>
          <w:b/>
          <w:bCs/>
          <w:sz w:val="22"/>
          <w:szCs w:val="22"/>
        </w:rPr>
        <w:tab/>
      </w:r>
      <w:r>
        <w:rPr>
          <w:sz w:val="22"/>
          <w:szCs w:val="22"/>
        </w:rPr>
        <w:t xml:space="preserve">After the physical delivery is completed, if the buyer has any dispute over the quality or quantity of the commodity, the buyer shall submit a written request to the Exchange for dispute resolution before the 15th day (including that day) of the month following the delivery month (in case that day falls on a public holiday, the date shall be extended to the first business day after the holiday), together with the quality assay report issued by a Designated Inspection Agency. If no submission is received within the prescribed time, the </w:t>
      </w:r>
      <w:r>
        <w:rPr>
          <w:rFonts w:hint="eastAsia"/>
          <w:sz w:val="22"/>
          <w:szCs w:val="22"/>
        </w:rPr>
        <w:t xml:space="preserve">buyer </w:t>
      </w:r>
      <w:r>
        <w:rPr>
          <w:sz w:val="22"/>
          <w:szCs w:val="22"/>
        </w:rPr>
        <w:t>shall be deemed to have no disputes over</w:t>
      </w:r>
      <w:r>
        <w:rPr>
          <w:rFonts w:hint="eastAsia"/>
          <w:sz w:val="22"/>
          <w:szCs w:val="22"/>
        </w:rPr>
        <w:t xml:space="preserve"> the</w:t>
      </w:r>
      <w:r>
        <w:rPr>
          <w:sz w:val="22"/>
          <w:szCs w:val="22"/>
        </w:rPr>
        <w:t xml:space="preserve"> commodity, and the Exchange will no longer accept</w:t>
      </w:r>
      <w:r>
        <w:rPr>
          <w:rFonts w:hint="eastAsia"/>
          <w:sz w:val="22"/>
          <w:szCs w:val="22"/>
        </w:rPr>
        <w:t xml:space="preserve"> its relevant</w:t>
      </w:r>
      <w:r>
        <w:rPr>
          <w:sz w:val="22"/>
          <w:szCs w:val="22"/>
        </w:rPr>
        <w:t xml:space="preserve"> </w:t>
      </w:r>
      <w:r>
        <w:rPr>
          <w:rFonts w:hint="eastAsia"/>
          <w:sz w:val="22"/>
          <w:szCs w:val="22"/>
        </w:rPr>
        <w:t xml:space="preserve">request </w:t>
      </w:r>
      <w:r>
        <w:rPr>
          <w:sz w:val="22"/>
          <w:szCs w:val="22"/>
        </w:rPr>
        <w:t>for dispute resolution.</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26</w:t>
      </w:r>
      <w:r>
        <w:rPr>
          <w:b/>
          <w:bCs/>
          <w:sz w:val="22"/>
          <w:szCs w:val="22"/>
        </w:rPr>
        <w:tab/>
      </w:r>
      <w:r>
        <w:rPr>
          <w:sz w:val="22"/>
          <w:szCs w:val="22"/>
        </w:rPr>
        <w:t xml:space="preserve">If standard warrants are used for the EFPs </w:t>
      </w:r>
      <w:r>
        <w:rPr>
          <w:rFonts w:hint="eastAsia"/>
          <w:sz w:val="22"/>
          <w:szCs w:val="22"/>
        </w:rPr>
        <w:t xml:space="preserve">of a copper futures contract </w:t>
      </w:r>
      <w:r>
        <w:rPr>
          <w:sz w:val="22"/>
          <w:szCs w:val="22"/>
        </w:rPr>
        <w:t>and the EFPs are settled via the Exchange</w:t>
      </w:r>
      <w:r>
        <w:rPr>
          <w:rFonts w:hint="eastAsia"/>
          <w:sz w:val="22"/>
          <w:szCs w:val="22"/>
        </w:rPr>
        <w:t>, and i</w:t>
      </w:r>
      <w:r>
        <w:rPr>
          <w:sz w:val="22"/>
          <w:szCs w:val="22"/>
        </w:rPr>
        <w:t>f a dispute over the quality of the commodities arises</w:t>
      </w:r>
      <w:r>
        <w:rPr>
          <w:rFonts w:hint="eastAsia"/>
          <w:sz w:val="22"/>
          <w:szCs w:val="22"/>
        </w:rPr>
        <w:t xml:space="preserve">, </w:t>
      </w:r>
      <w:r>
        <w:rPr>
          <w:sz w:val="22"/>
          <w:szCs w:val="22"/>
        </w:rPr>
        <w:t xml:space="preserve">the buyer shall submit a request for dispute resolution within twenty-five (25) days </w:t>
      </w:r>
      <w:r>
        <w:rPr>
          <w:rFonts w:hint="eastAsia"/>
          <w:sz w:val="22"/>
          <w:szCs w:val="22"/>
        </w:rPr>
        <w:t>after</w:t>
      </w:r>
      <w:r>
        <w:rPr>
          <w:sz w:val="22"/>
          <w:szCs w:val="22"/>
        </w:rPr>
        <w:t xml:space="preserve"> the payment and the exchange of standard warrants, together with the quality assay report issued by a Designated Inspection Agency.</w:t>
      </w:r>
    </w:p>
    <w:p>
      <w:pPr>
        <w:widowControl/>
        <w:tabs>
          <w:tab w:val="left" w:pos="1560"/>
        </w:tabs>
        <w:adjustRightInd w:val="0"/>
        <w:snapToGrid w:val="0"/>
        <w:spacing w:before="468" w:beforeLines="150" w:after="312" w:afterLines="100" w:line="276" w:lineRule="auto"/>
        <w:jc w:val="center"/>
        <w:rPr>
          <w:b/>
          <w:sz w:val="22"/>
          <w:szCs w:val="22"/>
        </w:rPr>
      </w:pPr>
      <w:r>
        <w:rPr>
          <w:b/>
          <w:sz w:val="22"/>
          <w:szCs w:val="22"/>
        </w:rPr>
        <w:t xml:space="preserve">CHAPTER </w:t>
      </w:r>
      <w:r>
        <w:rPr>
          <w:rFonts w:hint="eastAsia"/>
          <w:b/>
          <w:sz w:val="22"/>
          <w:szCs w:val="22"/>
        </w:rPr>
        <w:t>4</w:t>
      </w:r>
      <w:r>
        <w:rPr>
          <w:b/>
          <w:sz w:val="22"/>
          <w:szCs w:val="22"/>
        </w:rPr>
        <w:tab/>
      </w:r>
      <w:r>
        <w:rPr>
          <w:rFonts w:hint="eastAsia"/>
          <w:b/>
          <w:sz w:val="22"/>
          <w:szCs w:val="22"/>
        </w:rPr>
        <w:t>RISK MANAGEMENT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27</w:t>
      </w:r>
      <w:r>
        <w:rPr>
          <w:b/>
          <w:bCs/>
          <w:sz w:val="22"/>
          <w:szCs w:val="22"/>
        </w:rPr>
        <w:tab/>
      </w:r>
      <w:r>
        <w:rPr>
          <w:rFonts w:hint="eastAsia"/>
          <w:sz w:val="22"/>
          <w:szCs w:val="22"/>
        </w:rPr>
        <w:t xml:space="preserve">The </w:t>
      </w:r>
      <w:r>
        <w:rPr>
          <w:sz w:val="22"/>
          <w:szCs w:val="22"/>
        </w:rPr>
        <w:t>minimum trading margin</w:t>
      </w:r>
      <w:r>
        <w:rPr>
          <w:rFonts w:hint="eastAsia"/>
          <w:sz w:val="22"/>
          <w:szCs w:val="22"/>
        </w:rPr>
        <w:t xml:space="preserve"> for a copper futures contract is 5%.</w:t>
      </w:r>
    </w:p>
    <w:p>
      <w:pPr>
        <w:tabs>
          <w:tab w:val="left" w:pos="1204"/>
        </w:tabs>
        <w:adjustRightInd w:val="0"/>
        <w:snapToGrid w:val="0"/>
        <w:spacing w:after="312" w:afterLines="100" w:line="276" w:lineRule="auto"/>
        <w:jc w:val="left"/>
        <w:rPr>
          <w:sz w:val="22"/>
          <w:szCs w:val="22"/>
        </w:rPr>
      </w:pPr>
      <w:r>
        <w:rPr>
          <w:b/>
          <w:bCs/>
          <w:sz w:val="22"/>
          <w:szCs w:val="22"/>
        </w:rPr>
        <w:t>Article 2</w:t>
      </w:r>
      <w:r>
        <w:rPr>
          <w:rFonts w:hint="eastAsia"/>
          <w:b/>
          <w:bCs/>
          <w:sz w:val="22"/>
          <w:szCs w:val="22"/>
        </w:rPr>
        <w:t>8</w:t>
      </w:r>
      <w:r>
        <w:rPr>
          <w:b/>
          <w:bCs/>
          <w:sz w:val="22"/>
          <w:szCs w:val="22"/>
        </w:rPr>
        <w:tab/>
      </w:r>
      <w:r>
        <w:rPr>
          <w:sz w:val="22"/>
          <w:szCs w:val="22"/>
        </w:rPr>
        <w:t xml:space="preserve">The </w:t>
      </w:r>
      <w:r>
        <w:rPr>
          <w:rFonts w:hint="eastAsia"/>
          <w:sz w:val="22"/>
          <w:szCs w:val="22"/>
        </w:rPr>
        <w:t>s</w:t>
      </w:r>
      <w:r>
        <w:rPr>
          <w:sz w:val="22"/>
          <w:szCs w:val="22"/>
        </w:rPr>
        <w:t>tage-based trading margin rates</w:t>
      </w:r>
      <w:r>
        <w:rPr>
          <w:rFonts w:hint="eastAsia"/>
          <w:sz w:val="22"/>
          <w:szCs w:val="22"/>
        </w:rPr>
        <w:t xml:space="preserve"> for copper futures are as follows:</w:t>
      </w:r>
    </w:p>
    <w:tbl>
      <w:tblPr>
        <w:tblStyle w:val="8"/>
        <w:tblW w:w="5000" w:type="pct"/>
        <w:tblInd w:w="0" w:type="dxa"/>
        <w:tblLayout w:type="autofit"/>
        <w:tblCellMar>
          <w:top w:w="61" w:type="dxa"/>
          <w:left w:w="108" w:type="dxa"/>
          <w:bottom w:w="0" w:type="dxa"/>
          <w:right w:w="24" w:type="dxa"/>
        </w:tblCellMar>
      </w:tblPr>
      <w:tblGrid>
        <w:gridCol w:w="6381"/>
        <w:gridCol w:w="2057"/>
      </w:tblGrid>
      <w:tr>
        <w:tblPrEx>
          <w:tblCellMar>
            <w:top w:w="61" w:type="dxa"/>
            <w:left w:w="108" w:type="dxa"/>
            <w:bottom w:w="0" w:type="dxa"/>
            <w:right w:w="24" w:type="dxa"/>
          </w:tblCellMar>
        </w:tblPrEx>
        <w:trPr>
          <w:trHeight w:val="20" w:hRule="atLeast"/>
        </w:trPr>
        <w:tc>
          <w:tcPr>
            <w:tcW w:w="3781" w:type="pct"/>
            <w:tcBorders>
              <w:top w:val="single" w:color="000000" w:sz="4" w:space="0"/>
              <w:left w:val="single" w:color="000000" w:sz="4" w:space="0"/>
              <w:bottom w:val="single" w:color="000000" w:sz="4" w:space="0"/>
              <w:right w:val="single" w:color="000000" w:sz="4" w:space="0"/>
            </w:tcBorders>
            <w:vAlign w:val="center"/>
          </w:tcPr>
          <w:p>
            <w:pPr>
              <w:keepNext/>
              <w:widowControl/>
              <w:tabs>
                <w:tab w:val="left" w:pos="1204"/>
              </w:tabs>
              <w:adjustRightInd w:val="0"/>
              <w:snapToGrid w:val="0"/>
              <w:spacing w:after="312" w:afterLines="100" w:line="276" w:lineRule="auto"/>
              <w:jc w:val="left"/>
              <w:rPr>
                <w:b/>
                <w:sz w:val="22"/>
                <w:szCs w:val="22"/>
              </w:rPr>
            </w:pPr>
            <w:r>
              <w:rPr>
                <w:b/>
                <w:sz w:val="22"/>
                <w:szCs w:val="22"/>
              </w:rPr>
              <w:t>Stage of Trading</w:t>
            </w:r>
          </w:p>
        </w:tc>
        <w:tc>
          <w:tcPr>
            <w:tcW w:w="1219" w:type="pct"/>
            <w:tcBorders>
              <w:top w:val="single" w:color="000000" w:sz="4" w:space="0"/>
              <w:left w:val="single" w:color="000000" w:sz="4" w:space="0"/>
              <w:bottom w:val="single" w:color="000000" w:sz="4" w:space="0"/>
              <w:right w:val="single" w:color="000000" w:sz="4" w:space="0"/>
            </w:tcBorders>
            <w:vAlign w:val="center"/>
          </w:tcPr>
          <w:p>
            <w:pPr>
              <w:keepNext/>
              <w:widowControl/>
              <w:tabs>
                <w:tab w:val="left" w:pos="1204"/>
              </w:tabs>
              <w:adjustRightInd w:val="0"/>
              <w:snapToGrid w:val="0"/>
              <w:spacing w:after="312" w:afterLines="100" w:line="276" w:lineRule="auto"/>
              <w:jc w:val="left"/>
              <w:rPr>
                <w:b/>
                <w:sz w:val="22"/>
                <w:szCs w:val="22"/>
              </w:rPr>
            </w:pPr>
            <w:r>
              <w:rPr>
                <w:b/>
                <w:sz w:val="22"/>
                <w:szCs w:val="22"/>
              </w:rPr>
              <w:t>Trading Margin</w:t>
            </w:r>
          </w:p>
        </w:tc>
      </w:tr>
      <w:tr>
        <w:tblPrEx>
          <w:tblCellMar>
            <w:top w:w="61" w:type="dxa"/>
            <w:left w:w="108" w:type="dxa"/>
            <w:bottom w:w="0" w:type="dxa"/>
            <w:right w:w="24" w:type="dxa"/>
          </w:tblCellMar>
        </w:tblPrEx>
        <w:trPr>
          <w:trHeight w:val="20" w:hRule="atLeast"/>
        </w:trPr>
        <w:tc>
          <w:tcPr>
            <w:tcW w:w="3781" w:type="pct"/>
            <w:tcBorders>
              <w:top w:val="single" w:color="000000" w:sz="4" w:space="0"/>
              <w:left w:val="single" w:color="000000" w:sz="4" w:space="0"/>
              <w:bottom w:val="single" w:color="000000" w:sz="4" w:space="0"/>
              <w:right w:val="single" w:color="000000" w:sz="4" w:space="0"/>
            </w:tcBorders>
            <w:vAlign w:val="center"/>
          </w:tcPr>
          <w:p>
            <w:pPr>
              <w:keepNext/>
              <w:widowControl/>
              <w:tabs>
                <w:tab w:val="left" w:pos="1204"/>
              </w:tabs>
              <w:adjustRightInd w:val="0"/>
              <w:snapToGrid w:val="0"/>
              <w:spacing w:after="312" w:afterLines="100" w:line="276" w:lineRule="auto"/>
              <w:jc w:val="left"/>
              <w:rPr>
                <w:sz w:val="22"/>
                <w:szCs w:val="22"/>
              </w:rPr>
            </w:pPr>
            <w:r>
              <w:rPr>
                <w:sz w:val="22"/>
                <w:szCs w:val="22"/>
              </w:rPr>
              <w:t>As of listing</w:t>
            </w:r>
          </w:p>
        </w:tc>
        <w:tc>
          <w:tcPr>
            <w:tcW w:w="1219" w:type="pct"/>
            <w:tcBorders>
              <w:top w:val="single" w:color="000000" w:sz="4" w:space="0"/>
              <w:left w:val="single" w:color="000000" w:sz="4" w:space="0"/>
              <w:bottom w:val="single" w:color="000000" w:sz="4" w:space="0"/>
              <w:right w:val="single" w:color="000000" w:sz="4" w:space="0"/>
            </w:tcBorders>
            <w:vAlign w:val="center"/>
          </w:tcPr>
          <w:p>
            <w:pPr>
              <w:keepNext/>
              <w:widowControl/>
              <w:tabs>
                <w:tab w:val="left" w:pos="1204"/>
              </w:tabs>
              <w:adjustRightInd w:val="0"/>
              <w:snapToGrid w:val="0"/>
              <w:spacing w:after="312" w:afterLines="100" w:line="276" w:lineRule="auto"/>
              <w:jc w:val="left"/>
              <w:rPr>
                <w:sz w:val="22"/>
                <w:szCs w:val="22"/>
              </w:rPr>
            </w:pPr>
            <w:r>
              <w:rPr>
                <w:sz w:val="22"/>
                <w:szCs w:val="22"/>
              </w:rPr>
              <w:t>5%</w:t>
            </w:r>
          </w:p>
        </w:tc>
      </w:tr>
      <w:tr>
        <w:tblPrEx>
          <w:tblCellMar>
            <w:top w:w="61" w:type="dxa"/>
            <w:left w:w="108" w:type="dxa"/>
            <w:bottom w:w="0" w:type="dxa"/>
            <w:right w:w="24" w:type="dxa"/>
          </w:tblCellMar>
        </w:tblPrEx>
        <w:trPr>
          <w:trHeight w:val="20" w:hRule="atLeast"/>
        </w:trPr>
        <w:tc>
          <w:tcPr>
            <w:tcW w:w="3781" w:type="pct"/>
            <w:tcBorders>
              <w:top w:val="single" w:color="000000" w:sz="4" w:space="0"/>
              <w:left w:val="single" w:color="000000" w:sz="4" w:space="0"/>
              <w:bottom w:val="single" w:color="000000" w:sz="4" w:space="0"/>
              <w:right w:val="single" w:color="000000" w:sz="4" w:space="0"/>
            </w:tcBorders>
            <w:vAlign w:val="center"/>
          </w:tcPr>
          <w:p>
            <w:pPr>
              <w:keepNext/>
              <w:widowControl/>
              <w:tabs>
                <w:tab w:val="left" w:pos="1204"/>
              </w:tabs>
              <w:adjustRightInd w:val="0"/>
              <w:snapToGrid w:val="0"/>
              <w:spacing w:after="312" w:afterLines="100" w:line="276" w:lineRule="auto"/>
              <w:jc w:val="left"/>
              <w:rPr>
                <w:sz w:val="22"/>
                <w:szCs w:val="22"/>
              </w:rPr>
            </w:pPr>
            <w:r>
              <w:rPr>
                <w:sz w:val="22"/>
                <w:szCs w:val="22"/>
              </w:rPr>
              <w:t>As of the first trading day of the month prior to the delivery month</w:t>
            </w:r>
          </w:p>
        </w:tc>
        <w:tc>
          <w:tcPr>
            <w:tcW w:w="1219" w:type="pct"/>
            <w:tcBorders>
              <w:top w:val="single" w:color="000000" w:sz="4" w:space="0"/>
              <w:left w:val="single" w:color="000000" w:sz="4" w:space="0"/>
              <w:bottom w:val="single" w:color="000000" w:sz="4" w:space="0"/>
              <w:right w:val="single" w:color="000000" w:sz="4" w:space="0"/>
            </w:tcBorders>
            <w:vAlign w:val="center"/>
          </w:tcPr>
          <w:p>
            <w:pPr>
              <w:keepNext/>
              <w:widowControl/>
              <w:tabs>
                <w:tab w:val="left" w:pos="1204"/>
              </w:tabs>
              <w:adjustRightInd w:val="0"/>
              <w:snapToGrid w:val="0"/>
              <w:spacing w:after="312" w:afterLines="100" w:line="276" w:lineRule="auto"/>
              <w:jc w:val="left"/>
              <w:rPr>
                <w:sz w:val="22"/>
                <w:szCs w:val="22"/>
              </w:rPr>
            </w:pPr>
            <w:r>
              <w:rPr>
                <w:sz w:val="22"/>
                <w:szCs w:val="22"/>
              </w:rPr>
              <w:t>10%</w:t>
            </w:r>
          </w:p>
        </w:tc>
      </w:tr>
      <w:tr>
        <w:tblPrEx>
          <w:tblCellMar>
            <w:top w:w="61" w:type="dxa"/>
            <w:left w:w="108" w:type="dxa"/>
            <w:bottom w:w="0" w:type="dxa"/>
            <w:right w:w="24" w:type="dxa"/>
          </w:tblCellMar>
        </w:tblPrEx>
        <w:trPr>
          <w:trHeight w:val="20" w:hRule="atLeast"/>
        </w:trPr>
        <w:tc>
          <w:tcPr>
            <w:tcW w:w="3781" w:type="pct"/>
            <w:tcBorders>
              <w:top w:val="single" w:color="000000" w:sz="4" w:space="0"/>
              <w:left w:val="single" w:color="000000" w:sz="4" w:space="0"/>
              <w:bottom w:val="single" w:color="000000" w:sz="4" w:space="0"/>
              <w:right w:val="single" w:color="000000" w:sz="4" w:space="0"/>
            </w:tcBorders>
            <w:vAlign w:val="center"/>
          </w:tcPr>
          <w:p>
            <w:pPr>
              <w:keepNext/>
              <w:widowControl/>
              <w:tabs>
                <w:tab w:val="left" w:pos="1204"/>
              </w:tabs>
              <w:adjustRightInd w:val="0"/>
              <w:snapToGrid w:val="0"/>
              <w:spacing w:after="312" w:afterLines="100" w:line="276" w:lineRule="auto"/>
              <w:jc w:val="left"/>
              <w:rPr>
                <w:sz w:val="22"/>
                <w:szCs w:val="22"/>
              </w:rPr>
            </w:pPr>
            <w:r>
              <w:rPr>
                <w:sz w:val="22"/>
                <w:szCs w:val="22"/>
              </w:rPr>
              <w:t>As of the first trading day of the delivery month</w:t>
            </w:r>
          </w:p>
        </w:tc>
        <w:tc>
          <w:tcPr>
            <w:tcW w:w="1219" w:type="pct"/>
            <w:tcBorders>
              <w:top w:val="single" w:color="000000" w:sz="4" w:space="0"/>
              <w:left w:val="single" w:color="000000" w:sz="4" w:space="0"/>
              <w:bottom w:val="single" w:color="000000" w:sz="4" w:space="0"/>
              <w:right w:val="single" w:color="000000" w:sz="4" w:space="0"/>
            </w:tcBorders>
            <w:vAlign w:val="center"/>
          </w:tcPr>
          <w:p>
            <w:pPr>
              <w:keepNext/>
              <w:widowControl/>
              <w:tabs>
                <w:tab w:val="left" w:pos="1204"/>
              </w:tabs>
              <w:adjustRightInd w:val="0"/>
              <w:snapToGrid w:val="0"/>
              <w:spacing w:after="312" w:afterLines="100" w:line="276" w:lineRule="auto"/>
              <w:jc w:val="left"/>
              <w:rPr>
                <w:sz w:val="22"/>
                <w:szCs w:val="22"/>
              </w:rPr>
            </w:pPr>
            <w:r>
              <w:rPr>
                <w:sz w:val="22"/>
                <w:szCs w:val="22"/>
              </w:rPr>
              <w:t>15%</w:t>
            </w:r>
          </w:p>
        </w:tc>
      </w:tr>
      <w:tr>
        <w:tblPrEx>
          <w:tblCellMar>
            <w:top w:w="61" w:type="dxa"/>
            <w:left w:w="108" w:type="dxa"/>
            <w:bottom w:w="0" w:type="dxa"/>
            <w:right w:w="24" w:type="dxa"/>
          </w:tblCellMar>
        </w:tblPrEx>
        <w:trPr>
          <w:trHeight w:val="20" w:hRule="atLeast"/>
        </w:trPr>
        <w:tc>
          <w:tcPr>
            <w:tcW w:w="3781" w:type="pct"/>
            <w:tcBorders>
              <w:top w:val="single" w:color="000000" w:sz="4" w:space="0"/>
              <w:left w:val="single" w:color="000000" w:sz="4" w:space="0"/>
              <w:bottom w:val="single" w:color="000000" w:sz="4" w:space="0"/>
              <w:right w:val="single" w:color="000000" w:sz="4" w:space="0"/>
            </w:tcBorders>
            <w:vAlign w:val="center"/>
          </w:tcPr>
          <w:p>
            <w:pPr>
              <w:keepNext/>
              <w:widowControl/>
              <w:tabs>
                <w:tab w:val="left" w:pos="1204"/>
              </w:tabs>
              <w:adjustRightInd w:val="0"/>
              <w:snapToGrid w:val="0"/>
              <w:spacing w:after="312" w:afterLines="100" w:line="276" w:lineRule="auto"/>
              <w:jc w:val="left"/>
              <w:rPr>
                <w:sz w:val="22"/>
                <w:szCs w:val="22"/>
              </w:rPr>
            </w:pPr>
            <w:r>
              <w:rPr>
                <w:sz w:val="22"/>
                <w:szCs w:val="22"/>
              </w:rPr>
              <w:t>As of the second trading day prior to the last trading day</w:t>
            </w:r>
          </w:p>
        </w:tc>
        <w:tc>
          <w:tcPr>
            <w:tcW w:w="1219" w:type="pct"/>
            <w:tcBorders>
              <w:top w:val="single" w:color="000000" w:sz="4" w:space="0"/>
              <w:left w:val="single" w:color="000000" w:sz="4" w:space="0"/>
              <w:bottom w:val="single" w:color="000000" w:sz="4" w:space="0"/>
              <w:right w:val="single" w:color="000000" w:sz="4" w:space="0"/>
            </w:tcBorders>
            <w:vAlign w:val="center"/>
          </w:tcPr>
          <w:p>
            <w:pPr>
              <w:keepNext/>
              <w:widowControl/>
              <w:tabs>
                <w:tab w:val="left" w:pos="1204"/>
              </w:tabs>
              <w:adjustRightInd w:val="0"/>
              <w:snapToGrid w:val="0"/>
              <w:spacing w:after="312" w:afterLines="100" w:line="276" w:lineRule="auto"/>
              <w:jc w:val="left"/>
              <w:rPr>
                <w:sz w:val="22"/>
                <w:szCs w:val="22"/>
              </w:rPr>
            </w:pPr>
            <w:r>
              <w:rPr>
                <w:sz w:val="22"/>
                <w:szCs w:val="22"/>
              </w:rPr>
              <w:t>20%</w:t>
            </w:r>
          </w:p>
        </w:tc>
      </w:tr>
    </w:tbl>
    <w:p>
      <w:pPr>
        <w:tabs>
          <w:tab w:val="left" w:pos="1204"/>
        </w:tabs>
        <w:adjustRightInd w:val="0"/>
        <w:snapToGrid w:val="0"/>
        <w:spacing w:after="312" w:afterLines="100" w:line="276" w:lineRule="auto"/>
        <w:jc w:val="left"/>
        <w:rPr>
          <w:b/>
          <w:bCs/>
          <w:sz w:val="22"/>
          <w:szCs w:val="22"/>
        </w:rPr>
      </w:pP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29</w:t>
      </w:r>
      <w:r>
        <w:rPr>
          <w:b/>
          <w:bCs/>
          <w:sz w:val="22"/>
          <w:szCs w:val="22"/>
        </w:rPr>
        <w:tab/>
      </w:r>
      <w:r>
        <w:rPr>
          <w:rFonts w:hint="eastAsia"/>
          <w:sz w:val="22"/>
          <w:szCs w:val="22"/>
        </w:rPr>
        <w:t>The</w:t>
      </w:r>
      <w:r>
        <w:rPr>
          <w:sz w:val="22"/>
          <w:szCs w:val="22"/>
        </w:rPr>
        <w:t xml:space="preserve"> </w:t>
      </w:r>
      <w:r>
        <w:rPr>
          <w:rFonts w:hint="eastAsia"/>
          <w:sz w:val="22"/>
          <w:szCs w:val="22"/>
        </w:rPr>
        <w:t>r</w:t>
      </w:r>
      <w:r>
        <w:rPr>
          <w:sz w:val="22"/>
          <w:szCs w:val="22"/>
        </w:rPr>
        <w:t xml:space="preserve">ange of </w:t>
      </w:r>
      <w:r>
        <w:rPr>
          <w:rFonts w:hint="eastAsia"/>
          <w:sz w:val="22"/>
          <w:szCs w:val="22"/>
        </w:rPr>
        <w:t>p</w:t>
      </w:r>
      <w:r>
        <w:rPr>
          <w:sz w:val="22"/>
          <w:szCs w:val="22"/>
        </w:rPr>
        <w:t xml:space="preserve">rice </w:t>
      </w:r>
      <w:r>
        <w:rPr>
          <w:rFonts w:hint="eastAsia"/>
          <w:sz w:val="22"/>
          <w:szCs w:val="22"/>
        </w:rPr>
        <w:t>l</w:t>
      </w:r>
      <w:r>
        <w:rPr>
          <w:sz w:val="22"/>
          <w:szCs w:val="22"/>
        </w:rPr>
        <w:t>imit</w:t>
      </w:r>
      <w:r>
        <w:rPr>
          <w:rFonts w:hint="eastAsia"/>
          <w:sz w:val="22"/>
          <w:szCs w:val="22"/>
        </w:rPr>
        <w:t xml:space="preserve"> for a copper futures contract is w</w:t>
      </w:r>
      <w:r>
        <w:rPr>
          <w:sz w:val="22"/>
          <w:szCs w:val="22"/>
        </w:rPr>
        <w:t xml:space="preserve">ithin ±3% of </w:t>
      </w:r>
      <w:r>
        <w:rPr>
          <w:rFonts w:hint="eastAsia"/>
          <w:sz w:val="22"/>
          <w:szCs w:val="22"/>
        </w:rPr>
        <w:t>its</w:t>
      </w:r>
      <w:r>
        <w:rPr>
          <w:sz w:val="22"/>
          <w:szCs w:val="22"/>
        </w:rPr>
        <w:t xml:space="preserve"> settlement price of the preceding trading day</w:t>
      </w:r>
      <w:r>
        <w:rPr>
          <w:rFonts w:hint="eastAsia"/>
          <w:sz w:val="22"/>
          <w:szCs w:val="22"/>
        </w:rPr>
        <w:t>.</w:t>
      </w:r>
    </w:p>
    <w:p>
      <w:pPr>
        <w:tabs>
          <w:tab w:val="left" w:pos="1204"/>
        </w:tabs>
        <w:adjustRightInd w:val="0"/>
        <w:snapToGrid w:val="0"/>
        <w:spacing w:after="312" w:afterLines="100" w:line="276" w:lineRule="auto"/>
        <w:jc w:val="left"/>
        <w:rPr>
          <w:bCs/>
          <w:sz w:val="22"/>
          <w:szCs w:val="22"/>
        </w:rPr>
      </w:pPr>
      <w:r>
        <w:rPr>
          <w:b/>
          <w:sz w:val="22"/>
          <w:szCs w:val="22"/>
        </w:rPr>
        <w:t xml:space="preserve">Article </w:t>
      </w:r>
      <w:r>
        <w:rPr>
          <w:rFonts w:hint="eastAsia"/>
          <w:b/>
          <w:sz w:val="22"/>
          <w:szCs w:val="22"/>
        </w:rPr>
        <w:t>30</w:t>
      </w:r>
      <w:r>
        <w:rPr>
          <w:bCs/>
          <w:sz w:val="22"/>
          <w:szCs w:val="22"/>
        </w:rPr>
        <w:tab/>
      </w:r>
      <w:r>
        <w:rPr>
          <w:bCs/>
          <w:sz w:val="22"/>
          <w:szCs w:val="22"/>
        </w:rPr>
        <w:t xml:space="preserve">Percentage-based Position Limit and </w:t>
      </w:r>
      <w:r>
        <w:rPr>
          <w:sz w:val="22"/>
          <w:szCs w:val="22"/>
        </w:rPr>
        <w:t>fixed-amount Position Limit</w:t>
      </w:r>
      <w:r>
        <w:rPr>
          <w:bCs/>
          <w:sz w:val="22"/>
          <w:szCs w:val="22"/>
        </w:rPr>
        <w:t xml:space="preserve"> for each</w:t>
      </w:r>
      <w:r>
        <w:rPr>
          <w:rFonts w:hint="eastAsia"/>
          <w:bCs/>
          <w:sz w:val="22"/>
          <w:szCs w:val="22"/>
        </w:rPr>
        <w:t xml:space="preserve"> copper</w:t>
      </w:r>
      <w:r>
        <w:rPr>
          <w:bCs/>
          <w:sz w:val="22"/>
          <w:szCs w:val="22"/>
        </w:rPr>
        <w:t xml:space="preserve"> futures contract at different stages of trading for an FF Member, a non-FF Member and a Client are as follows</w:t>
      </w:r>
      <w:r>
        <w:rPr>
          <w:rFonts w:hint="eastAsia"/>
          <w:bCs/>
          <w:sz w:val="22"/>
          <w:szCs w:val="22"/>
        </w:rPr>
        <w:t xml:space="preserve"> (in lots)</w:t>
      </w:r>
      <w:r>
        <w:rPr>
          <w:bCs/>
          <w:sz w:val="22"/>
          <w:szCs w:val="22"/>
        </w:rPr>
        <w:t>:</w:t>
      </w:r>
    </w:p>
    <w:tbl>
      <w:tblPr>
        <w:tblStyle w:val="8"/>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55"/>
        <w:gridCol w:w="782"/>
        <w:gridCol w:w="1596"/>
        <w:gridCol w:w="792"/>
        <w:gridCol w:w="1008"/>
        <w:gridCol w:w="632"/>
        <w:gridCol w:w="864"/>
        <w:gridCol w:w="595"/>
        <w:gridCol w:w="843"/>
        <w:gridCol w:w="5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395" w:type="pct"/>
            <w:vMerge w:val="restar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1214" w:type="pct"/>
            <w:gridSpan w:val="2"/>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From the date of listing to the delivery month</w:t>
            </w:r>
          </w:p>
        </w:tc>
        <w:tc>
          <w:tcPr>
            <w:tcW w:w="1568" w:type="pct"/>
            <w:gridSpan w:val="3"/>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From the date of listing to the last trading day of the second month prior to the delivery month</w:t>
            </w:r>
          </w:p>
        </w:tc>
        <w:tc>
          <w:tcPr>
            <w:tcW w:w="914" w:type="pct"/>
            <w:gridSpan w:val="2"/>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First month prior to the delivery month</w:t>
            </w:r>
          </w:p>
        </w:tc>
        <w:tc>
          <w:tcPr>
            <w:tcW w:w="909" w:type="pct"/>
            <w:gridSpan w:val="2"/>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Delivery month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395" w:type="pct"/>
            <w:vMerge w:val="continue"/>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478" w:type="pct"/>
            <w:vMerge w:val="restart"/>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Total open</w:t>
            </w:r>
          </w:p>
          <w:p>
            <w:pPr>
              <w:tabs>
                <w:tab w:val="left" w:pos="1204"/>
              </w:tabs>
              <w:adjustRightInd w:val="0"/>
              <w:snapToGrid w:val="0"/>
              <w:spacing w:after="312" w:afterLines="100" w:line="276" w:lineRule="auto"/>
              <w:jc w:val="left"/>
              <w:rPr>
                <w:bCs/>
                <w:sz w:val="22"/>
                <w:szCs w:val="22"/>
              </w:rPr>
            </w:pPr>
            <w:r>
              <w:rPr>
                <w:sz w:val="22"/>
                <w:szCs w:val="22"/>
              </w:rPr>
              <w:t>interest</w:t>
            </w:r>
          </w:p>
        </w:tc>
        <w:tc>
          <w:tcPr>
            <w:tcW w:w="736" w:type="pct"/>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Percentage-based Position Limit (%)</w:t>
            </w:r>
          </w:p>
        </w:tc>
        <w:tc>
          <w:tcPr>
            <w:tcW w:w="535" w:type="pct"/>
            <w:vMerge w:val="restart"/>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Total open</w:t>
            </w:r>
          </w:p>
          <w:p>
            <w:pPr>
              <w:tabs>
                <w:tab w:val="left" w:pos="1204"/>
              </w:tabs>
              <w:adjustRightInd w:val="0"/>
              <w:snapToGrid w:val="0"/>
              <w:spacing w:after="312" w:afterLines="100" w:line="276" w:lineRule="auto"/>
              <w:jc w:val="left"/>
              <w:rPr>
                <w:bCs/>
                <w:sz w:val="22"/>
                <w:szCs w:val="22"/>
              </w:rPr>
            </w:pPr>
            <w:r>
              <w:rPr>
                <w:sz w:val="22"/>
                <w:szCs w:val="22"/>
              </w:rPr>
              <w:t>interest</w:t>
            </w:r>
          </w:p>
        </w:tc>
        <w:tc>
          <w:tcPr>
            <w:tcW w:w="1033" w:type="pct"/>
            <w:gridSpan w:val="2"/>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sz w:val="22"/>
                <w:szCs w:val="22"/>
              </w:rPr>
            </w:pPr>
            <w:r>
              <w:rPr>
                <w:bCs/>
                <w:sz w:val="22"/>
                <w:szCs w:val="22"/>
              </w:rPr>
              <w:t xml:space="preserve">Percentage-based Position Limit (%) and </w:t>
            </w:r>
            <w:r>
              <w:rPr>
                <w:sz w:val="22"/>
                <w:szCs w:val="22"/>
              </w:rPr>
              <w:t>fixed-amount Position Limit (in lots)</w:t>
            </w:r>
          </w:p>
        </w:tc>
        <w:tc>
          <w:tcPr>
            <w:tcW w:w="914" w:type="pct"/>
            <w:gridSpan w:val="2"/>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Fixed-amount Position Limit (in lots)</w:t>
            </w:r>
          </w:p>
        </w:tc>
        <w:tc>
          <w:tcPr>
            <w:tcW w:w="909" w:type="pct"/>
            <w:gridSpan w:val="2"/>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Fixed-amount Position Limit (in lots)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395" w:type="pct"/>
            <w:vMerge w:val="continue"/>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478" w:type="pct"/>
            <w:vMerge w:val="continue"/>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p>
        </w:tc>
        <w:tc>
          <w:tcPr>
            <w:tcW w:w="736" w:type="pct"/>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FF Member</w:t>
            </w:r>
          </w:p>
        </w:tc>
        <w:tc>
          <w:tcPr>
            <w:tcW w:w="535" w:type="pct"/>
            <w:vMerge w:val="continue"/>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p>
        </w:tc>
        <w:tc>
          <w:tcPr>
            <w:tcW w:w="629" w:type="pc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Non-FF Member</w:t>
            </w:r>
          </w:p>
        </w:tc>
        <w:tc>
          <w:tcPr>
            <w:tcW w:w="404" w:type="pc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Client</w:t>
            </w:r>
          </w:p>
        </w:tc>
        <w:tc>
          <w:tcPr>
            <w:tcW w:w="543" w:type="pc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Non-FF Member</w:t>
            </w:r>
          </w:p>
        </w:tc>
        <w:tc>
          <w:tcPr>
            <w:tcW w:w="371" w:type="pc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Client</w:t>
            </w:r>
          </w:p>
        </w:tc>
        <w:tc>
          <w:tcPr>
            <w:tcW w:w="539" w:type="pc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Non-FF Member</w:t>
            </w:r>
          </w:p>
        </w:tc>
        <w:tc>
          <w:tcPr>
            <w:tcW w:w="370" w:type="pc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Client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395" w:type="pct"/>
            <w:vMerge w:val="restar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copper</w:t>
            </w:r>
          </w:p>
        </w:tc>
        <w:tc>
          <w:tcPr>
            <w:tcW w:w="478" w:type="pct"/>
            <w:vMerge w:val="restart"/>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≥80,000</w:t>
            </w:r>
          </w:p>
        </w:tc>
        <w:tc>
          <w:tcPr>
            <w:tcW w:w="736" w:type="pct"/>
            <w:vMerge w:val="restart"/>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25</w:t>
            </w:r>
          </w:p>
        </w:tc>
        <w:tc>
          <w:tcPr>
            <w:tcW w:w="535" w:type="pct"/>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≥80,000</w:t>
            </w:r>
          </w:p>
        </w:tc>
        <w:tc>
          <w:tcPr>
            <w:tcW w:w="629" w:type="pc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10</w:t>
            </w:r>
          </w:p>
        </w:tc>
        <w:tc>
          <w:tcPr>
            <w:tcW w:w="404" w:type="pc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10</w:t>
            </w:r>
          </w:p>
        </w:tc>
        <w:tc>
          <w:tcPr>
            <w:tcW w:w="543" w:type="pct"/>
            <w:vMerge w:val="restar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3,000</w:t>
            </w:r>
          </w:p>
        </w:tc>
        <w:tc>
          <w:tcPr>
            <w:tcW w:w="371" w:type="pct"/>
            <w:vMerge w:val="restar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3,000</w:t>
            </w:r>
          </w:p>
        </w:tc>
        <w:tc>
          <w:tcPr>
            <w:tcW w:w="539" w:type="pct"/>
            <w:vMerge w:val="restar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1,000</w:t>
            </w:r>
          </w:p>
        </w:tc>
        <w:tc>
          <w:tcPr>
            <w:tcW w:w="370" w:type="pct"/>
            <w:vMerge w:val="restar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395" w:type="pct"/>
            <w:vMerge w:val="continue"/>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478" w:type="pct"/>
            <w:vMerge w:val="continue"/>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p>
        </w:tc>
        <w:tc>
          <w:tcPr>
            <w:tcW w:w="736" w:type="pct"/>
            <w:vMerge w:val="continue"/>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p>
        </w:tc>
        <w:tc>
          <w:tcPr>
            <w:tcW w:w="535" w:type="pct"/>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w:t>
            </w:r>
            <w:r>
              <w:rPr>
                <w:bCs/>
                <w:sz w:val="22"/>
                <w:szCs w:val="22"/>
              </w:rPr>
              <w:t>80,000</w:t>
            </w:r>
          </w:p>
        </w:tc>
        <w:tc>
          <w:tcPr>
            <w:tcW w:w="629" w:type="pc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8,000</w:t>
            </w:r>
          </w:p>
        </w:tc>
        <w:tc>
          <w:tcPr>
            <w:tcW w:w="404" w:type="pc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8,000</w:t>
            </w:r>
          </w:p>
        </w:tc>
        <w:tc>
          <w:tcPr>
            <w:tcW w:w="543" w:type="pct"/>
            <w:vMerge w:val="continue"/>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371" w:type="pct"/>
            <w:vMerge w:val="continue"/>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539" w:type="pct"/>
            <w:vMerge w:val="continue"/>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370" w:type="pct"/>
            <w:vMerge w:val="continue"/>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r>
    </w:tbl>
    <w:p>
      <w:pPr>
        <w:tabs>
          <w:tab w:val="left" w:pos="1204"/>
        </w:tabs>
        <w:adjustRightInd w:val="0"/>
        <w:snapToGrid w:val="0"/>
        <w:spacing w:after="312" w:afterLines="100" w:line="276" w:lineRule="auto"/>
        <w:jc w:val="left"/>
        <w:rPr>
          <w:sz w:val="22"/>
          <w:szCs w:val="22"/>
        </w:rPr>
      </w:pPr>
      <w:r>
        <w:rPr>
          <w:sz w:val="22"/>
          <w:szCs w:val="22"/>
        </w:rPr>
        <w:t>Note: total open interest and the fixed-amount Position Limit are based on long or short</w:t>
      </w:r>
      <w:r>
        <w:rPr>
          <w:rFonts w:hint="eastAsia"/>
          <w:sz w:val="22"/>
          <w:szCs w:val="22"/>
        </w:rPr>
        <w:t xml:space="preserve"> </w:t>
      </w:r>
      <w:r>
        <w:rPr>
          <w:sz w:val="22"/>
          <w:szCs w:val="22"/>
        </w:rPr>
        <w:t>positions.</w:t>
      </w:r>
    </w:p>
    <w:p>
      <w:pPr>
        <w:tabs>
          <w:tab w:val="left" w:pos="1204"/>
        </w:tabs>
        <w:adjustRightInd w:val="0"/>
        <w:snapToGrid w:val="0"/>
        <w:spacing w:after="312" w:afterLines="100" w:line="276" w:lineRule="auto"/>
        <w:jc w:val="left"/>
        <w:rPr>
          <w:bCs/>
          <w:sz w:val="22"/>
          <w:szCs w:val="22"/>
        </w:rPr>
      </w:pPr>
      <w:r>
        <w:rPr>
          <w:b/>
          <w:sz w:val="22"/>
          <w:szCs w:val="22"/>
        </w:rPr>
        <w:t xml:space="preserve">Article </w:t>
      </w:r>
      <w:r>
        <w:rPr>
          <w:rFonts w:hint="eastAsia"/>
          <w:b/>
          <w:sz w:val="22"/>
          <w:szCs w:val="22"/>
        </w:rPr>
        <w:t>31</w:t>
      </w:r>
      <w:r>
        <w:rPr>
          <w:bCs/>
          <w:sz w:val="22"/>
          <w:szCs w:val="22"/>
        </w:rPr>
        <w:tab/>
      </w:r>
      <w:r>
        <w:rPr>
          <w:bCs/>
          <w:sz w:val="22"/>
          <w:szCs w:val="22"/>
        </w:rPr>
        <w:t xml:space="preserve">For contracts in copper futures, by the close of the last trading day of the month prior to the delivery month, each Trader (referring here and hereinafter to a Client, a Non-Futures Firm Member) shall adjust its general positions held under </w:t>
      </w:r>
      <w:r>
        <w:rPr>
          <w:rFonts w:hint="eastAsia"/>
          <w:bCs/>
          <w:sz w:val="22"/>
          <w:szCs w:val="22"/>
        </w:rPr>
        <w:t>its</w:t>
      </w:r>
      <w:r>
        <w:rPr>
          <w:bCs/>
          <w:sz w:val="22"/>
          <w:szCs w:val="22"/>
        </w:rPr>
        <w:t xml:space="preserve"> trading code, to multiples of five (5) lots and a one-day delay is allowed under special market conditions; in the delivery month, the general positions as well as newly opened and closed-out positions shall be held in multiples of five (5) lots. </w:t>
      </w:r>
    </w:p>
    <w:p>
      <w:pPr>
        <w:tabs>
          <w:tab w:val="left" w:pos="1204"/>
        </w:tabs>
        <w:adjustRightInd w:val="0"/>
        <w:snapToGrid w:val="0"/>
        <w:spacing w:after="312" w:afterLines="100" w:line="276" w:lineRule="auto"/>
        <w:jc w:val="left"/>
        <w:rPr>
          <w:bCs/>
          <w:sz w:val="22"/>
          <w:szCs w:val="22"/>
        </w:rPr>
      </w:pPr>
      <w:r>
        <w:rPr>
          <w:b/>
          <w:sz w:val="22"/>
          <w:szCs w:val="22"/>
        </w:rPr>
        <w:t xml:space="preserve">Article </w:t>
      </w:r>
      <w:r>
        <w:rPr>
          <w:rFonts w:hint="eastAsia"/>
          <w:b/>
          <w:sz w:val="22"/>
          <w:szCs w:val="22"/>
        </w:rPr>
        <w:t>32</w:t>
      </w:r>
      <w:r>
        <w:rPr>
          <w:bCs/>
          <w:sz w:val="22"/>
          <w:szCs w:val="22"/>
        </w:rPr>
        <w:tab/>
      </w:r>
      <w:r>
        <w:rPr>
          <w:bCs/>
          <w:sz w:val="22"/>
          <w:szCs w:val="22"/>
        </w:rPr>
        <w:t>If the Exchange makes a forced position reduction</w:t>
      </w:r>
      <w:r>
        <w:rPr>
          <w:rFonts w:hint="eastAsia"/>
          <w:bCs/>
          <w:sz w:val="22"/>
          <w:szCs w:val="22"/>
        </w:rPr>
        <w:t xml:space="preserve"> to a copper futures contract</w:t>
      </w:r>
      <w:r>
        <w:rPr>
          <w:bCs/>
          <w:sz w:val="22"/>
          <w:szCs w:val="22"/>
        </w:rPr>
        <w:t>,</w:t>
      </w:r>
      <w:r>
        <w:rPr>
          <w:rFonts w:hint="eastAsia"/>
          <w:bCs/>
          <w:sz w:val="22"/>
          <w:szCs w:val="22"/>
        </w:rPr>
        <w:t xml:space="preserve"> the</w:t>
      </w:r>
      <w:r>
        <w:rPr>
          <w:bCs/>
          <w:sz w:val="22"/>
          <w:szCs w:val="22"/>
        </w:rPr>
        <w:t xml:space="preserve"> amount of the unfilled orders subject to the order fill</w:t>
      </w:r>
      <w:r>
        <w:rPr>
          <w:rFonts w:hint="eastAsia"/>
          <w:bCs/>
          <w:sz w:val="22"/>
          <w:szCs w:val="22"/>
        </w:rPr>
        <w:t xml:space="preserve">, </w:t>
      </w:r>
      <w:r>
        <w:rPr>
          <w:bCs/>
          <w:sz w:val="22"/>
          <w:szCs w:val="22"/>
        </w:rPr>
        <w:t>positions eligible to fill the unfilled orders of a Trader</w:t>
      </w:r>
      <w:r>
        <w:rPr>
          <w:rFonts w:hint="eastAsia"/>
          <w:bCs/>
          <w:sz w:val="22"/>
          <w:szCs w:val="22"/>
        </w:rPr>
        <w:t>, and the p</w:t>
      </w:r>
      <w:r>
        <w:rPr>
          <w:bCs/>
          <w:sz w:val="22"/>
          <w:szCs w:val="22"/>
        </w:rPr>
        <w:t>rinciples and methods for the order fill of unfilled orders</w:t>
      </w:r>
      <w:r>
        <w:rPr>
          <w:rFonts w:hint="eastAsia"/>
          <w:bCs/>
          <w:sz w:val="22"/>
          <w:szCs w:val="22"/>
        </w:rPr>
        <w:t xml:space="preserve"> shall be determined as follows:</w:t>
      </w:r>
    </w:p>
    <w:p>
      <w:pPr>
        <w:tabs>
          <w:tab w:val="left" w:pos="775"/>
        </w:tabs>
        <w:adjustRightInd w:val="0"/>
        <w:snapToGrid w:val="0"/>
        <w:spacing w:after="312" w:afterLines="100" w:line="276" w:lineRule="auto"/>
        <w:jc w:val="left"/>
        <w:rPr>
          <w:bCs/>
          <w:sz w:val="22"/>
          <w:szCs w:val="22"/>
        </w:rPr>
      </w:pPr>
      <w:r>
        <w:rPr>
          <w:bCs/>
          <w:sz w:val="22"/>
          <w:szCs w:val="22"/>
        </w:rPr>
        <w:t>(</w:t>
      </w:r>
      <w:r>
        <w:rPr>
          <w:rFonts w:hint="eastAsia"/>
          <w:bCs/>
          <w:sz w:val="22"/>
          <w:szCs w:val="22"/>
        </w:rPr>
        <w:t>i</w:t>
      </w:r>
      <w:r>
        <w:rPr>
          <w:bCs/>
          <w:sz w:val="22"/>
          <w:szCs w:val="22"/>
        </w:rPr>
        <w:t>)</w:t>
      </w:r>
      <w:r>
        <w:rPr>
          <w:bCs/>
          <w:sz w:val="22"/>
          <w:szCs w:val="22"/>
        </w:rPr>
        <w:tab/>
      </w:r>
      <w:r>
        <w:rPr>
          <w:rFonts w:hint="eastAsia"/>
          <w:bCs/>
          <w:sz w:val="22"/>
          <w:szCs w:val="22"/>
        </w:rPr>
        <w:t>A</w:t>
      </w:r>
      <w:r>
        <w:rPr>
          <w:bCs/>
          <w:sz w:val="22"/>
          <w:szCs w:val="22"/>
        </w:rPr>
        <w:t>mount of the unfilled orders subject to the order fill</w:t>
      </w:r>
      <w:r>
        <w:rPr>
          <w:rFonts w:hint="eastAsia"/>
          <w:bCs/>
          <w:sz w:val="22"/>
          <w:szCs w:val="22"/>
        </w:rPr>
        <w:t xml:space="preserve">. </w:t>
      </w:r>
      <w:r>
        <w:rPr>
          <w:bCs/>
          <w:sz w:val="22"/>
          <w:szCs w:val="22"/>
        </w:rPr>
        <w:t>The term “amount of unfilled orders subject to the order fill” means the total amount of all the unfilled orders submitted after the close of the base date at the limit price into the central order book by each Trader who has incurred losses on net positions in the contract of an average level of no less than six percent (6%)</w:t>
      </w:r>
      <w:r>
        <w:rPr>
          <w:rFonts w:hint="eastAsia"/>
          <w:bCs/>
          <w:sz w:val="22"/>
          <w:szCs w:val="22"/>
        </w:rPr>
        <w:t xml:space="preserve"> for copper</w:t>
      </w:r>
      <w:r>
        <w:rPr>
          <w:bCs/>
          <w:sz w:val="22"/>
          <w:szCs w:val="22"/>
        </w:rPr>
        <w:t xml:space="preserve"> futures contracts, of the settlement price of the base date.</w:t>
      </w:r>
    </w:p>
    <w:p>
      <w:pPr>
        <w:tabs>
          <w:tab w:val="left" w:pos="775"/>
        </w:tabs>
        <w:adjustRightInd w:val="0"/>
        <w:snapToGrid w:val="0"/>
        <w:spacing w:after="312" w:afterLines="100" w:line="276" w:lineRule="auto"/>
        <w:jc w:val="left"/>
        <w:rPr>
          <w:bCs/>
          <w:sz w:val="22"/>
          <w:szCs w:val="22"/>
        </w:rPr>
      </w:pPr>
      <w:r>
        <w:rPr>
          <w:rFonts w:hint="eastAsia"/>
          <w:bCs/>
          <w:sz w:val="22"/>
          <w:szCs w:val="22"/>
        </w:rPr>
        <w:t>(ii)</w:t>
      </w:r>
      <w:r>
        <w:rPr>
          <w:bCs/>
          <w:sz w:val="22"/>
          <w:szCs w:val="22"/>
        </w:rPr>
        <w:tab/>
      </w:r>
      <w:r>
        <w:rPr>
          <w:rFonts w:hint="eastAsia"/>
          <w:bCs/>
          <w:sz w:val="22"/>
          <w:szCs w:val="22"/>
        </w:rPr>
        <w:t>P</w:t>
      </w:r>
      <w:r>
        <w:rPr>
          <w:bCs/>
          <w:sz w:val="22"/>
          <w:szCs w:val="22"/>
        </w:rPr>
        <w:t>ositions eligible to fill the unfilled orders</w:t>
      </w:r>
      <w:r>
        <w:rPr>
          <w:rFonts w:hint="eastAsia"/>
          <w:bCs/>
          <w:sz w:val="22"/>
          <w:szCs w:val="22"/>
        </w:rPr>
        <w:t xml:space="preserve"> of a Trader. </w:t>
      </w:r>
      <w:r>
        <w:rPr>
          <w:bCs/>
          <w:sz w:val="22"/>
          <w:szCs w:val="22"/>
        </w:rPr>
        <w:t>The positions eligible to fill the unfilled orders include the net positions, on which the Trader, as calculated using the above formula stipulated in the Risk Management Rules of the Shanghai Futures Exchange, records average gains for general purposes or for hedging purposes at no less than six percent (6%)</w:t>
      </w:r>
      <w:r>
        <w:rPr>
          <w:rFonts w:hint="eastAsia"/>
          <w:bCs/>
          <w:sz w:val="22"/>
          <w:szCs w:val="22"/>
        </w:rPr>
        <w:t xml:space="preserve"> of the settlement price of the base date</w:t>
      </w:r>
      <w:r>
        <w:rPr>
          <w:bCs/>
          <w:sz w:val="22"/>
          <w:szCs w:val="22"/>
        </w:rPr>
        <w:t>.</w:t>
      </w:r>
    </w:p>
    <w:p>
      <w:pPr>
        <w:tabs>
          <w:tab w:val="left" w:pos="775"/>
        </w:tabs>
        <w:adjustRightInd w:val="0"/>
        <w:snapToGrid w:val="0"/>
        <w:spacing w:after="312" w:afterLines="100" w:line="276" w:lineRule="auto"/>
        <w:jc w:val="left"/>
        <w:rPr>
          <w:bCs/>
          <w:sz w:val="22"/>
          <w:szCs w:val="22"/>
        </w:rPr>
      </w:pPr>
      <w:r>
        <w:rPr>
          <w:rFonts w:hint="eastAsia"/>
          <w:bCs/>
          <w:sz w:val="22"/>
          <w:szCs w:val="22"/>
        </w:rPr>
        <w:t>(iii)</w:t>
      </w:r>
      <w:r>
        <w:rPr>
          <w:bCs/>
          <w:sz w:val="22"/>
          <w:szCs w:val="22"/>
        </w:rPr>
        <w:tab/>
      </w:r>
      <w:r>
        <w:rPr>
          <w:bCs/>
          <w:sz w:val="22"/>
          <w:szCs w:val="22"/>
        </w:rPr>
        <w:t>Principles for the order fill of unfilled orders</w:t>
      </w:r>
      <w:r>
        <w:rPr>
          <w:rFonts w:hint="eastAsia"/>
          <w:bCs/>
          <w:sz w:val="22"/>
          <w:szCs w:val="22"/>
        </w:rPr>
        <w:t xml:space="preserve">. </w:t>
      </w:r>
      <w:r>
        <w:rPr>
          <w:bCs/>
          <w:sz w:val="22"/>
          <w:szCs w:val="22"/>
        </w:rPr>
        <w:t xml:space="preserve">The order fill of unfilled orders shall take place in the order of the following four levels with regard to the amount of gains and whether such positions are general or hedging: </w:t>
      </w:r>
    </w:p>
    <w:p>
      <w:pPr>
        <w:tabs>
          <w:tab w:val="left" w:pos="775"/>
        </w:tabs>
        <w:adjustRightInd w:val="0"/>
        <w:snapToGrid w:val="0"/>
        <w:spacing w:after="312" w:afterLines="100" w:line="276" w:lineRule="auto"/>
        <w:jc w:val="left"/>
        <w:rPr>
          <w:bCs/>
          <w:sz w:val="22"/>
          <w:szCs w:val="22"/>
        </w:rPr>
      </w:pPr>
      <w:r>
        <w:rPr>
          <w:bCs/>
          <w:sz w:val="22"/>
          <w:szCs w:val="22"/>
        </w:rPr>
        <w:t>Level 1: Unfilled orders shall be filled with the general positions eligible to fill the unfilled orders of any Trader with average gains on net positions of no less than six percent (6%) of the settlement price on the base date for the contracts in copper futures</w:t>
      </w:r>
      <w:r>
        <w:rPr>
          <w:rFonts w:hint="eastAsia"/>
          <w:bCs/>
          <w:sz w:val="22"/>
          <w:szCs w:val="22"/>
        </w:rPr>
        <w:t>,</w:t>
      </w:r>
      <w:r>
        <w:rPr>
          <w:bCs/>
          <w:sz w:val="22"/>
          <w:szCs w:val="22"/>
        </w:rPr>
        <w:t xml:space="preserve"> or the General</w:t>
      </w:r>
      <w:r>
        <w:rPr>
          <w:rFonts w:hint="eastAsia"/>
          <w:bCs/>
          <w:sz w:val="22"/>
          <w:szCs w:val="22"/>
        </w:rPr>
        <w:t xml:space="preserve"> </w:t>
      </w:r>
      <w:r>
        <w:rPr>
          <w:bCs/>
          <w:sz w:val="22"/>
          <w:szCs w:val="22"/>
        </w:rPr>
        <w:t xml:space="preserve">Position Gains of Over 6%; </w:t>
      </w:r>
    </w:p>
    <w:p>
      <w:pPr>
        <w:tabs>
          <w:tab w:val="left" w:pos="775"/>
        </w:tabs>
        <w:adjustRightInd w:val="0"/>
        <w:snapToGrid w:val="0"/>
        <w:spacing w:after="312" w:afterLines="100" w:line="276" w:lineRule="auto"/>
        <w:jc w:val="left"/>
        <w:rPr>
          <w:bCs/>
          <w:sz w:val="22"/>
          <w:szCs w:val="22"/>
        </w:rPr>
      </w:pPr>
      <w:r>
        <w:rPr>
          <w:bCs/>
          <w:sz w:val="22"/>
          <w:szCs w:val="22"/>
        </w:rPr>
        <w:t>Level 2: Unfilled orders shall be filled with the general positions eligible to fill the unfilled orders of any Client with average gains on net positions of no less than three percent (3%) but no more than six percent (6%) of the settlement price on the base date for contracts with respect to copper futures, or the General Position Gains of Over 3%</w:t>
      </w:r>
      <w:r>
        <w:rPr>
          <w:rFonts w:hint="eastAsia"/>
          <w:bCs/>
          <w:sz w:val="22"/>
          <w:szCs w:val="22"/>
        </w:rPr>
        <w:t>;</w:t>
      </w:r>
    </w:p>
    <w:p>
      <w:pPr>
        <w:tabs>
          <w:tab w:val="left" w:pos="775"/>
        </w:tabs>
        <w:adjustRightInd w:val="0"/>
        <w:snapToGrid w:val="0"/>
        <w:spacing w:after="312" w:afterLines="100" w:line="276" w:lineRule="auto"/>
        <w:jc w:val="left"/>
        <w:rPr>
          <w:bCs/>
          <w:sz w:val="22"/>
          <w:szCs w:val="22"/>
        </w:rPr>
      </w:pPr>
      <w:r>
        <w:rPr>
          <w:bCs/>
          <w:sz w:val="22"/>
          <w:szCs w:val="22"/>
        </w:rPr>
        <w:t>Level 3: Unfilled orders shall be filled with the general positions eligible to fill the unfilled orders of a Trader with average gains on net positions of no more than three percent (3%) of the settlement price on the base date for contracts in copper futures, or the General Position Gains Below 3%; and</w:t>
      </w:r>
    </w:p>
    <w:p>
      <w:pPr>
        <w:tabs>
          <w:tab w:val="left" w:pos="775"/>
        </w:tabs>
        <w:adjustRightInd w:val="0"/>
        <w:snapToGrid w:val="0"/>
        <w:spacing w:after="312" w:afterLines="100" w:line="276" w:lineRule="auto"/>
        <w:jc w:val="left"/>
        <w:rPr>
          <w:bCs/>
          <w:sz w:val="22"/>
          <w:szCs w:val="22"/>
        </w:rPr>
      </w:pPr>
      <w:r>
        <w:rPr>
          <w:bCs/>
          <w:sz w:val="22"/>
          <w:szCs w:val="22"/>
        </w:rPr>
        <w:t xml:space="preserve">Level 4: Unfilled orders shall be filled with the </w:t>
      </w:r>
      <w:r>
        <w:rPr>
          <w:rFonts w:hint="eastAsia"/>
          <w:bCs/>
          <w:sz w:val="22"/>
          <w:szCs w:val="22"/>
        </w:rPr>
        <w:t>hedging</w:t>
      </w:r>
      <w:r>
        <w:rPr>
          <w:bCs/>
          <w:sz w:val="22"/>
          <w:szCs w:val="22"/>
        </w:rPr>
        <w:t xml:space="preserve"> positions eligible to fill the unfilled orders of a Client with average gains on net positions of no less than six percent (6%) of the settlement price on the base date for contracts in copper futures</w:t>
      </w:r>
      <w:r>
        <w:rPr>
          <w:rFonts w:hint="eastAsia"/>
          <w:bCs/>
          <w:sz w:val="22"/>
          <w:szCs w:val="22"/>
        </w:rPr>
        <w:t>,</w:t>
      </w:r>
      <w:r>
        <w:rPr>
          <w:bCs/>
          <w:sz w:val="22"/>
          <w:szCs w:val="22"/>
        </w:rPr>
        <w:t xml:space="preserve"> or the Hedging Position Gains of Over 6%.</w:t>
      </w:r>
    </w:p>
    <w:p>
      <w:pPr>
        <w:tabs>
          <w:tab w:val="left" w:pos="775"/>
        </w:tabs>
        <w:adjustRightInd w:val="0"/>
        <w:snapToGrid w:val="0"/>
        <w:spacing w:after="312" w:afterLines="100" w:line="276" w:lineRule="auto"/>
        <w:jc w:val="left"/>
        <w:rPr>
          <w:bCs/>
          <w:sz w:val="22"/>
          <w:szCs w:val="22"/>
        </w:rPr>
      </w:pPr>
      <w:r>
        <w:rPr>
          <w:rFonts w:hint="eastAsia"/>
          <w:bCs/>
          <w:sz w:val="22"/>
          <w:szCs w:val="22"/>
        </w:rPr>
        <w:t>(iv)</w:t>
      </w:r>
      <w:r>
        <w:rPr>
          <w:bCs/>
          <w:sz w:val="22"/>
          <w:szCs w:val="22"/>
        </w:rPr>
        <w:t xml:space="preserve">   Methods for the order fill of unfilled orders</w:t>
      </w:r>
      <w:r>
        <w:rPr>
          <w:rFonts w:hint="eastAsia"/>
          <w:bCs/>
          <w:sz w:val="22"/>
          <w:szCs w:val="22"/>
        </w:rPr>
        <w:t xml:space="preserve">. </w:t>
      </w:r>
      <w:r>
        <w:rPr>
          <w:bCs/>
          <w:sz w:val="22"/>
          <w:szCs w:val="22"/>
        </w:rPr>
        <w:t>If the amount of the General Position Gains of Over 6% is greater than or equal to that of the unfilled orders, the unfilled orders shall be filled pro rata to the amount of the General Position Gains of Over 6%</w:t>
      </w:r>
      <w:r>
        <w:rPr>
          <w:rFonts w:hint="eastAsia"/>
          <w:bCs/>
          <w:sz w:val="22"/>
          <w:szCs w:val="22"/>
        </w:rPr>
        <w:t>.</w:t>
      </w:r>
      <w:r>
        <w:rPr>
          <w:bCs/>
          <w:sz w:val="22"/>
          <w:szCs w:val="22"/>
        </w:rPr>
        <w:t xml:space="preserve"> If the amount of the General Position Gains of Over 6% is smaller than that of the unfilled orders, the General Position Gains of Over 6% shall be filled pro rata to the amount of the unfilled orders. The residual unfilled orders, if any, shall be filled with the General Positions Gains of Over 3% in the same manner as the foregoing, and if there are still orders remaining, the outstanding unfilled orders shall be filled to the General Position Gains of Below 3%, and so to the Hedging Position Gains of Over 6%. Unfilled orders which eventually remain after all the order fills described above, if any, shall not be filled at all.</w:t>
      </w:r>
    </w:p>
    <w:p>
      <w:pPr>
        <w:widowControl/>
        <w:tabs>
          <w:tab w:val="left" w:pos="1560"/>
        </w:tabs>
        <w:adjustRightInd w:val="0"/>
        <w:snapToGrid w:val="0"/>
        <w:spacing w:before="468" w:beforeLines="150" w:after="312" w:afterLines="100" w:line="276" w:lineRule="auto"/>
        <w:jc w:val="center"/>
        <w:rPr>
          <w:b/>
          <w:bCs/>
          <w:sz w:val="22"/>
          <w:szCs w:val="22"/>
        </w:rPr>
      </w:pPr>
      <w:bookmarkStart w:id="3" w:name="_Toc573966"/>
      <w:r>
        <w:rPr>
          <w:b/>
          <w:sz w:val="22"/>
          <w:szCs w:val="22"/>
        </w:rPr>
        <w:t xml:space="preserve">CHAPTER </w:t>
      </w:r>
      <w:r>
        <w:rPr>
          <w:rFonts w:hint="eastAsia"/>
          <w:b/>
          <w:sz w:val="22"/>
          <w:szCs w:val="22"/>
        </w:rPr>
        <w:t>5</w:t>
      </w:r>
      <w:r>
        <w:rPr>
          <w:b/>
          <w:bCs/>
          <w:sz w:val="22"/>
          <w:szCs w:val="22"/>
        </w:rPr>
        <w:tab/>
      </w:r>
      <w:r>
        <w:rPr>
          <w:b/>
          <w:bCs/>
          <w:sz w:val="22"/>
          <w:szCs w:val="22"/>
        </w:rPr>
        <w:t>MISCELLANEOUS</w:t>
      </w:r>
    </w:p>
    <w:bookmarkEnd w:id="3"/>
    <w:p>
      <w:pPr>
        <w:tabs>
          <w:tab w:val="left" w:pos="775"/>
        </w:tabs>
        <w:adjustRightInd w:val="0"/>
        <w:snapToGrid w:val="0"/>
        <w:spacing w:after="312" w:afterLines="100" w:line="276" w:lineRule="auto"/>
        <w:jc w:val="left"/>
        <w:rPr>
          <w:bCs/>
          <w:iCs/>
          <w:sz w:val="22"/>
          <w:szCs w:val="22"/>
        </w:rPr>
      </w:pPr>
      <w:r>
        <w:rPr>
          <w:b/>
          <w:bCs/>
          <w:sz w:val="22"/>
          <w:szCs w:val="22"/>
        </w:rPr>
        <w:t xml:space="preserve">Article </w:t>
      </w:r>
      <w:r>
        <w:rPr>
          <w:rFonts w:hint="eastAsia"/>
          <w:b/>
          <w:bCs/>
          <w:sz w:val="22"/>
          <w:szCs w:val="22"/>
        </w:rPr>
        <w:t>3</w:t>
      </w:r>
      <w:r>
        <w:rPr>
          <w:b/>
          <w:bCs/>
          <w:sz w:val="22"/>
          <w:szCs w:val="22"/>
        </w:rPr>
        <w:t>3</w:t>
      </w:r>
      <w:r>
        <w:rPr>
          <w:bCs/>
          <w:sz w:val="22"/>
          <w:szCs w:val="22"/>
        </w:rPr>
        <w:tab/>
      </w:r>
      <w:r>
        <w:rPr>
          <w:rFonts w:hint="eastAsia"/>
          <w:bCs/>
          <w:sz w:val="22"/>
          <w:szCs w:val="22"/>
        </w:rPr>
        <w:t xml:space="preserve">Matters not covered herein </w:t>
      </w:r>
      <w:r>
        <w:rPr>
          <w:rFonts w:hint="eastAsia"/>
          <w:iCs/>
          <w:sz w:val="22"/>
          <w:szCs w:val="22"/>
        </w:rPr>
        <w:t>shall be governed by the applicable business rules of the Exchange.</w:t>
      </w:r>
    </w:p>
    <w:p>
      <w:pPr>
        <w:tabs>
          <w:tab w:val="left" w:pos="775"/>
        </w:tabs>
        <w:adjustRightInd w:val="0"/>
        <w:snapToGrid w:val="0"/>
        <w:spacing w:after="312" w:afterLines="100" w:line="276" w:lineRule="auto"/>
        <w:jc w:val="left"/>
        <w:rPr>
          <w:bCs/>
          <w:sz w:val="22"/>
          <w:szCs w:val="22"/>
        </w:rPr>
      </w:pPr>
      <w:r>
        <w:rPr>
          <w:b/>
          <w:bCs/>
          <w:sz w:val="22"/>
          <w:szCs w:val="22"/>
        </w:rPr>
        <w:t xml:space="preserve">Article </w:t>
      </w:r>
      <w:r>
        <w:rPr>
          <w:rFonts w:hint="eastAsia"/>
          <w:b/>
          <w:bCs/>
          <w:sz w:val="22"/>
          <w:szCs w:val="22"/>
        </w:rPr>
        <w:t>3</w:t>
      </w:r>
      <w:r>
        <w:rPr>
          <w:b/>
          <w:bCs/>
          <w:sz w:val="22"/>
          <w:szCs w:val="22"/>
        </w:rPr>
        <w:t>4</w:t>
      </w:r>
      <w:r>
        <w:rPr>
          <w:bCs/>
          <w:sz w:val="22"/>
          <w:szCs w:val="22"/>
        </w:rPr>
        <w:tab/>
      </w:r>
      <w:r>
        <w:rPr>
          <w:rFonts w:eastAsia="等线"/>
          <w:snapToGrid w:val="0"/>
          <w:kern w:val="22"/>
          <w:sz w:val="22"/>
        </w:rPr>
        <w:t>Any violation</w:t>
      </w:r>
      <w:r>
        <w:rPr>
          <w:rFonts w:hint="eastAsia" w:eastAsia="等线"/>
          <w:snapToGrid w:val="0"/>
          <w:kern w:val="22"/>
          <w:sz w:val="22"/>
        </w:rPr>
        <w:t>s</w:t>
      </w:r>
      <w:r>
        <w:rPr>
          <w:rFonts w:eastAsia="等线"/>
          <w:snapToGrid w:val="0"/>
          <w:kern w:val="22"/>
          <w:sz w:val="22"/>
        </w:rPr>
        <w:t xml:space="preserve"> of these </w:t>
      </w:r>
      <w:r>
        <w:rPr>
          <w:i/>
          <w:sz w:val="22"/>
          <w:szCs w:val="22"/>
        </w:rPr>
        <w:t>Copper Cathode Futures Rules</w:t>
      </w:r>
      <w:r>
        <w:rPr>
          <w:rFonts w:eastAsia="等线"/>
          <w:i/>
          <w:iCs/>
          <w:snapToGrid w:val="0"/>
          <w:kern w:val="22"/>
          <w:sz w:val="22"/>
        </w:rPr>
        <w:t xml:space="preserve"> </w:t>
      </w:r>
      <w:bookmarkStart w:id="4" w:name="_Hlk172624163"/>
      <w:r>
        <w:rPr>
          <w:rFonts w:hint="eastAsia"/>
          <w:sz w:val="22"/>
        </w:rPr>
        <w:t>will be handled by the Exchange in accordance with</w:t>
      </w:r>
      <w:bookmarkEnd w:id="4"/>
      <w:r>
        <w:rPr>
          <w:rFonts w:hint="eastAsia"/>
          <w:sz w:val="22"/>
        </w:rPr>
        <w:t xml:space="preserve"> the </w:t>
      </w:r>
      <w:r>
        <w:rPr>
          <w:rFonts w:hint="eastAsia"/>
          <w:i/>
          <w:iCs/>
          <w:sz w:val="22"/>
        </w:rPr>
        <w:t>Enforcement Rules of the Shanghai Futures Exchange</w:t>
      </w:r>
      <w:r>
        <w:rPr>
          <w:rFonts w:hint="eastAsia"/>
          <w:sz w:val="22"/>
        </w:rPr>
        <w:t>.</w:t>
      </w:r>
    </w:p>
    <w:p>
      <w:pPr>
        <w:tabs>
          <w:tab w:val="left" w:pos="775"/>
        </w:tabs>
        <w:adjustRightInd w:val="0"/>
        <w:snapToGrid w:val="0"/>
        <w:spacing w:after="312" w:afterLines="100" w:line="276" w:lineRule="auto"/>
        <w:jc w:val="left"/>
        <w:rPr>
          <w:bCs/>
          <w:sz w:val="22"/>
          <w:szCs w:val="22"/>
        </w:rPr>
      </w:pPr>
      <w:r>
        <w:rPr>
          <w:b/>
          <w:bCs/>
          <w:sz w:val="22"/>
          <w:szCs w:val="22"/>
        </w:rPr>
        <w:t xml:space="preserve">Article </w:t>
      </w:r>
      <w:r>
        <w:rPr>
          <w:rFonts w:hint="eastAsia"/>
          <w:b/>
          <w:bCs/>
          <w:sz w:val="22"/>
          <w:szCs w:val="22"/>
        </w:rPr>
        <w:t>35</w:t>
      </w:r>
      <w:r>
        <w:rPr>
          <w:bCs/>
          <w:sz w:val="22"/>
          <w:szCs w:val="22"/>
        </w:rPr>
        <w:tab/>
      </w:r>
      <w:r>
        <w:rPr>
          <w:bCs/>
          <w:sz w:val="22"/>
          <w:szCs w:val="22"/>
        </w:rPr>
        <w:t xml:space="preserve">The Exchange reserves the right to interpret these </w:t>
      </w:r>
      <w:r>
        <w:rPr>
          <w:i/>
          <w:sz w:val="22"/>
          <w:szCs w:val="22"/>
        </w:rPr>
        <w:t>Copper Cathode Futures Rules</w:t>
      </w:r>
      <w:r>
        <w:rPr>
          <w:bCs/>
          <w:sz w:val="22"/>
          <w:szCs w:val="22"/>
        </w:rPr>
        <w:t>.</w:t>
      </w:r>
    </w:p>
    <w:p>
      <w:pPr>
        <w:tabs>
          <w:tab w:val="left" w:pos="775"/>
        </w:tabs>
        <w:adjustRightInd w:val="0"/>
        <w:snapToGrid w:val="0"/>
        <w:spacing w:after="312" w:afterLines="100" w:line="276" w:lineRule="auto"/>
        <w:jc w:val="left"/>
        <w:rPr>
          <w:bCs/>
          <w:sz w:val="22"/>
          <w:szCs w:val="22"/>
        </w:rPr>
      </w:pPr>
      <w:r>
        <w:rPr>
          <w:b/>
          <w:bCs/>
          <w:sz w:val="22"/>
          <w:szCs w:val="22"/>
        </w:rPr>
        <w:t xml:space="preserve">Article </w:t>
      </w:r>
      <w:r>
        <w:rPr>
          <w:rFonts w:hint="eastAsia"/>
          <w:b/>
          <w:bCs/>
          <w:sz w:val="22"/>
          <w:szCs w:val="22"/>
        </w:rPr>
        <w:t>36</w:t>
      </w:r>
      <w:r>
        <w:rPr>
          <w:bCs/>
          <w:sz w:val="22"/>
          <w:szCs w:val="22"/>
        </w:rPr>
        <w:tab/>
      </w:r>
      <w:r>
        <w:rPr>
          <w:bCs/>
          <w:sz w:val="22"/>
          <w:szCs w:val="22"/>
        </w:rPr>
        <w:t xml:space="preserve">These </w:t>
      </w:r>
      <w:r>
        <w:rPr>
          <w:i/>
          <w:sz w:val="22"/>
          <w:szCs w:val="22"/>
        </w:rPr>
        <w:t>Copper Cathode Futures Rules</w:t>
      </w:r>
      <w:r>
        <w:rPr>
          <w:bCs/>
          <w:sz w:val="22"/>
          <w:szCs w:val="22"/>
        </w:rPr>
        <w:t xml:space="preserve"> </w:t>
      </w:r>
      <w:r>
        <w:rPr>
          <w:rFonts w:hint="eastAsia"/>
          <w:bCs/>
          <w:sz w:val="22"/>
          <w:szCs w:val="22"/>
        </w:rPr>
        <w:t xml:space="preserve">take effect on </w:t>
      </w:r>
      <w:r>
        <w:rPr>
          <w:rFonts w:eastAsia="仿宋_GB2312"/>
          <w:kern w:val="0"/>
          <w:sz w:val="22"/>
        </w:rPr>
        <w:t>August 8, 2025</w:t>
      </w:r>
      <w:r>
        <w:rPr>
          <w:rFonts w:hint="eastAsia"/>
          <w:bCs/>
          <w:sz w:val="22"/>
          <w:szCs w:val="22"/>
        </w:rPr>
        <w:t>.</w:t>
      </w:r>
    </w:p>
    <w:p>
      <w:pPr>
        <w:widowControl/>
        <w:jc w:val="left"/>
        <w:rPr>
          <w:bCs/>
          <w:sz w:val="22"/>
          <w:szCs w:val="2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宋体"/>
    <w:panose1 w:val="02010600030101010101"/>
    <w:charset w:val="86"/>
    <w:family w:val="auto"/>
    <w:pitch w:val="default"/>
    <w:sig w:usb0="00000000" w:usb1="00000000" w:usb2="00000016" w:usb3="00000000" w:csb0="0004000F" w:csb1="00000000"/>
  </w:font>
  <w:font w:name="等线">
    <w:altName w:val="华文中宋"/>
    <w:panose1 w:val="00000000000000000000"/>
    <w:charset w:val="86"/>
    <w:family w:val="auto"/>
    <w:pitch w:val="default"/>
    <w:sig w:usb0="00000000" w:usb1="00000000" w:usb2="00000000" w:usb3="00000000" w:csb0="00000000" w:csb1="00000000"/>
  </w:font>
  <w:font w:name="等线">
    <w:altName w:val="华文中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_GB2312">
    <w:altName w:val="宋体"/>
    <w:panose1 w:val="02010609030101010101"/>
    <w:charset w:val="86"/>
    <w:family w:val="modern"/>
    <w:pitch w:val="default"/>
    <w:sig w:usb0="00000000" w:usb1="00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0721042"/>
      <w:docPartObj>
        <w:docPartGallery w:val="autotext"/>
      </w:docPartObj>
    </w:sdtPr>
    <w:sdtEndPr>
      <w:rPr>
        <w:sz w:val="20"/>
        <w:szCs w:val="20"/>
      </w:rPr>
    </w:sdtEndPr>
    <w:sdtContent>
      <w:p>
        <w:pPr>
          <w:pStyle w:val="5"/>
          <w:jc w:val="center"/>
          <w:rPr>
            <w:sz w:val="20"/>
            <w:szCs w:val="20"/>
          </w:rPr>
        </w:pPr>
        <w:r>
          <w:rPr>
            <w:sz w:val="20"/>
            <w:szCs w:val="20"/>
          </w:rPr>
          <w:fldChar w:fldCharType="begin"/>
        </w:r>
        <w:r>
          <w:rPr>
            <w:sz w:val="20"/>
            <w:szCs w:val="20"/>
          </w:rPr>
          <w:instrText xml:space="preserve">PAGE   \* MERGEFORMAT</w:instrText>
        </w:r>
        <w:r>
          <w:rPr>
            <w:sz w:val="20"/>
            <w:szCs w:val="20"/>
          </w:rPr>
          <w:fldChar w:fldCharType="separate"/>
        </w:r>
        <w:r>
          <w:rPr>
            <w:sz w:val="20"/>
            <w:szCs w:val="20"/>
            <w:lang w:val="zh-CN"/>
          </w:rPr>
          <w:t>6</w:t>
        </w:r>
        <w:r>
          <w:rPr>
            <w:sz w:val="20"/>
            <w:szCs w:val="2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61"/>
    <w:rsid w:val="000028AE"/>
    <w:rsid w:val="000033D0"/>
    <w:rsid w:val="00041BE3"/>
    <w:rsid w:val="00043F20"/>
    <w:rsid w:val="00055F0C"/>
    <w:rsid w:val="00084BAC"/>
    <w:rsid w:val="00092BE6"/>
    <w:rsid w:val="00096E97"/>
    <w:rsid w:val="000C5C46"/>
    <w:rsid w:val="000D5628"/>
    <w:rsid w:val="000E1A68"/>
    <w:rsid w:val="000F5551"/>
    <w:rsid w:val="00103140"/>
    <w:rsid w:val="0010370C"/>
    <w:rsid w:val="00134BC7"/>
    <w:rsid w:val="0018114F"/>
    <w:rsid w:val="00197CD6"/>
    <w:rsid w:val="001B3172"/>
    <w:rsid w:val="001E1024"/>
    <w:rsid w:val="001E1477"/>
    <w:rsid w:val="0021317F"/>
    <w:rsid w:val="0021593F"/>
    <w:rsid w:val="00217CDD"/>
    <w:rsid w:val="0022666B"/>
    <w:rsid w:val="002341AB"/>
    <w:rsid w:val="00241C4B"/>
    <w:rsid w:val="002511F0"/>
    <w:rsid w:val="0025562B"/>
    <w:rsid w:val="002601D6"/>
    <w:rsid w:val="002640CC"/>
    <w:rsid w:val="0027521C"/>
    <w:rsid w:val="00284390"/>
    <w:rsid w:val="002A2EE7"/>
    <w:rsid w:val="002B241E"/>
    <w:rsid w:val="002B647D"/>
    <w:rsid w:val="002B6F2B"/>
    <w:rsid w:val="002C03DC"/>
    <w:rsid w:val="002D1259"/>
    <w:rsid w:val="002D56B3"/>
    <w:rsid w:val="002F1E1A"/>
    <w:rsid w:val="002F6D03"/>
    <w:rsid w:val="002F76A3"/>
    <w:rsid w:val="00321101"/>
    <w:rsid w:val="0032403F"/>
    <w:rsid w:val="003333DE"/>
    <w:rsid w:val="003647AB"/>
    <w:rsid w:val="00384E96"/>
    <w:rsid w:val="003908D6"/>
    <w:rsid w:val="003C12E0"/>
    <w:rsid w:val="003C2006"/>
    <w:rsid w:val="003D6543"/>
    <w:rsid w:val="003F6129"/>
    <w:rsid w:val="00403288"/>
    <w:rsid w:val="004161A6"/>
    <w:rsid w:val="004218E5"/>
    <w:rsid w:val="00422256"/>
    <w:rsid w:val="00430BB3"/>
    <w:rsid w:val="00431FED"/>
    <w:rsid w:val="0043514E"/>
    <w:rsid w:val="0045567F"/>
    <w:rsid w:val="004675E6"/>
    <w:rsid w:val="00467A96"/>
    <w:rsid w:val="00473675"/>
    <w:rsid w:val="00474E20"/>
    <w:rsid w:val="00486A7A"/>
    <w:rsid w:val="00497D22"/>
    <w:rsid w:val="004A4164"/>
    <w:rsid w:val="004A4345"/>
    <w:rsid w:val="004C663E"/>
    <w:rsid w:val="004E1AD1"/>
    <w:rsid w:val="004E54F2"/>
    <w:rsid w:val="004F609E"/>
    <w:rsid w:val="005164BE"/>
    <w:rsid w:val="005568FA"/>
    <w:rsid w:val="005653A1"/>
    <w:rsid w:val="00566F17"/>
    <w:rsid w:val="005670CA"/>
    <w:rsid w:val="00575304"/>
    <w:rsid w:val="005B14F7"/>
    <w:rsid w:val="005B45B7"/>
    <w:rsid w:val="005B4DD4"/>
    <w:rsid w:val="005F24F3"/>
    <w:rsid w:val="005F4701"/>
    <w:rsid w:val="005F5291"/>
    <w:rsid w:val="00611B66"/>
    <w:rsid w:val="00623160"/>
    <w:rsid w:val="00633709"/>
    <w:rsid w:val="00643193"/>
    <w:rsid w:val="00645586"/>
    <w:rsid w:val="00654D2C"/>
    <w:rsid w:val="00655DCD"/>
    <w:rsid w:val="00683392"/>
    <w:rsid w:val="006853A3"/>
    <w:rsid w:val="00690E4C"/>
    <w:rsid w:val="0069580C"/>
    <w:rsid w:val="006A4DA7"/>
    <w:rsid w:val="006A6839"/>
    <w:rsid w:val="006B3939"/>
    <w:rsid w:val="006B6C41"/>
    <w:rsid w:val="006C1A29"/>
    <w:rsid w:val="006C7634"/>
    <w:rsid w:val="006E297C"/>
    <w:rsid w:val="006F06A0"/>
    <w:rsid w:val="00705C49"/>
    <w:rsid w:val="00706CB3"/>
    <w:rsid w:val="007139D1"/>
    <w:rsid w:val="007544D7"/>
    <w:rsid w:val="007626F7"/>
    <w:rsid w:val="00770A03"/>
    <w:rsid w:val="007A6709"/>
    <w:rsid w:val="007B3FEC"/>
    <w:rsid w:val="007E1D77"/>
    <w:rsid w:val="00830D67"/>
    <w:rsid w:val="008329FB"/>
    <w:rsid w:val="00844008"/>
    <w:rsid w:val="0086131A"/>
    <w:rsid w:val="00870FCF"/>
    <w:rsid w:val="008B1B03"/>
    <w:rsid w:val="008B1D1D"/>
    <w:rsid w:val="008D2BD0"/>
    <w:rsid w:val="008F2101"/>
    <w:rsid w:val="009021DB"/>
    <w:rsid w:val="00902327"/>
    <w:rsid w:val="00902FE8"/>
    <w:rsid w:val="0091376E"/>
    <w:rsid w:val="00915F8E"/>
    <w:rsid w:val="00921D60"/>
    <w:rsid w:val="0092254D"/>
    <w:rsid w:val="00925DBD"/>
    <w:rsid w:val="00931251"/>
    <w:rsid w:val="00940ADC"/>
    <w:rsid w:val="009505B2"/>
    <w:rsid w:val="009520AE"/>
    <w:rsid w:val="009721AE"/>
    <w:rsid w:val="009853BE"/>
    <w:rsid w:val="00990C02"/>
    <w:rsid w:val="009970F4"/>
    <w:rsid w:val="009A1DD9"/>
    <w:rsid w:val="009B3DFB"/>
    <w:rsid w:val="009C0558"/>
    <w:rsid w:val="009E73C4"/>
    <w:rsid w:val="009F1A04"/>
    <w:rsid w:val="00A00520"/>
    <w:rsid w:val="00A07C8E"/>
    <w:rsid w:val="00A13328"/>
    <w:rsid w:val="00A201E7"/>
    <w:rsid w:val="00A2289B"/>
    <w:rsid w:val="00A25643"/>
    <w:rsid w:val="00A344CF"/>
    <w:rsid w:val="00A45BB6"/>
    <w:rsid w:val="00A60356"/>
    <w:rsid w:val="00A64BDE"/>
    <w:rsid w:val="00A66DEF"/>
    <w:rsid w:val="00A716B0"/>
    <w:rsid w:val="00AD1437"/>
    <w:rsid w:val="00AD4E55"/>
    <w:rsid w:val="00AF47F7"/>
    <w:rsid w:val="00B07244"/>
    <w:rsid w:val="00B2706B"/>
    <w:rsid w:val="00B3629F"/>
    <w:rsid w:val="00B4408D"/>
    <w:rsid w:val="00B723A8"/>
    <w:rsid w:val="00B9076E"/>
    <w:rsid w:val="00BF541D"/>
    <w:rsid w:val="00C16F8B"/>
    <w:rsid w:val="00C47E08"/>
    <w:rsid w:val="00C542D8"/>
    <w:rsid w:val="00C97D25"/>
    <w:rsid w:val="00CC1932"/>
    <w:rsid w:val="00CF0C4D"/>
    <w:rsid w:val="00D23B88"/>
    <w:rsid w:val="00D451CA"/>
    <w:rsid w:val="00D538E5"/>
    <w:rsid w:val="00DC5E36"/>
    <w:rsid w:val="00E23361"/>
    <w:rsid w:val="00E53E2D"/>
    <w:rsid w:val="00E6242F"/>
    <w:rsid w:val="00E74B46"/>
    <w:rsid w:val="00E93D15"/>
    <w:rsid w:val="00EE0761"/>
    <w:rsid w:val="00EE68E2"/>
    <w:rsid w:val="00EF2E2B"/>
    <w:rsid w:val="00EF5465"/>
    <w:rsid w:val="00F05C18"/>
    <w:rsid w:val="00F17825"/>
    <w:rsid w:val="00F257B8"/>
    <w:rsid w:val="00F339A3"/>
    <w:rsid w:val="00F55FA9"/>
    <w:rsid w:val="00F71D2C"/>
    <w:rsid w:val="00F91936"/>
    <w:rsid w:val="2E2E32C4"/>
    <w:rsid w:val="717E7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8"/>
    <w:qFormat/>
    <w:uiPriority w:val="9"/>
    <w:pPr>
      <w:snapToGrid w:val="0"/>
      <w:spacing w:after="312" w:afterLines="100" w:line="259" w:lineRule="auto"/>
      <w:ind w:right="666"/>
      <w:jc w:val="center"/>
      <w:outlineLvl w:val="0"/>
    </w:pPr>
    <w:rPr>
      <w:rFonts w:hAnsi="Calibri"/>
      <w:b/>
      <w:spacing w:val="-1"/>
      <w:kern w:val="0"/>
      <w:sz w:val="28"/>
      <w:szCs w:val="28"/>
      <w:lang w:eastAsia="en-US"/>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link w:val="14"/>
    <w:semiHidden/>
    <w:unhideWhenUsed/>
    <w:qFormat/>
    <w:uiPriority w:val="99"/>
    <w:pPr>
      <w:spacing w:after="160"/>
    </w:pPr>
    <w:rPr>
      <w:rFonts w:ascii="等线" w:hAnsi="等线" w:eastAsia="等线" w:cs="Arial"/>
      <w:kern w:val="0"/>
      <w:sz w:val="20"/>
      <w:szCs w:val="20"/>
      <w:lang w:val="en-US" w:eastAsia="zh-CN" w:bidi="ar-SA"/>
    </w:rPr>
  </w:style>
  <w:style w:type="paragraph" w:styleId="4">
    <w:name w:val="Balloon Text"/>
    <w:basedOn w:val="1"/>
    <w:link w:val="17"/>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paragraph" w:styleId="7">
    <w:name w:val="annotation subject"/>
    <w:basedOn w:val="3"/>
    <w:next w:val="3"/>
    <w:link w:val="15"/>
    <w:semiHidden/>
    <w:unhideWhenUsed/>
    <w:qFormat/>
    <w:uiPriority w:val="99"/>
    <w:pPr>
      <w:widowControl w:val="0"/>
      <w:spacing w:after="0"/>
    </w:pPr>
    <w:rPr>
      <w:rFonts w:ascii="Times New Roman" w:hAnsi="Times New Roman" w:eastAsia="宋体" w:cs="Times New Roman"/>
      <w:b/>
      <w:bCs/>
      <w:kern w:val="2"/>
      <w:sz w:val="21"/>
      <w:szCs w:val="21"/>
    </w:rPr>
  </w:style>
  <w:style w:type="character" w:styleId="10">
    <w:name w:val="annotation reference"/>
    <w:semiHidden/>
    <w:unhideWhenUsed/>
    <w:qFormat/>
    <w:uiPriority w:val="99"/>
    <w:rPr>
      <w:sz w:val="16"/>
      <w:szCs w:val="16"/>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批注文字 字符"/>
    <w:basedOn w:val="9"/>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等线" w:hAnsi="等线" w:eastAsia="等线" w:cs="Arial"/>
      <w:kern w:val="0"/>
      <w:sz w:val="20"/>
      <w:szCs w:val="20"/>
    </w:rPr>
  </w:style>
  <w:style w:type="character" w:customStyle="1" w:styleId="15">
    <w:name w:val="批注主题 Char"/>
    <w:basedOn w:val="14"/>
    <w:link w:val="7"/>
    <w:semiHidden/>
    <w:qFormat/>
    <w:uiPriority w:val="99"/>
    <w:rPr>
      <w:rFonts w:ascii="Times New Roman" w:hAnsi="Times New Roman" w:eastAsia="宋体" w:cs="Times New Roman"/>
      <w:b/>
      <w:bCs/>
      <w:kern w:val="0"/>
      <w:sz w:val="20"/>
      <w:szCs w:val="21"/>
    </w:rPr>
  </w:style>
  <w:style w:type="paragraph" w:styleId="16">
    <w:name w:val="List Paragraph"/>
    <w:basedOn w:val="1"/>
    <w:qFormat/>
    <w:uiPriority w:val="34"/>
    <w:pPr>
      <w:ind w:firstLine="420" w:firstLineChars="200"/>
    </w:pPr>
  </w:style>
  <w:style w:type="character" w:customStyle="1" w:styleId="17">
    <w:name w:val="批注框文本 Char"/>
    <w:basedOn w:val="9"/>
    <w:link w:val="4"/>
    <w:semiHidden/>
    <w:qFormat/>
    <w:uiPriority w:val="99"/>
    <w:rPr>
      <w:rFonts w:ascii="Times New Roman" w:hAnsi="Times New Roman" w:eastAsia="宋体" w:cs="Times New Roman"/>
      <w:sz w:val="18"/>
      <w:szCs w:val="18"/>
    </w:rPr>
  </w:style>
  <w:style w:type="character" w:customStyle="1" w:styleId="18">
    <w:name w:val="标题 1 Char"/>
    <w:basedOn w:val="9"/>
    <w:link w:val="2"/>
    <w:qFormat/>
    <w:uiPriority w:val="9"/>
    <w:rPr>
      <w:rFonts w:ascii="Times New Roman" w:hAnsi="Calibri" w:eastAsia="宋体" w:cs="Times New Roman"/>
      <w:b/>
      <w:spacing w:val="-1"/>
      <w:kern w:val="0"/>
      <w:sz w:val="28"/>
      <w:szCs w:val="2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2507</Words>
  <Characters>12843</Characters>
  <Lines>109</Lines>
  <Paragraphs>30</Paragraphs>
  <TotalTime>156</TotalTime>
  <ScaleCrop>false</ScaleCrop>
  <LinksUpToDate>false</LinksUpToDate>
  <CharactersWithSpaces>15244</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2024-08-02T16:10:00Z</dcterms:created>
  <dc:creator>Ubica</dc:creator>
  <cp:lastModifiedBy>guan.zhaohui</cp:lastModifiedBy>
  <dcterms:modified xsi:type="dcterms:W3CDTF">2025-08-07T13:29:53Z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eyJoZGlkIjoiOGFkMmVkZWNmODRkOGIzOWI0Mjg5ZDFiYTY1YjZjOWYiLCJ1c2VySWQiOiI0NDA0MjQ2MDgifQ==</vt:lpwstr>
  </property>
  <property fmtid="{D5CDD505-2E9C-101B-9397-08002B2CF9AE}" pid="3" name="KSOProductBuildVer">
    <vt:lpwstr>2052-11.8.2.12219</vt:lpwstr>
  </property>
  <property fmtid="{D5CDD505-2E9C-101B-9397-08002B2CF9AE}" pid="4" name="ICV">
    <vt:lpwstr>A9FDCFEA62E3401A955D441CC227E64E_12</vt:lpwstr>
  </property>
</Properties>
</file>