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sz w:val="28"/>
          <w:szCs w:val="36"/>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cs="Times New Roman"/>
          <w:b/>
          <w:bCs/>
          <w:sz w:val="36"/>
          <w:szCs w:val="44"/>
          <w:lang w:val="en-US" w:eastAsia="zh-CN"/>
        </w:rPr>
      </w:pPr>
      <w:r>
        <w:rPr>
          <w:rFonts w:hint="default" w:ascii="Times New Roman" w:hAnsi="Times New Roman" w:cs="Times New Roman"/>
          <w:b/>
          <w:bCs/>
          <w:sz w:val="36"/>
          <w:szCs w:val="44"/>
          <w:lang w:val="en-US" w:eastAsia="zh-CN"/>
        </w:rPr>
        <w:t xml:space="preserve">Lead Futures </w:t>
      </w:r>
      <w:r>
        <w:rPr>
          <w:rFonts w:hint="eastAsia" w:ascii="Times New Roman" w:hAnsi="Times New Roman" w:cs="Times New Roman"/>
          <w:b/>
          <w:bCs/>
          <w:sz w:val="36"/>
          <w:szCs w:val="44"/>
          <w:lang w:val="en-US" w:eastAsia="zh-CN"/>
        </w:rPr>
        <w:t>Rules</w:t>
      </w:r>
      <w:r>
        <w:rPr>
          <w:rFonts w:hint="default" w:ascii="Times New Roman" w:hAnsi="Times New Roman" w:cs="Times New Roman"/>
          <w:b/>
          <w:bCs/>
          <w:sz w:val="36"/>
          <w:szCs w:val="44"/>
          <w:lang w:val="en-US" w:eastAsia="zh-CN"/>
        </w:rPr>
        <w:t xml:space="preserve"> of Shanghai Futures Exchange</w:t>
      </w:r>
      <w:r>
        <w:rPr>
          <w:rFonts w:hint="eastAsia" w:ascii="Times New Roman" w:hAnsi="Times New Roman" w:cs="Times New Roman"/>
          <w:b/>
          <w:bCs/>
          <w:sz w:val="36"/>
          <w:szCs w:val="44"/>
          <w:lang w:val="en-US" w:eastAsia="zh-CN"/>
        </w:rPr>
        <w:t xml:space="preserve"> </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36"/>
          <w:szCs w:val="44"/>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default" w:ascii="Times New Roman" w:hAnsi="Times New Roman" w:eastAsia="宋体" w:cs="Times New Roman"/>
          <w:b/>
          <w:bCs w:val="0"/>
          <w:kern w:val="2"/>
          <w:sz w:val="28"/>
          <w:szCs w:val="28"/>
        </w:rPr>
      </w:pPr>
      <w:r>
        <w:rPr>
          <w:rFonts w:hint="default" w:ascii="Times New Roman" w:hAnsi="Times New Roman" w:eastAsia="宋体" w:cs="Times New Roman"/>
          <w:b/>
          <w:bCs w:val="0"/>
          <w:color w:val="auto"/>
          <w:kern w:val="2"/>
          <w:sz w:val="28"/>
          <w:szCs w:val="28"/>
          <w:lang w:val="en-US" w:eastAsia="zh-CN" w:bidi="ar"/>
        </w:rPr>
        <w:t>CHAPTER 1</w:t>
      </w:r>
      <w:r>
        <w:rPr>
          <w:rFonts w:hint="default" w:ascii="Times New Roman" w:hAnsi="Times New Roman" w:eastAsia="宋体" w:cs="Times New Roman"/>
          <w:b/>
          <w:bCs w:val="0"/>
          <w:color w:val="auto"/>
          <w:kern w:val="2"/>
          <w:sz w:val="28"/>
          <w:szCs w:val="28"/>
          <w:lang w:val="en-US" w:eastAsia="zh-CN" w:bidi="ar"/>
        </w:rPr>
        <w:tab/>
      </w:r>
      <w:r>
        <w:rPr>
          <w:rFonts w:hint="default" w:ascii="Times New Roman" w:hAnsi="Times New Roman" w:eastAsia="宋体" w:cs="Times New Roman"/>
          <w:b/>
          <w:bCs w:val="0"/>
          <w:color w:val="auto"/>
          <w:kern w:val="2"/>
          <w:sz w:val="28"/>
          <w:szCs w:val="28"/>
          <w:lang w:val="en-US" w:eastAsia="zh-CN" w:bidi="ar"/>
        </w:rPr>
        <w:t>GENERAL PROVISIONS</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 xml:space="preserve">These </w:t>
      </w:r>
      <w:r>
        <w:rPr>
          <w:rFonts w:hint="default" w:ascii="Times New Roman" w:hAnsi="Times New Roman" w:eastAsia="宋体" w:cs="Times New Roman"/>
          <w:i/>
          <w:iCs w:val="0"/>
          <w:color w:val="auto"/>
          <w:kern w:val="2"/>
          <w:sz w:val="28"/>
          <w:szCs w:val="28"/>
          <w:lang w:val="en-US" w:eastAsia="zh-CN" w:bidi="ar"/>
        </w:rPr>
        <w:t>Lead Futures Rules</w:t>
      </w:r>
      <w:r>
        <w:rPr>
          <w:rFonts w:hint="default" w:ascii="Times New Roman" w:hAnsi="Times New Roman" w:eastAsia="宋体" w:cs="Times New Roman"/>
          <w:color w:val="auto"/>
          <w:kern w:val="2"/>
          <w:sz w:val="28"/>
          <w:szCs w:val="28"/>
          <w:lang w:val="en-US" w:eastAsia="zh-CN" w:bidi="ar"/>
        </w:rPr>
        <w:t xml:space="preserve"> are made in accordance with the </w:t>
      </w:r>
      <w:r>
        <w:rPr>
          <w:rFonts w:hint="default" w:ascii="Times New Roman" w:hAnsi="Times New Roman" w:eastAsia="宋体" w:cs="Times New Roman"/>
          <w:i/>
          <w:iCs/>
          <w:color w:val="auto"/>
          <w:kern w:val="2"/>
          <w:sz w:val="28"/>
          <w:szCs w:val="28"/>
          <w:lang w:val="en-US" w:eastAsia="zh-CN" w:bidi="ar"/>
        </w:rPr>
        <w:t>General Exchange Rules of the Shanghai Futures Exchange</w:t>
      </w:r>
      <w:r>
        <w:rPr>
          <w:rFonts w:hint="default" w:ascii="Times New Roman" w:hAnsi="Times New Roman" w:eastAsia="宋体" w:cs="Times New Roman"/>
          <w:color w:val="auto"/>
          <w:kern w:val="2"/>
          <w:sz w:val="28"/>
          <w:szCs w:val="28"/>
          <w:lang w:val="en-US" w:eastAsia="zh-CN" w:bidi="ar"/>
        </w:rPr>
        <w:t>, the</w:t>
      </w:r>
      <w:r>
        <w:rPr>
          <w:rFonts w:hint="eastAsia" w:ascii="Times New Roman" w:hAnsi="Times New Roman" w:eastAsia="宋体" w:cs="Times New Roman"/>
          <w:i/>
          <w:iCs/>
          <w:color w:val="auto"/>
          <w:kern w:val="2"/>
          <w:sz w:val="28"/>
          <w:szCs w:val="28"/>
          <w:lang w:val="en-US" w:eastAsia="zh-CN" w:bidi="ar"/>
        </w:rPr>
        <w:t xml:space="preserve"> </w:t>
      </w:r>
      <w:r>
        <w:rPr>
          <w:rFonts w:hint="default" w:ascii="Times New Roman" w:hAnsi="Times New Roman" w:eastAsia="宋体" w:cs="Times New Roman"/>
          <w:i/>
          <w:iCs/>
          <w:color w:val="auto"/>
          <w:kern w:val="2"/>
          <w:sz w:val="28"/>
          <w:szCs w:val="28"/>
          <w:lang w:val="en-US" w:eastAsia="zh-CN" w:bidi="ar"/>
        </w:rPr>
        <w:t>SHFE Lead Futures Contract Specifications</w:t>
      </w:r>
      <w:r>
        <w:rPr>
          <w:rFonts w:hint="default" w:ascii="Times New Roman" w:hAnsi="Times New Roman" w:eastAsia="宋体" w:cs="Times New Roman"/>
          <w:color w:val="auto"/>
          <w:kern w:val="2"/>
          <w:sz w:val="28"/>
          <w:szCs w:val="28"/>
          <w:lang w:val="en-US" w:eastAsia="zh-CN" w:bidi="ar"/>
        </w:rPr>
        <w:t>, and the relevant business rules</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to regulate business related to lead futures</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at the Shanghai Futures Exchange (the “Exchange”).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b/>
          <w:bCs/>
          <w:color w:val="000000"/>
          <w:kern w:val="2"/>
          <w:sz w:val="28"/>
          <w:szCs w:val="28"/>
          <w:lang w:val="en-US" w:eastAsia="zh-CN" w:bidi="ar"/>
        </w:rPr>
        <w:t>Article 2</w:t>
      </w:r>
      <w:r>
        <w:rPr>
          <w:rFonts w:hint="eastAsia" w:ascii="Times New Roman" w:hAnsi="Times New Roman" w:eastAsia="宋体" w:cs="Times New Roman"/>
          <w:b/>
          <w:bCs/>
          <w:color w:val="000000"/>
          <w:kern w:val="2"/>
          <w:sz w:val="28"/>
          <w:szCs w:val="28"/>
          <w:lang w:val="en-US" w:eastAsia="zh-CN" w:bidi="ar"/>
        </w:rPr>
        <w:t xml:space="preserve"> </w:t>
      </w:r>
      <w:r>
        <w:rPr>
          <w:rFonts w:hint="default" w:ascii="Times New Roman" w:hAnsi="Times New Roman" w:eastAsia="宋体" w:cs="Times New Roman"/>
          <w:color w:val="000000"/>
          <w:kern w:val="2"/>
          <w:sz w:val="28"/>
          <w:szCs w:val="28"/>
          <w:lang w:val="en-US" w:eastAsia="zh-CN" w:bidi="ar"/>
        </w:rPr>
        <w:tab/>
      </w:r>
      <w:r>
        <w:rPr>
          <w:rFonts w:hint="default" w:ascii="Times New Roman" w:hAnsi="Times New Roman" w:eastAsia="宋体" w:cs="Times New Roman"/>
          <w:color w:val="000000"/>
          <w:kern w:val="2"/>
          <w:sz w:val="28"/>
          <w:szCs w:val="28"/>
          <w:lang w:val="en-US" w:eastAsia="zh-CN" w:bidi="ar"/>
        </w:rPr>
        <w:t xml:space="preserve">These </w:t>
      </w:r>
      <w:r>
        <w:rPr>
          <w:rFonts w:hint="default" w:ascii="Times New Roman" w:hAnsi="Times New Roman" w:eastAsia="宋体" w:cs="Times New Roman"/>
          <w:i/>
          <w:iCs w:val="0"/>
          <w:color w:val="auto"/>
          <w:kern w:val="2"/>
          <w:sz w:val="28"/>
          <w:szCs w:val="28"/>
          <w:lang w:val="en-US" w:eastAsia="zh-CN" w:bidi="ar"/>
        </w:rPr>
        <w:t>Lead Futures Rules</w:t>
      </w:r>
      <w:r>
        <w:rPr>
          <w:rFonts w:hint="default" w:ascii="Times New Roman" w:hAnsi="Times New Roman" w:eastAsia="宋体" w:cs="Times New Roman"/>
          <w:color w:val="000000"/>
          <w:kern w:val="2"/>
          <w:sz w:val="28"/>
          <w:szCs w:val="28"/>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8"/>
          <w:szCs w:val="28"/>
          <w:lang w:val="en-US" w:eastAsia="zh-CN" w:bidi="ar"/>
        </w:rPr>
        <w:t xml:space="preserve"> </w:t>
      </w:r>
      <w:r>
        <w:rPr>
          <w:rFonts w:hint="default" w:ascii="Times New Roman" w:hAnsi="Times New Roman" w:eastAsia="宋体" w:cs="Times New Roman"/>
          <w:color w:val="000000"/>
          <w:kern w:val="2"/>
          <w:sz w:val="28"/>
          <w:szCs w:val="28"/>
          <w:lang w:val="en-US" w:eastAsia="zh-CN" w:bidi="ar"/>
        </w:rPr>
        <w:t>Institutions, and other participants of the futures market.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default" w:ascii="Times New Roman" w:hAnsi="Times New Roman" w:eastAsia="宋体" w:cs="Times New Roman"/>
          <w:b/>
          <w:bCs w:val="0"/>
          <w:kern w:val="2"/>
          <w:sz w:val="28"/>
          <w:szCs w:val="28"/>
        </w:rPr>
      </w:pPr>
      <w:r>
        <w:rPr>
          <w:rFonts w:hint="default" w:ascii="Times New Roman" w:hAnsi="Times New Roman" w:eastAsia="宋体" w:cs="Times New Roman"/>
          <w:b/>
          <w:bCs w:val="0"/>
          <w:color w:val="auto"/>
          <w:kern w:val="2"/>
          <w:sz w:val="28"/>
          <w:szCs w:val="28"/>
          <w:lang w:val="en-US" w:eastAsia="zh-CN" w:bidi="ar"/>
        </w:rPr>
        <w:t>CHAPTER 2</w:t>
      </w:r>
      <w:r>
        <w:rPr>
          <w:rFonts w:hint="default" w:ascii="Times New Roman" w:hAnsi="Times New Roman" w:eastAsia="宋体" w:cs="Times New Roman"/>
          <w:b/>
          <w:bCs w:val="0"/>
          <w:color w:val="auto"/>
          <w:kern w:val="2"/>
          <w:sz w:val="28"/>
          <w:szCs w:val="28"/>
          <w:lang w:val="en-US" w:eastAsia="zh-CN" w:bidi="ar"/>
        </w:rPr>
        <w:tab/>
      </w:r>
      <w:r>
        <w:rPr>
          <w:rFonts w:hint="default" w:ascii="Times New Roman" w:hAnsi="Times New Roman" w:eastAsia="宋体" w:cs="Times New Roman"/>
          <w:b/>
          <w:bCs w:val="0"/>
          <w:color w:val="auto"/>
          <w:kern w:val="2"/>
          <w:sz w:val="28"/>
          <w:szCs w:val="28"/>
          <w:lang w:val="en-US" w:eastAsia="zh-CN" w:bidi="ar"/>
        </w:rPr>
        <w:t>TRADING</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3</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Contract size for lead futures is five (5) metric tons per lot.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000000"/>
          <w:kern w:val="2"/>
          <w:sz w:val="28"/>
          <w:szCs w:val="28"/>
          <w:lang w:val="en-US" w:eastAsia="zh-CN" w:bidi="ar"/>
        </w:rPr>
        <w:t>Article 4</w:t>
      </w:r>
      <w:r>
        <w:rPr>
          <w:rFonts w:hint="eastAsia" w:ascii="Times New Roman" w:hAnsi="Times New Roman" w:eastAsia="宋体" w:cs="Times New Roman"/>
          <w:b/>
          <w:bCs/>
          <w:color w:val="000000"/>
          <w:kern w:val="2"/>
          <w:sz w:val="28"/>
          <w:szCs w:val="28"/>
          <w:lang w:val="en-US" w:eastAsia="zh-CN" w:bidi="ar"/>
        </w:rPr>
        <w:t xml:space="preserve">  </w:t>
      </w:r>
      <w:r>
        <w:rPr>
          <w:rFonts w:hint="default" w:ascii="Times New Roman" w:hAnsi="Times New Roman" w:eastAsia="宋体" w:cs="Times New Roman"/>
          <w:color w:val="000000"/>
          <w:kern w:val="2"/>
          <w:sz w:val="28"/>
          <w:szCs w:val="28"/>
          <w:lang w:val="en-US" w:eastAsia="zh-CN" w:bidi="ar"/>
        </w:rPr>
        <w:t xml:space="preserve">Price quotation of a </w:t>
      </w:r>
      <w:r>
        <w:rPr>
          <w:rFonts w:hint="default" w:ascii="Times New Roman" w:hAnsi="Times New Roman" w:eastAsia="宋体" w:cs="Times New Roman"/>
          <w:color w:val="auto"/>
          <w:kern w:val="2"/>
          <w:sz w:val="28"/>
          <w:szCs w:val="28"/>
          <w:lang w:val="en-US" w:eastAsia="zh-CN" w:bidi="ar"/>
        </w:rPr>
        <w:t>lead futures contract is</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Yuan (RMB)/metric ton.</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5</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Minimum price fluctuation</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of a lead futures contract is</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five (5) Yuan/metric ton.</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6</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Listed contracts</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of lead futures cover the most recent twelve (12) months.</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7</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Trading hours of a lead futures contract</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are 9:00 a.m. to 11:30 a.m., 1:30 p.m. to 3:00 p.m., and other hours specified by the Exchange.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8</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last trading day of a lead futures contract is the 15th day of the contract month. 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9</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Contract symbol</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of lead futures is PB.</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10</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For the hedging and arbitrage position quotas of a lead</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cover the month before the delivery month and the delivery month.</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b w:val="0"/>
          <w:bCs w:val="0"/>
          <w:color w:val="auto"/>
          <w:kern w:val="2"/>
          <w:sz w:val="28"/>
          <w:szCs w:val="28"/>
        </w:rPr>
      </w:pPr>
      <w:r>
        <w:rPr>
          <w:rFonts w:hint="default" w:ascii="Times New Roman" w:hAnsi="Times New Roman" w:eastAsia="宋体" w:cs="Times New Roman"/>
          <w:b/>
          <w:bCs/>
          <w:color w:val="auto"/>
          <w:kern w:val="2"/>
          <w:sz w:val="28"/>
          <w:szCs w:val="28"/>
          <w:lang w:val="en-US" w:eastAsia="zh-CN" w:bidi="ar"/>
        </w:rPr>
        <w:t>Article 11</w:t>
      </w:r>
      <w:r>
        <w:rPr>
          <w:rFonts w:hint="default" w:ascii="Times New Roman" w:hAnsi="Times New Roman" w:eastAsia="宋体" w:cs="Times New Roman"/>
          <w:color w:val="auto"/>
          <w:kern w:val="2"/>
          <w:sz w:val="28"/>
          <w:szCs w:val="28"/>
          <w:lang w:val="en-US" w:eastAsia="zh-CN" w:bidi="ar"/>
        </w:rPr>
        <w:tab/>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An application for a</w:t>
      </w:r>
      <w:r>
        <w:rPr>
          <w:rFonts w:hint="default" w:ascii="Times New Roman" w:hAnsi="Times New Roman" w:eastAsia="宋体" w:cs="Times New Roman"/>
          <w:b w:val="0"/>
          <w:bCs w:val="0"/>
          <w:color w:val="auto"/>
          <w:kern w:val="2"/>
          <w:sz w:val="28"/>
          <w:szCs w:val="28"/>
          <w:lang w:val="en-US" w:eastAsia="zh-CN" w:bidi="ar"/>
        </w:rPr>
        <w:t xml:space="preserve"> contract-specific regular month hedging position quota of a lead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8"/>
          <w:szCs w:val="28"/>
          <w:lang w:val="en-US" w:eastAsia="zh-CN" w:bidi="ar"/>
        </w:rPr>
        <w:t>Hedge Trading Rules of the Shanghai Futures Exchange</w:t>
      </w:r>
      <w:r>
        <w:rPr>
          <w:rFonts w:hint="default" w:ascii="Times New Roman" w:hAnsi="Times New Roman" w:eastAsia="宋体" w:cs="Times New Roman"/>
          <w:b w:val="0"/>
          <w:bCs w:val="0"/>
          <w:color w:val="auto"/>
          <w:kern w:val="2"/>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val="0"/>
          <w:bCs w:val="0"/>
          <w:color w:val="auto"/>
          <w:kern w:val="2"/>
          <w:sz w:val="28"/>
          <w:szCs w:val="28"/>
          <w:lang w:val="en-US" w:eastAsia="zh-CN" w:bidi="ar"/>
        </w:rPr>
        <w:t>An application for a nearby delivery month hedging position quota of a lead futures contract shall be submitted between the first trading day of the second</w:t>
      </w:r>
      <w:r>
        <w:rPr>
          <w:rFonts w:hint="default" w:ascii="Times New Roman" w:hAnsi="Times New Roman" w:eastAsia="宋体" w:cs="Times New Roman"/>
          <w:color w:val="C00000"/>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 lead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12</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Hedging position quota of a lead futures contract shall no longer be used in a revolving manner starting from the first trading day of the delivery month.</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default" w:ascii="Times New Roman" w:hAnsi="Times New Roman" w:eastAsia="宋体" w:cs="Times New Roman"/>
          <w:b/>
          <w:bCs w:val="0"/>
          <w:kern w:val="2"/>
          <w:sz w:val="28"/>
          <w:szCs w:val="28"/>
        </w:rPr>
      </w:pPr>
      <w:r>
        <w:rPr>
          <w:rFonts w:hint="default" w:ascii="Times New Roman" w:hAnsi="Times New Roman" w:eastAsia="宋体" w:cs="Times New Roman"/>
          <w:b/>
          <w:bCs w:val="0"/>
          <w:color w:val="auto"/>
          <w:kern w:val="2"/>
          <w:sz w:val="28"/>
          <w:szCs w:val="28"/>
          <w:lang w:val="en-US" w:eastAsia="zh-CN" w:bidi="ar"/>
        </w:rPr>
        <w:t>CHAPTER 3</w:t>
      </w:r>
      <w:r>
        <w:rPr>
          <w:rFonts w:hint="default" w:ascii="Times New Roman" w:hAnsi="Times New Roman" w:eastAsia="宋体" w:cs="Times New Roman"/>
          <w:b/>
          <w:bCs w:val="0"/>
          <w:color w:val="auto"/>
          <w:kern w:val="2"/>
          <w:sz w:val="28"/>
          <w:szCs w:val="28"/>
          <w:lang w:val="en-US" w:eastAsia="zh-CN" w:bidi="ar"/>
        </w:rPr>
        <w:tab/>
      </w:r>
      <w:r>
        <w:rPr>
          <w:rFonts w:hint="default" w:ascii="Times New Roman" w:hAnsi="Times New Roman" w:eastAsia="宋体" w:cs="Times New Roman"/>
          <w:b/>
          <w:bCs w:val="0"/>
          <w:color w:val="auto"/>
          <w:kern w:val="2"/>
          <w:sz w:val="28"/>
          <w:szCs w:val="28"/>
          <w:lang w:val="en-US" w:eastAsia="zh-CN" w:bidi="ar"/>
        </w:rPr>
        <w:t>DELIVERY</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13</w:t>
      </w:r>
      <w:r>
        <w:rPr>
          <w:rFonts w:hint="default" w:ascii="Times New Roman" w:hAnsi="Times New Roman" w:eastAsia="宋体" w:cs="Times New Roman"/>
          <w:b/>
          <w:bCs/>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A lead futures contract may be physically delivered through an Exchange of Futures for Physicals (“EFP”)</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or a delivery warehouse.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Lead futures adopt duty-paid delivery.</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14</w:t>
      </w:r>
      <w:r>
        <w:rPr>
          <w:rFonts w:hint="default" w:ascii="Times New Roman" w:hAnsi="Times New Roman" w:eastAsia="宋体" w:cs="Times New Roman"/>
          <w:b/>
          <w:bCs/>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Grade and quality specifications are provided in the</w:t>
      </w:r>
      <w:r>
        <w:rPr>
          <w:rFonts w:hint="default" w:ascii="Times New Roman" w:hAnsi="Times New Roman" w:eastAsia="宋体" w:cs="Times New Roman"/>
          <w:i/>
          <w:iCs/>
          <w:color w:val="auto"/>
          <w:kern w:val="2"/>
          <w:sz w:val="28"/>
          <w:szCs w:val="28"/>
          <w:lang w:val="en-US" w:eastAsia="zh-CN" w:bidi="ar"/>
        </w:rPr>
        <w:t xml:space="preserve"> SHFE Lead Futures Contract</w:t>
      </w:r>
      <w:r>
        <w:rPr>
          <w:rFonts w:hint="eastAsia" w:ascii="Times New Roman" w:hAnsi="Times New Roman" w:eastAsia="宋体" w:cs="Times New Roman"/>
          <w:i/>
          <w:iCs/>
          <w:color w:val="auto"/>
          <w:kern w:val="2"/>
          <w:sz w:val="28"/>
          <w:szCs w:val="28"/>
          <w:lang w:val="en-US" w:eastAsia="zh-CN" w:bidi="ar"/>
        </w:rPr>
        <w:t xml:space="preserve"> </w:t>
      </w:r>
      <w:r>
        <w:rPr>
          <w:rFonts w:hint="default" w:ascii="Times New Roman" w:hAnsi="Times New Roman" w:eastAsia="宋体" w:cs="Times New Roman"/>
          <w:i/>
          <w:iCs/>
          <w:color w:val="auto"/>
          <w:kern w:val="2"/>
          <w:sz w:val="28"/>
          <w:szCs w:val="28"/>
          <w:lang w:val="en-US" w:eastAsia="zh-CN" w:bidi="ar"/>
        </w:rPr>
        <w:t>Specifications</w:t>
      </w:r>
      <w:r>
        <w:rPr>
          <w:rFonts w:hint="default" w:ascii="Times New Roman" w:hAnsi="Times New Roman" w:eastAsia="宋体" w:cs="Times New Roman"/>
          <w:color w:val="auto"/>
          <w:kern w:val="2"/>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15</w:t>
      </w:r>
      <w:r>
        <w:rPr>
          <w:rFonts w:hint="default" w:ascii="Times New Roman" w:hAnsi="Times New Roman" w:eastAsia="宋体" w:cs="Times New Roman"/>
          <w:b/>
          <w:bCs/>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The deliverable commodity shall be of a registered trademark from a manufacturer registered with the Exchange.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16</w:t>
      </w:r>
      <w:r>
        <w:rPr>
          <w:rFonts w:hint="default" w:ascii="Times New Roman" w:hAnsi="Times New Roman" w:eastAsia="宋体" w:cs="Times New Roman"/>
          <w:b/>
          <w:bCs/>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 xml:space="preserve">Packaging for deliverable commodity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(i)</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Lead ingots underlying each delivery unit shall consist of commodity of the same manufacturer, registered trademark, quality grade, shape, and packaged quantity (secured into bundles of similar weight). The registered manufacturer may decide the weight of each bundle at its sole discretion, provided that the bundles can readily yield the delivery unit.</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Lead ingots shall be tightened into bundles with rust-resistant straps of proper strength as separately announced by the Exchange. The strapping shall be reliable and each bundle shall be marked by a prominent and secure product label, specifying manufacturer name, product name, grade (designation), batch number, net weight, and date of production.</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(ii)</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If the commodities arrive at the warehouse with broken straps or loose ingots, the commodities shall be repackaged and securely tightened with specified straps before they are delivered. Any costs incurred in the reassembly shall be borne by the owner.</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cs="Times New Roman" w:eastAsiaTheme="majorEastAsia"/>
          <w:b w:val="0"/>
          <w:bCs/>
          <w:color w:val="000000" w:themeColor="text1"/>
          <w:sz w:val="28"/>
          <w:szCs w:val="28"/>
          <w:shd w:val="clear" w:color="auto" w:fill="auto"/>
          <w:lang w:val="en-US" w:eastAsia="zh-CN"/>
          <w14:textFill>
            <w14:solidFill>
              <w14:schemeClr w14:val="tx1"/>
            </w14:solidFill>
          </w14:textFill>
        </w:rPr>
      </w:pPr>
      <w:r>
        <w:rPr>
          <w:rFonts w:hint="default" w:ascii="Times New Roman" w:hAnsi="Times New Roman" w:eastAsia="方正仿宋简体" w:cs="Times New Roman"/>
          <w:b w:val="0"/>
          <w:bCs/>
          <w:color w:val="000000" w:themeColor="text1"/>
          <w:sz w:val="28"/>
          <w:szCs w:val="28"/>
          <w:shd w:val="clear" w:color="auto" w:fill="auto"/>
          <w14:textFill>
            <w14:solidFill>
              <w14:schemeClr w14:val="tx1"/>
            </w14:solidFill>
          </w14:textFill>
        </w:rPr>
        <w:t xml:space="preserve">(iii) </w:t>
      </w:r>
      <w:r>
        <w:rPr>
          <w:rFonts w:hint="eastAsia" w:ascii="Times New Roman" w:hAnsi="Times New Roman" w:eastAsia="方正仿宋简体" w:cs="Times New Roman"/>
          <w:b w:val="0"/>
          <w:bCs/>
          <w:color w:val="000000" w:themeColor="text1"/>
          <w:sz w:val="28"/>
          <w:szCs w:val="28"/>
          <w:shd w:val="clear" w:color="auto" w:fill="auto"/>
          <w:lang w:val="en-US" w:eastAsia="zh-CN"/>
          <w14:textFill>
            <w14:solidFill>
              <w14:schemeClr w14:val="tx1"/>
            </w14:solidFill>
          </w14:textFill>
        </w:rPr>
        <w:t xml:space="preserve">Standard: </w:t>
      </w:r>
      <w:r>
        <w:rPr>
          <w:rFonts w:hint="default" w:ascii="Times New Roman" w:hAnsi="Times New Roman" w:eastAsia="方正仿宋简体" w:cs="Times New Roman"/>
          <w:b w:val="0"/>
          <w:bCs/>
          <w:color w:val="000000" w:themeColor="text1"/>
          <w:sz w:val="28"/>
          <w:szCs w:val="28"/>
          <w:shd w:val="clear" w:color="auto" w:fill="auto"/>
          <w14:textFill>
            <w14:solidFill>
              <w14:schemeClr w14:val="tx1"/>
            </w14:solidFill>
          </w14:textFill>
        </w:rPr>
        <w:t>Each</w:t>
      </w:r>
      <w:bookmarkStart w:id="0" w:name="_GoBack"/>
      <w:bookmarkEnd w:id="0"/>
      <w:r>
        <w:rPr>
          <w:rFonts w:hint="default" w:ascii="Times New Roman" w:hAnsi="Times New Roman" w:eastAsia="方正仿宋简体" w:cs="Times New Roman"/>
          <w:b w:val="0"/>
          <w:bCs/>
          <w:color w:val="000000" w:themeColor="text1"/>
          <w:sz w:val="28"/>
          <w:szCs w:val="28"/>
          <w:shd w:val="clear" w:color="auto" w:fill="auto"/>
          <w14:textFill>
            <w14:solidFill>
              <w14:schemeClr w14:val="tx1"/>
            </w14:solidFill>
          </w14:textFill>
        </w:rPr>
        <w:t xml:space="preserve"> lead ingot shall weigh forty-eight (48) kilograms plus or minus three (±3) kilograms, forty-two (42) kilograms plus or minus two (±2) kilograms, or twenty-four (24) kilograms plus or minus one (±1) kilogram</w:t>
      </w:r>
      <w:r>
        <w:rPr>
          <w:rFonts w:hint="eastAsia" w:ascii="Times New Roman" w:hAnsi="Times New Roman" w:eastAsia="方正仿宋简体" w:cs="Times New Roman"/>
          <w:b w:val="0"/>
          <w:bCs/>
          <w:color w:val="000000" w:themeColor="text1"/>
          <w:sz w:val="28"/>
          <w:szCs w:val="28"/>
          <w:shd w:val="clear" w:color="auto" w:fill="auto"/>
          <w:lang w:val="en-US" w:eastAsia="zh-CN"/>
          <w14:textFill>
            <w14:solidFill>
              <w14:schemeClr w14:val="tx1"/>
            </w14:solidFill>
          </w14:textFill>
        </w:rPr>
        <w:t>;</w:t>
      </w:r>
      <w:r>
        <w:rPr>
          <w:rFonts w:hint="default" w:ascii="Times New Roman" w:hAnsi="Times New Roman" w:cs="Times New Roman" w:eastAsiaTheme="majorEastAsia"/>
          <w:b w:val="0"/>
          <w:bCs/>
          <w:color w:val="000000" w:themeColor="text1"/>
          <w:sz w:val="28"/>
          <w:szCs w:val="28"/>
          <w:shd w:val="clear" w:color="auto" w:fill="auto"/>
          <w14:textFill>
            <w14:solidFill>
              <w14:schemeClr w14:val="tx1"/>
            </w14:solidFill>
          </w14:textFill>
        </w:rPr>
        <w:t>Substitute: each secondary lead ingot shall weigh 48kg±2kg, 45kg±2kg, 40kg±2kg, 30kg±2kg, or 24kg±1kg</w:t>
      </w:r>
      <w:r>
        <w:rPr>
          <w:rFonts w:hint="default" w:ascii="Times New Roman" w:hAnsi="Times New Roman" w:cs="Times New Roman" w:eastAsiaTheme="majorEastAsia"/>
          <w:b w:val="0"/>
          <w:bCs/>
          <w:color w:val="000000" w:themeColor="text1"/>
          <w:sz w:val="28"/>
          <w:szCs w:val="28"/>
          <w:shd w:val="clear" w:color="auto" w:fill="auto"/>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17</w:t>
      </w:r>
      <w:r>
        <w:rPr>
          <w:rFonts w:hint="default" w:ascii="Times New Roman" w:hAnsi="Times New Roman" w:eastAsia="宋体" w:cs="Times New Roman"/>
          <w:b/>
          <w:bCs/>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Required documentation for deliverable commodity</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(i)</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Domestic commodity: the certificate of quality issued by the registered manufacturer.</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(ii)</w:t>
      </w:r>
      <w:r>
        <w:rPr>
          <w:rFonts w:hint="eastAsia"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Imported commodity: the certificate of quality, certificate of origin, certificate of commodity inspection, certificate of payment of import tariff, and certificate of VAT withholding by the customs. These documents are deemed valid only upon being verified by the Exchange.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If there has been any change to national policies on taxation, commodity inspection, or other relevant matters, the revised policies shall prevail. Under such circumstance, the Exchange will separately announce the revised requirements for the documentation</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of relevant imported products.</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18</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Tolerance and pound difference: The underlying lead ingots for each standard warrant weigh twenty-five (25) metric tons. Difference between standard warrant weight and actual delivery weight shall not exceed plus or minus two percent (±2%). Pound difference shall not exceed plus or minus one-tenth of one percent (±0.1%).</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19</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Delivery unit</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of a lead futures contract is twenty-five (25) metric tons.</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20</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Delivery period of a lead futures contract is the two (2) consecutive business days immediately following the last trading day of the contract.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21</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benchmark price for delivery settlement of a lead futures contract is its settlement price on the last trading day.</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22</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Delivery venue: the delivery warehouses of the Exchange, to be separately announced by the Exchange.</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lead ingots intended for delivery must be stored indoors.</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23</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After the physical delivery is completed, if the buyer has any dispute over the quality or quantity of the commodity, the buyer shall submit a written request to the Exchange for dispute resolution before the 15th day (including that day) of the month following the delivery month (in case that day falls on a public holiday, the date shall be extended to the first business day after the holiday), together with the quality assay report issued by a Designated Inspection Agency. If no submission is received within the prescribed time, the buyer shall be deemed to have no disputes over</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commodity, and the Exchange will no longer accept</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its relevant request for dispute resolution.</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24</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If standard warrants are used for the EFPs of a lead futures contract and the EFPs are settled via the Exchange, and if a dispute over the quality of the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default" w:ascii="Times New Roman" w:hAnsi="Times New Roman" w:eastAsia="宋体" w:cs="Times New Roman"/>
          <w:b/>
          <w:bCs w:val="0"/>
          <w:kern w:val="2"/>
          <w:sz w:val="28"/>
          <w:szCs w:val="28"/>
        </w:rPr>
      </w:pPr>
      <w:r>
        <w:rPr>
          <w:rFonts w:hint="default" w:ascii="Times New Roman" w:hAnsi="Times New Roman" w:eastAsia="宋体" w:cs="Times New Roman"/>
          <w:b/>
          <w:bCs w:val="0"/>
          <w:color w:val="auto"/>
          <w:kern w:val="2"/>
          <w:sz w:val="28"/>
          <w:szCs w:val="28"/>
          <w:lang w:val="en-US" w:eastAsia="zh-CN" w:bidi="ar"/>
        </w:rPr>
        <w:t>CHAPTER 4</w:t>
      </w:r>
      <w:r>
        <w:rPr>
          <w:rFonts w:hint="default" w:ascii="Times New Roman" w:hAnsi="Times New Roman" w:eastAsia="宋体" w:cs="Times New Roman"/>
          <w:b/>
          <w:bCs w:val="0"/>
          <w:color w:val="auto"/>
          <w:kern w:val="2"/>
          <w:sz w:val="28"/>
          <w:szCs w:val="28"/>
          <w:lang w:val="en-US" w:eastAsia="zh-CN" w:bidi="ar"/>
        </w:rPr>
        <w:tab/>
      </w:r>
      <w:r>
        <w:rPr>
          <w:rFonts w:hint="default" w:ascii="Times New Roman" w:hAnsi="Times New Roman" w:eastAsia="宋体" w:cs="Times New Roman"/>
          <w:b/>
          <w:bCs w:val="0"/>
          <w:color w:val="auto"/>
          <w:kern w:val="2"/>
          <w:sz w:val="28"/>
          <w:szCs w:val="28"/>
          <w:lang w:val="en-US" w:eastAsia="zh-CN" w:bidi="ar"/>
        </w:rPr>
        <w:t>RISK MANAGEMENT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25</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minimum trading margin</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for a lead futures contract is 5%.</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26</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stage-based trading margin rates</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for lead futures are as follows:</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6381"/>
        <w:gridCol w:w="2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8"/>
                <w:szCs w:val="28"/>
              </w:rPr>
            </w:pPr>
            <w:r>
              <w:rPr>
                <w:rFonts w:hint="default" w:ascii="Times New Roman" w:hAnsi="Times New Roman" w:eastAsia="宋体" w:cs="Times New Roman"/>
                <w:b/>
                <w:bCs w:val="0"/>
                <w:color w:val="auto"/>
                <w:kern w:val="2"/>
                <w:sz w:val="28"/>
                <w:szCs w:val="28"/>
                <w:lang w:val="en-US" w:eastAsia="zh-CN" w:bidi="ar"/>
              </w:rPr>
              <w:t>Stage of Trading</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8"/>
                <w:szCs w:val="28"/>
              </w:rPr>
            </w:pPr>
            <w:r>
              <w:rPr>
                <w:rFonts w:hint="default" w:ascii="Times New Roman" w:hAnsi="Times New Roman" w:eastAsia="宋体" w:cs="Times New Roman"/>
                <w:b/>
                <w:bCs w:val="0"/>
                <w:color w:val="auto"/>
                <w:kern w:val="2"/>
                <w:sz w:val="28"/>
                <w:szCs w:val="28"/>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As of listing</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As of the first trading day of the month prior to the delivery month</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As of the first trading day of the delivery month</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As of the second trading day prior to the last trading day</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20%</w:t>
            </w:r>
          </w:p>
        </w:tc>
      </w:tr>
    </w:tbl>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27</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range of price limit</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for a lead futures contract is within ±4% of its settlement price of the preceding trading day.</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
          <w:bCs w:val="0"/>
          <w:color w:val="auto"/>
          <w:kern w:val="2"/>
          <w:sz w:val="28"/>
          <w:szCs w:val="28"/>
          <w:lang w:val="en-US" w:eastAsia="zh-CN" w:bidi="ar"/>
        </w:rPr>
        <w:t>Article 28</w:t>
      </w:r>
      <w:r>
        <w:rPr>
          <w:rFonts w:hint="default" w:ascii="Times New Roman" w:hAnsi="Times New Roman" w:eastAsia="宋体" w:cs="Times New Roman"/>
          <w:bCs/>
          <w:color w:val="auto"/>
          <w:kern w:val="2"/>
          <w:sz w:val="28"/>
          <w:szCs w:val="28"/>
          <w:lang w:val="en-US" w:eastAsia="zh-CN" w:bidi="ar"/>
        </w:rPr>
        <w:tab/>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 xml:space="preserve">Percentage-based Position Limit and </w:t>
      </w:r>
      <w:r>
        <w:rPr>
          <w:rFonts w:hint="default" w:ascii="Times New Roman" w:hAnsi="Times New Roman" w:eastAsia="宋体" w:cs="Times New Roman"/>
          <w:color w:val="auto"/>
          <w:kern w:val="2"/>
          <w:sz w:val="28"/>
          <w:szCs w:val="28"/>
          <w:lang w:val="en-US" w:eastAsia="zh-CN" w:bidi="ar"/>
        </w:rPr>
        <w:t>fixed-amount Position Limit</w:t>
      </w:r>
      <w:r>
        <w:rPr>
          <w:rFonts w:hint="default" w:ascii="Times New Roman" w:hAnsi="Times New Roman" w:eastAsia="宋体" w:cs="Times New Roman"/>
          <w:bCs/>
          <w:color w:val="auto"/>
          <w:kern w:val="2"/>
          <w:sz w:val="28"/>
          <w:szCs w:val="28"/>
          <w:lang w:val="en-US" w:eastAsia="zh-CN" w:bidi="ar"/>
        </w:rPr>
        <w:t xml:space="preserve"> for each</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lead futures contract at different stages of trading are as follows</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(in lots):</w:t>
      </w:r>
    </w:p>
    <w:tbl>
      <w:tblPr>
        <w:tblStyle w:val="5"/>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85"/>
        <w:gridCol w:w="1228"/>
        <w:gridCol w:w="1500"/>
        <w:gridCol w:w="923"/>
        <w:gridCol w:w="1243"/>
        <w:gridCol w:w="825"/>
        <w:gridCol w:w="1231"/>
        <w:gridCol w:w="8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350"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p>
        </w:tc>
        <w:tc>
          <w:tcPr>
            <w:tcW w:w="2183" w:type="pct"/>
            <w:gridSpan w:val="3"/>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From the date of listing to the last trading day of the second month prior to the delivery month</w:t>
            </w:r>
          </w:p>
        </w:tc>
        <w:tc>
          <w:tcPr>
            <w:tcW w:w="1236"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First month prior to the delivery month</w:t>
            </w:r>
          </w:p>
        </w:tc>
        <w:tc>
          <w:tcPr>
            <w:tcW w:w="1229"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35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c>
          <w:tcPr>
            <w:tcW w:w="734" w:type="pct"/>
            <w:vMerge w:val="restart"/>
            <w:tcBorders>
              <w:top w:val="nil"/>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Total open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interest</w:t>
            </w:r>
          </w:p>
        </w:tc>
        <w:tc>
          <w:tcPr>
            <w:tcW w:w="1448"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bCs/>
                <w:color w:val="auto"/>
                <w:kern w:val="2"/>
                <w:sz w:val="28"/>
                <w:szCs w:val="28"/>
                <w:lang w:val="en-US" w:eastAsia="zh-CN" w:bidi="ar"/>
              </w:rPr>
              <w:t xml:space="preserve">Percentage-based Position Limit (%) and </w:t>
            </w:r>
            <w:r>
              <w:rPr>
                <w:rFonts w:hint="default" w:ascii="Times New Roman" w:hAnsi="Times New Roman" w:eastAsia="宋体" w:cs="Times New Roman"/>
                <w:color w:val="auto"/>
                <w:kern w:val="2"/>
                <w:sz w:val="28"/>
                <w:szCs w:val="28"/>
                <w:lang w:val="en-US" w:eastAsia="zh-CN" w:bidi="ar"/>
              </w:rPr>
              <w:t>fixed-amount Position Limit (in lots)</w:t>
            </w:r>
          </w:p>
        </w:tc>
        <w:tc>
          <w:tcPr>
            <w:tcW w:w="1236"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Fixed-amount Position Limit (in lots)</w:t>
            </w:r>
          </w:p>
        </w:tc>
        <w:tc>
          <w:tcPr>
            <w:tcW w:w="1229"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35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c>
          <w:tcPr>
            <w:tcW w:w="734" w:type="pct"/>
            <w:vMerge w:val="continue"/>
            <w:tcBorders>
              <w:top w:val="nil"/>
              <w:left w:val="nil"/>
              <w:bottom w:val="single" w:color="auto" w:sz="6" w:space="0"/>
              <w:right w:val="single" w:color="auto" w:sz="4" w:space="0"/>
            </w:tcBorders>
            <w:noWrap w:val="0"/>
            <w:vAlign w:val="center"/>
          </w:tcPr>
          <w:p>
            <w:pPr>
              <w:rPr>
                <w:rFonts w:hint="default" w:ascii="Times New Roman" w:hAnsi="Times New Roman" w:eastAsia="宋体" w:cs="Times New Roman"/>
                <w:sz w:val="28"/>
                <w:szCs w:val="28"/>
              </w:rPr>
            </w:pPr>
          </w:p>
        </w:tc>
        <w:tc>
          <w:tcPr>
            <w:tcW w:w="89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Non-FF Member</w:t>
            </w:r>
          </w:p>
        </w:tc>
        <w:tc>
          <w:tcPr>
            <w:tcW w:w="55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Client</w:t>
            </w:r>
          </w:p>
        </w:tc>
        <w:tc>
          <w:tcPr>
            <w:tcW w:w="743"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Non-FF Member</w:t>
            </w:r>
          </w:p>
        </w:tc>
        <w:tc>
          <w:tcPr>
            <w:tcW w:w="49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Client</w:t>
            </w:r>
          </w:p>
        </w:tc>
        <w:tc>
          <w:tcPr>
            <w:tcW w:w="73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Non-FF Member</w:t>
            </w:r>
          </w:p>
        </w:tc>
        <w:tc>
          <w:tcPr>
            <w:tcW w:w="49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32" w:hRule="atLeast"/>
        </w:trPr>
        <w:tc>
          <w:tcPr>
            <w:tcW w:w="350" w:type="pct"/>
            <w:vMerge w:val="restart"/>
            <w:tcBorders>
              <w:top w:val="nil"/>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lead</w:t>
            </w:r>
          </w:p>
        </w:tc>
        <w:tc>
          <w:tcPr>
            <w:tcW w:w="734"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eastAsia" w:ascii="方正大标宋简体" w:hAnsi="方正大标宋简体" w:eastAsia="方正大标宋简体" w:cs="方正大标宋简体"/>
                <w:bCs/>
                <w:color w:val="auto"/>
                <w:kern w:val="2"/>
                <w:sz w:val="28"/>
                <w:szCs w:val="28"/>
                <w:lang w:val="en-US" w:eastAsia="zh-CN" w:bidi="ar"/>
              </w:rPr>
              <w:t>≥</w:t>
            </w:r>
            <w:r>
              <w:rPr>
                <w:rFonts w:hint="default" w:ascii="Times New Roman" w:hAnsi="Times New Roman" w:eastAsia="宋体" w:cs="Times New Roman"/>
                <w:bCs/>
                <w:color w:val="auto"/>
                <w:kern w:val="2"/>
                <w:sz w:val="28"/>
                <w:szCs w:val="28"/>
                <w:lang w:val="en-US" w:eastAsia="zh-CN" w:bidi="ar"/>
              </w:rPr>
              <w:t>50,000</w:t>
            </w:r>
          </w:p>
        </w:tc>
        <w:tc>
          <w:tcPr>
            <w:tcW w:w="89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10</w:t>
            </w:r>
          </w:p>
        </w:tc>
        <w:tc>
          <w:tcPr>
            <w:tcW w:w="55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10</w:t>
            </w:r>
          </w:p>
        </w:tc>
        <w:tc>
          <w:tcPr>
            <w:tcW w:w="743"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1,800</w:t>
            </w:r>
          </w:p>
        </w:tc>
        <w:tc>
          <w:tcPr>
            <w:tcW w:w="492"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1,800</w:t>
            </w:r>
          </w:p>
        </w:tc>
        <w:tc>
          <w:tcPr>
            <w:tcW w:w="736"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600</w:t>
            </w:r>
          </w:p>
        </w:tc>
        <w:tc>
          <w:tcPr>
            <w:tcW w:w="493"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0" w:hRule="atLeast"/>
        </w:trPr>
        <w:tc>
          <w:tcPr>
            <w:tcW w:w="350" w:type="pct"/>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c>
          <w:tcPr>
            <w:tcW w:w="734"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eastAsia" w:ascii="宋体" w:hAnsi="宋体" w:eastAsia="宋体" w:cs="宋体"/>
                <w:bCs/>
                <w:color w:val="auto"/>
                <w:kern w:val="2"/>
                <w:sz w:val="28"/>
                <w:szCs w:val="28"/>
                <w:lang w:val="en-US" w:eastAsia="zh-CN" w:bidi="ar"/>
              </w:rPr>
              <w:t>＜</w:t>
            </w:r>
            <w:r>
              <w:rPr>
                <w:rFonts w:hint="default" w:ascii="Times New Roman" w:hAnsi="Times New Roman" w:eastAsia="宋体" w:cs="Times New Roman"/>
                <w:bCs/>
                <w:color w:val="auto"/>
                <w:kern w:val="2"/>
                <w:sz w:val="28"/>
                <w:szCs w:val="28"/>
                <w:lang w:val="en-US" w:eastAsia="zh-CN" w:bidi="ar"/>
              </w:rPr>
              <w:t>50,000</w:t>
            </w:r>
          </w:p>
        </w:tc>
        <w:tc>
          <w:tcPr>
            <w:tcW w:w="89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5,000</w:t>
            </w:r>
          </w:p>
        </w:tc>
        <w:tc>
          <w:tcPr>
            <w:tcW w:w="55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5,000</w:t>
            </w:r>
          </w:p>
        </w:tc>
        <w:tc>
          <w:tcPr>
            <w:tcW w:w="743"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c>
          <w:tcPr>
            <w:tcW w:w="492"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c>
          <w:tcPr>
            <w:tcW w:w="736"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c>
          <w:tcPr>
            <w:tcW w:w="493"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r>
    </w:tbl>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positions.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
          <w:bCs w:val="0"/>
          <w:color w:val="auto"/>
          <w:kern w:val="2"/>
          <w:sz w:val="28"/>
          <w:szCs w:val="28"/>
          <w:lang w:val="en-US" w:eastAsia="zh-CN" w:bidi="ar"/>
        </w:rPr>
        <w:t>Article 29</w:t>
      </w:r>
      <w:r>
        <w:rPr>
          <w:rFonts w:hint="default" w:ascii="Times New Roman" w:hAnsi="Times New Roman" w:eastAsia="宋体" w:cs="Times New Roman"/>
          <w:bCs/>
          <w:color w:val="auto"/>
          <w:kern w:val="2"/>
          <w:sz w:val="28"/>
          <w:szCs w:val="28"/>
          <w:lang w:val="en-US" w:eastAsia="zh-CN" w:bidi="ar"/>
        </w:rPr>
        <w:tab/>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 xml:space="preserve">For contracts in lead futures, by the close of the last trading day of the month prior to the delivery month, </w:t>
      </w:r>
      <w:r>
        <w:rPr>
          <w:rFonts w:hint="default" w:ascii="Times New Roman" w:hAnsi="Times New Roman" w:eastAsia="宋体" w:cs="Times New Roman"/>
          <w:bCs/>
          <w:color w:val="auto"/>
          <w:kern w:val="0"/>
          <w:sz w:val="28"/>
          <w:szCs w:val="28"/>
          <w:lang w:val="en-US" w:eastAsia="zh-CN" w:bidi="ar"/>
        </w:rPr>
        <w:t xml:space="preserve">each Trader (referring here and hereinafter to a Client, a Non-Futures Firm Member) </w:t>
      </w:r>
      <w:r>
        <w:rPr>
          <w:rFonts w:hint="default" w:ascii="Times New Roman" w:hAnsi="Times New Roman" w:eastAsia="宋体" w:cs="Times New Roman"/>
          <w:bCs/>
          <w:color w:val="auto"/>
          <w:kern w:val="2"/>
          <w:sz w:val="28"/>
          <w:szCs w:val="28"/>
          <w:lang w:val="en-US" w:eastAsia="zh-CN" w:bidi="ar"/>
        </w:rPr>
        <w:t xml:space="preserve">shall adjust </w:t>
      </w:r>
      <w:r>
        <w:rPr>
          <w:rFonts w:hint="default" w:ascii="Times New Roman" w:hAnsi="Times New Roman" w:eastAsia="宋体" w:cs="Times New Roman"/>
          <w:bCs/>
          <w:color w:val="auto"/>
          <w:kern w:val="0"/>
          <w:sz w:val="28"/>
          <w:szCs w:val="28"/>
          <w:lang w:val="en-US" w:eastAsia="zh-CN" w:bidi="ar"/>
        </w:rPr>
        <w:t xml:space="preserve">its general </w:t>
      </w:r>
      <w:r>
        <w:rPr>
          <w:rFonts w:hint="default" w:ascii="Times New Roman" w:hAnsi="Times New Roman" w:eastAsia="宋体" w:cs="Times New Roman"/>
          <w:bCs/>
          <w:color w:val="auto"/>
          <w:kern w:val="2"/>
          <w:sz w:val="28"/>
          <w:szCs w:val="28"/>
          <w:lang w:val="en-US" w:eastAsia="zh-CN" w:bidi="ar"/>
        </w:rPr>
        <w:t>positions held under its trading code, to multiples of five (5) lots and a one-day delay is allowed under special market conditions; in the delivery month,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positions as well as newly opened and closed-out positions shall be held in multiples of five (5) lots.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
          <w:bCs w:val="0"/>
          <w:color w:val="auto"/>
          <w:kern w:val="2"/>
          <w:sz w:val="28"/>
          <w:szCs w:val="28"/>
          <w:lang w:val="en-US" w:eastAsia="zh-CN" w:bidi="ar"/>
        </w:rPr>
        <w:t>Article 30</w:t>
      </w:r>
      <w:r>
        <w:rPr>
          <w:rFonts w:hint="eastAsia" w:ascii="Times New Roman" w:hAnsi="Times New Roman" w:eastAsia="宋体" w:cs="Times New Roman"/>
          <w:b/>
          <w:bCs w:val="0"/>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ab/>
      </w:r>
      <w:r>
        <w:rPr>
          <w:rFonts w:hint="default" w:ascii="Times New Roman" w:hAnsi="Times New Roman" w:eastAsia="宋体" w:cs="Times New Roman"/>
          <w:bCs/>
          <w:color w:val="auto"/>
          <w:kern w:val="2"/>
          <w:sz w:val="28"/>
          <w:szCs w:val="28"/>
          <w:lang w:val="en-US" w:eastAsia="zh-CN" w:bidi="ar"/>
        </w:rPr>
        <w:t>If the Exchange makes a forced position reduction</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to a lead futures contract,</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the amount of the unfilled orders subject to the order fill, positions eligible to fill the unfilled orders</w:t>
      </w:r>
      <w:r>
        <w:rPr>
          <w:rFonts w:hint="default" w:ascii="Times New Roman" w:hAnsi="Times New Roman" w:eastAsia="宋体" w:cs="Times New Roman"/>
          <w:bCs/>
          <w:color w:val="auto"/>
          <w:kern w:val="0"/>
          <w:sz w:val="28"/>
          <w:szCs w:val="28"/>
          <w:lang w:val="en-US" w:eastAsia="zh-CN" w:bidi="ar"/>
        </w:rPr>
        <w:t xml:space="preserve"> of a Trader</w:t>
      </w:r>
      <w:r>
        <w:rPr>
          <w:rFonts w:hint="default" w:ascii="Times New Roman" w:hAnsi="Times New Roman" w:eastAsia="宋体" w:cs="Times New Roman"/>
          <w:bCs/>
          <w:color w:val="auto"/>
          <w:kern w:val="2"/>
          <w:sz w:val="28"/>
          <w:szCs w:val="28"/>
          <w:lang w:val="en-US" w:eastAsia="zh-CN" w:bidi="ar"/>
        </w:rPr>
        <w:t>, and the principles and methods for the order fill of unfilled orders</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shall be determined as follows: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(i)</w:t>
      </w:r>
      <w:r>
        <w:rPr>
          <w:rFonts w:hint="default" w:ascii="Times New Roman" w:hAnsi="Times New Roman" w:eastAsia="宋体" w:cs="Times New Roman"/>
          <w:bCs/>
          <w:color w:val="auto"/>
          <w:kern w:val="2"/>
          <w:sz w:val="28"/>
          <w:szCs w:val="28"/>
          <w:lang w:val="en-US" w:eastAsia="zh-CN" w:bidi="ar"/>
        </w:rPr>
        <w:tab/>
      </w:r>
      <w:r>
        <w:rPr>
          <w:rFonts w:hint="default" w:ascii="Times New Roman" w:hAnsi="Times New Roman" w:eastAsia="宋体" w:cs="Times New Roman"/>
          <w:bCs/>
          <w:color w:val="auto"/>
          <w:kern w:val="2"/>
          <w:sz w:val="28"/>
          <w:szCs w:val="28"/>
          <w:lang w:val="en-US" w:eastAsia="zh-CN" w:bidi="ar"/>
        </w:rPr>
        <w:t>Amount of the unfilled orders subject to the order fill. The term “amount of unfilled orders subject to the order fill” means the total amount of all the unfilled orders submitted after the close of the base date at the limit price into the central order book by each</w:t>
      </w:r>
      <w:r>
        <w:rPr>
          <w:rFonts w:hint="default" w:ascii="Times New Roman" w:hAnsi="Times New Roman" w:eastAsia="宋体" w:cs="Times New Roman"/>
          <w:bCs/>
          <w:color w:val="auto"/>
          <w:kern w:val="0"/>
          <w:sz w:val="28"/>
          <w:szCs w:val="28"/>
          <w:lang w:val="en-US" w:eastAsia="zh-CN" w:bidi="ar"/>
        </w:rPr>
        <w:t xml:space="preserve"> Trader</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who has incurred losses on net positions in the contract of an average level of no less than six percent (6%)</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for lead futures contracts, of the settlement price of the base date.</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(ii)</w:t>
      </w:r>
      <w:r>
        <w:rPr>
          <w:rFonts w:hint="default" w:ascii="Times New Roman" w:hAnsi="Times New Roman" w:eastAsia="宋体" w:cs="Times New Roman"/>
          <w:bCs/>
          <w:color w:val="auto"/>
          <w:kern w:val="2"/>
          <w:sz w:val="28"/>
          <w:szCs w:val="28"/>
          <w:lang w:val="en-US" w:eastAsia="zh-CN" w:bidi="ar"/>
        </w:rPr>
        <w:tab/>
      </w:r>
      <w:r>
        <w:rPr>
          <w:rFonts w:hint="default" w:ascii="Times New Roman" w:hAnsi="Times New Roman" w:eastAsia="宋体" w:cs="Times New Roman"/>
          <w:bCs/>
          <w:color w:val="auto"/>
          <w:kern w:val="2"/>
          <w:sz w:val="28"/>
          <w:szCs w:val="28"/>
          <w:lang w:val="en-US" w:eastAsia="zh-CN" w:bidi="ar"/>
        </w:rPr>
        <w:t>Positions eligible to fill the unfilled orders</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8"/>
          <w:szCs w:val="28"/>
          <w:lang w:val="en-US" w:eastAsia="zh-CN" w:bidi="ar"/>
        </w:rPr>
        <w:t xml:space="preserve"> Trader</w:t>
      </w:r>
      <w:r>
        <w:rPr>
          <w:rFonts w:hint="default" w:ascii="Times New Roman" w:hAnsi="Times New Roman" w:eastAsia="宋体" w:cs="Times New Roman"/>
          <w:bCs/>
          <w:color w:val="auto"/>
          <w:kern w:val="2"/>
          <w:sz w:val="28"/>
          <w:szCs w:val="28"/>
          <w:lang w:val="en-US" w:eastAsia="zh-CN" w:bidi="ar"/>
        </w:rPr>
        <w:t>, as calculated using the above formula</w:t>
      </w:r>
      <w:r>
        <w:rPr>
          <w:rFonts w:hint="default"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purposes or for hedging purposes at no less than six percent (6%)</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of the settlement price of the base date.</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(iii)</w:t>
      </w:r>
      <w:r>
        <w:rPr>
          <w:rFonts w:hint="default" w:ascii="Times New Roman" w:hAnsi="Times New Roman" w:eastAsia="宋体" w:cs="Times New Roman"/>
          <w:bCs/>
          <w:color w:val="auto"/>
          <w:kern w:val="2"/>
          <w:sz w:val="28"/>
          <w:szCs w:val="28"/>
          <w:lang w:val="en-US" w:eastAsia="zh-CN" w:bidi="ar"/>
        </w:rPr>
        <w:tab/>
      </w:r>
      <w:r>
        <w:rPr>
          <w:rFonts w:hint="default" w:ascii="Times New Roman" w:hAnsi="Times New Roman" w:eastAsia="宋体" w:cs="Times New Roman"/>
          <w:bCs/>
          <w:color w:val="auto"/>
          <w:kern w:val="2"/>
          <w:sz w:val="28"/>
          <w:szCs w:val="28"/>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or hedging: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Level 1: Unfilled orders shall be filled with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positions eligible to fill the unfilled orders of any</w:t>
      </w:r>
      <w:r>
        <w:rPr>
          <w:rFonts w:hint="default" w:ascii="Times New Roman" w:hAnsi="Times New Roman" w:eastAsia="宋体" w:cs="Times New Roman"/>
          <w:bCs/>
          <w:color w:val="auto"/>
          <w:kern w:val="0"/>
          <w:sz w:val="28"/>
          <w:szCs w:val="28"/>
          <w:lang w:val="en-US" w:eastAsia="zh-CN" w:bidi="ar"/>
        </w:rPr>
        <w:t xml:space="preserve"> Trader</w:t>
      </w:r>
      <w:r>
        <w:rPr>
          <w:rFonts w:hint="default" w:ascii="Times New Roman" w:hAnsi="Times New Roman" w:eastAsia="宋体" w:cs="Times New Roman"/>
          <w:bCs/>
          <w:color w:val="auto"/>
          <w:kern w:val="2"/>
          <w:sz w:val="28"/>
          <w:szCs w:val="28"/>
          <w:lang w:val="en-US" w:eastAsia="zh-CN" w:bidi="ar"/>
        </w:rPr>
        <w:t xml:space="preserve"> with average gains on net positions of no less than six percent (6%) of the settlement price on the base date for the contracts in lead futures, or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Over 6%;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Level 2: Unfilled orders shall be filled with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positions eligible to fill the unfilled orders of any</w:t>
      </w:r>
      <w:r>
        <w:rPr>
          <w:rFonts w:hint="default" w:ascii="Times New Roman" w:hAnsi="Times New Roman" w:eastAsia="宋体" w:cs="Times New Roman"/>
          <w:bCs/>
          <w:color w:val="auto"/>
          <w:kern w:val="0"/>
          <w:sz w:val="28"/>
          <w:szCs w:val="28"/>
          <w:lang w:val="en-US" w:eastAsia="zh-CN" w:bidi="ar"/>
        </w:rPr>
        <w:t xml:space="preserve"> Trader</w:t>
      </w:r>
      <w:r>
        <w:rPr>
          <w:rFonts w:hint="default" w:ascii="Times New Roman" w:hAnsi="Times New Roman" w:eastAsia="宋体" w:cs="Times New Roman"/>
          <w:bCs/>
          <w:color w:val="auto"/>
          <w:kern w:val="2"/>
          <w:sz w:val="28"/>
          <w:szCs w:val="28"/>
          <w:lang w:val="en-US" w:eastAsia="zh-CN" w:bidi="ar"/>
        </w:rPr>
        <w:t xml:space="preserve"> with average gains on net positions of no less than three percent (3%) but no more than six percent (6%) of the settlement price on the base date for contracts with respect to lead futures, or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Over 3%;</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Level 3: Unfilled orders shall be filled with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positions eligible to fill the unfilled orders of a</w:t>
      </w:r>
      <w:r>
        <w:rPr>
          <w:rFonts w:hint="default" w:ascii="Times New Roman" w:hAnsi="Times New Roman" w:eastAsia="宋体" w:cs="Times New Roman"/>
          <w:bCs/>
          <w:color w:val="auto"/>
          <w:kern w:val="0"/>
          <w:sz w:val="28"/>
          <w:szCs w:val="28"/>
          <w:lang w:val="en-US" w:eastAsia="zh-CN" w:bidi="ar"/>
        </w:rPr>
        <w:t xml:space="preserve"> Trader</w:t>
      </w:r>
      <w:r>
        <w:rPr>
          <w:rFonts w:hint="default" w:ascii="Times New Roman" w:hAnsi="Times New Roman" w:eastAsia="宋体" w:cs="Times New Roman"/>
          <w:bCs/>
          <w:color w:val="auto"/>
          <w:kern w:val="2"/>
          <w:sz w:val="28"/>
          <w:szCs w:val="28"/>
          <w:lang w:val="en-US" w:eastAsia="zh-CN" w:bidi="ar"/>
        </w:rPr>
        <w:t xml:space="preserve"> with average gains on net positions of no more than three percent (3%) of the settlement price on the base date for contracts in lead futures, or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Gains Below 3%; and</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8"/>
          <w:szCs w:val="28"/>
          <w:lang w:val="en-US" w:eastAsia="zh-CN" w:bidi="ar"/>
        </w:rPr>
        <w:t xml:space="preserve"> Trader</w:t>
      </w:r>
      <w:r>
        <w:rPr>
          <w:rFonts w:hint="default" w:ascii="Times New Roman" w:hAnsi="Times New Roman" w:eastAsia="宋体" w:cs="Times New Roman"/>
          <w:bCs/>
          <w:color w:val="auto"/>
          <w:kern w:val="2"/>
          <w:sz w:val="28"/>
          <w:szCs w:val="28"/>
          <w:lang w:val="en-US" w:eastAsia="zh-CN" w:bidi="ar"/>
        </w:rPr>
        <w:t xml:space="preserve"> with average gains on net positions of no less than six percent (6%) of the settlement price on the base date for contracts in lead futures, or the Hedging Position Gains of Over 6%.</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(iv)</w:t>
      </w:r>
      <w:r>
        <w:rPr>
          <w:rFonts w:hint="eastAsia" w:ascii="Times New Roman" w:hAnsi="Times New Roman" w:eastAsia="宋体" w:cs="Times New Roman"/>
          <w:bCs/>
          <w:color w:val="auto"/>
          <w:kern w:val="2"/>
          <w:sz w:val="28"/>
          <w:szCs w:val="28"/>
          <w:lang w:val="en-US" w:eastAsia="zh-CN" w:bidi="ar"/>
        </w:rPr>
        <w:tab/>
      </w:r>
      <w:r>
        <w:rPr>
          <w:rFonts w:hint="default" w:ascii="Times New Roman" w:hAnsi="Times New Roman" w:eastAsia="宋体" w:cs="Times New Roman"/>
          <w:bCs/>
          <w:color w:val="auto"/>
          <w:kern w:val="2"/>
          <w:sz w:val="28"/>
          <w:szCs w:val="28"/>
          <w:lang w:val="en-US" w:eastAsia="zh-CN" w:bidi="ar"/>
        </w:rPr>
        <w:t>Methods for the order fill of unfilled orders. If the amount of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Over 6% is greater than or equal to that of the unfilled orders, the unfilled orders shall be filled pro rata to the amount of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Over 6%. If the amount of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Over 6% is smaller than that of the unfilled orders,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Over 6% shall be filled pro rata to the amount of the unfilled orders. The residual unfilled orders, if any, shall be filled with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Positions Gains of Over 3%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Below 3%, and so to the Hedging Position Gains of Over 6%. Unfilled orders which eventually remain after all the order fills described above, if any, shall not be filled at all.</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center"/>
        <w:textAlignment w:val="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val="0"/>
          <w:color w:val="auto"/>
          <w:kern w:val="2"/>
          <w:sz w:val="28"/>
          <w:szCs w:val="28"/>
          <w:lang w:val="en-US" w:eastAsia="zh-CN" w:bidi="ar"/>
        </w:rPr>
        <w:t>CHAPTER 5</w:t>
      </w:r>
      <w:r>
        <w:rPr>
          <w:rFonts w:hint="default" w:ascii="Times New Roman" w:hAnsi="Times New Roman" w:eastAsia="宋体" w:cs="Times New Roman"/>
          <w:b/>
          <w:bCs/>
          <w:color w:val="auto"/>
          <w:kern w:val="2"/>
          <w:sz w:val="28"/>
          <w:szCs w:val="28"/>
          <w:lang w:val="en-US" w:eastAsia="zh-CN" w:bidi="ar"/>
        </w:rPr>
        <w:tab/>
      </w:r>
      <w:r>
        <w:rPr>
          <w:rFonts w:hint="default" w:ascii="Times New Roman" w:hAnsi="Times New Roman" w:eastAsia="宋体" w:cs="Times New Roman"/>
          <w:b/>
          <w:bCs/>
          <w:color w:val="auto"/>
          <w:kern w:val="2"/>
          <w:sz w:val="28"/>
          <w:szCs w:val="28"/>
          <w:lang w:val="en-US" w:eastAsia="zh-CN" w:bidi="ar"/>
        </w:rPr>
        <w:t>MISCELLANEOUS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iCs/>
          <w:kern w:val="2"/>
          <w:sz w:val="28"/>
          <w:szCs w:val="28"/>
        </w:rPr>
      </w:pPr>
      <w:r>
        <w:rPr>
          <w:rFonts w:hint="default" w:ascii="Times New Roman" w:hAnsi="Times New Roman" w:eastAsia="宋体" w:cs="Times New Roman"/>
          <w:b/>
          <w:bCs/>
          <w:color w:val="auto"/>
          <w:kern w:val="2"/>
          <w:sz w:val="28"/>
          <w:szCs w:val="28"/>
          <w:lang w:val="en-US" w:eastAsia="zh-CN" w:bidi="ar"/>
        </w:rPr>
        <w:t>Article 31</w:t>
      </w:r>
      <w:r>
        <w:rPr>
          <w:rFonts w:hint="default" w:ascii="Times New Roman" w:hAnsi="Times New Roman" w:eastAsia="宋体" w:cs="Times New Roman"/>
          <w:bCs/>
          <w:color w:val="auto"/>
          <w:kern w:val="2"/>
          <w:sz w:val="28"/>
          <w:szCs w:val="28"/>
          <w:lang w:val="en-US" w:eastAsia="zh-CN" w:bidi="ar"/>
        </w:rPr>
        <w:tab/>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 xml:space="preserve">Matters not covered herein </w:t>
      </w:r>
      <w:r>
        <w:rPr>
          <w:rFonts w:hint="default" w:ascii="Times New Roman" w:hAnsi="Times New Roman" w:eastAsia="宋体" w:cs="Times New Roman"/>
          <w:iCs/>
          <w:color w:val="auto"/>
          <w:kern w:val="2"/>
          <w:sz w:val="28"/>
          <w:szCs w:val="28"/>
          <w:lang w:val="en-US" w:eastAsia="zh-CN" w:bidi="ar"/>
        </w:rPr>
        <w:t>shall be governed by the applicable business rules of the Exchange.</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
          <w:bCs/>
          <w:color w:val="auto"/>
          <w:kern w:val="2"/>
          <w:sz w:val="28"/>
          <w:szCs w:val="28"/>
          <w:lang w:val="en-US" w:eastAsia="zh-CN" w:bidi="ar"/>
        </w:rPr>
        <w:t>Article 32</w:t>
      </w:r>
      <w:r>
        <w:rPr>
          <w:rFonts w:hint="default" w:ascii="Times New Roman" w:hAnsi="Times New Roman" w:eastAsia="宋体" w:cs="Times New Roman"/>
          <w:bCs/>
          <w:color w:val="auto"/>
          <w:kern w:val="2"/>
          <w:sz w:val="28"/>
          <w:szCs w:val="28"/>
          <w:lang w:val="en-US" w:eastAsia="zh-CN" w:bidi="ar"/>
        </w:rPr>
        <w:tab/>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等线" w:cs="Times New Roman"/>
          <w:color w:val="auto"/>
          <w:kern w:val="22"/>
          <w:sz w:val="28"/>
          <w:szCs w:val="28"/>
          <w:lang w:val="en-US" w:eastAsia="zh-CN" w:bidi="ar"/>
        </w:rPr>
        <w:t xml:space="preserve">Any violations of these </w:t>
      </w:r>
      <w:r>
        <w:rPr>
          <w:rFonts w:hint="default" w:ascii="Times New Roman" w:hAnsi="Times New Roman" w:eastAsia="宋体" w:cs="Times New Roman"/>
          <w:i/>
          <w:iCs w:val="0"/>
          <w:color w:val="auto"/>
          <w:kern w:val="2"/>
          <w:sz w:val="28"/>
          <w:szCs w:val="28"/>
          <w:lang w:val="en-US" w:eastAsia="zh-CN" w:bidi="ar"/>
        </w:rPr>
        <w:t>Lead Futures Rules</w:t>
      </w:r>
      <w:r>
        <w:rPr>
          <w:rFonts w:hint="default" w:ascii="Times New Roman" w:hAnsi="Times New Roman" w:eastAsia="等线" w:cs="Times New Roman"/>
          <w:i/>
          <w:iCs/>
          <w:color w:val="auto"/>
          <w:kern w:val="2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 xml:space="preserve">will be handled by the Exchange in accordance with the </w:t>
      </w:r>
      <w:r>
        <w:rPr>
          <w:rFonts w:hint="default" w:ascii="Times New Roman" w:hAnsi="Times New Roman" w:eastAsia="宋体" w:cs="Times New Roman"/>
          <w:i/>
          <w:iCs/>
          <w:color w:val="auto"/>
          <w:kern w:val="2"/>
          <w:sz w:val="28"/>
          <w:szCs w:val="28"/>
          <w:lang w:val="en-US" w:eastAsia="zh-CN" w:bidi="ar"/>
        </w:rPr>
        <w:t>Enforcement Rules of the Shanghai Futures Exchange</w:t>
      </w:r>
      <w:r>
        <w:rPr>
          <w:rFonts w:hint="default" w:ascii="Times New Roman" w:hAnsi="Times New Roman" w:eastAsia="宋体" w:cs="Times New Roman"/>
          <w:color w:val="auto"/>
          <w:kern w:val="2"/>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
          <w:bCs/>
          <w:color w:val="auto"/>
          <w:kern w:val="2"/>
          <w:sz w:val="28"/>
          <w:szCs w:val="28"/>
          <w:lang w:val="en-US" w:eastAsia="zh-CN" w:bidi="ar"/>
        </w:rPr>
        <w:t>Article 33</w:t>
      </w:r>
      <w:r>
        <w:rPr>
          <w:rFonts w:hint="default" w:ascii="Times New Roman" w:hAnsi="Times New Roman" w:eastAsia="宋体" w:cs="Times New Roman"/>
          <w:bCs/>
          <w:color w:val="auto"/>
          <w:kern w:val="2"/>
          <w:sz w:val="28"/>
          <w:szCs w:val="28"/>
          <w:lang w:val="en-US" w:eastAsia="zh-CN" w:bidi="ar"/>
        </w:rPr>
        <w:tab/>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 xml:space="preserve">The Exchange reserves the right to interpret these </w:t>
      </w:r>
      <w:r>
        <w:rPr>
          <w:rFonts w:hint="default" w:ascii="Times New Roman" w:hAnsi="Times New Roman" w:eastAsia="宋体" w:cs="Times New Roman"/>
          <w:i/>
          <w:iCs w:val="0"/>
          <w:color w:val="auto"/>
          <w:kern w:val="2"/>
          <w:sz w:val="28"/>
          <w:szCs w:val="28"/>
          <w:lang w:val="en-US" w:eastAsia="zh-CN" w:bidi="ar"/>
        </w:rPr>
        <w:t>Lead Futures Rules</w:t>
      </w:r>
      <w:r>
        <w:rPr>
          <w:rFonts w:hint="default" w:ascii="Times New Roman" w:hAnsi="Times New Roman" w:eastAsia="宋体" w:cs="Times New Roman"/>
          <w:bCs/>
          <w:color w:val="auto"/>
          <w:kern w:val="2"/>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color w:val="auto"/>
          <w:kern w:val="2"/>
          <w:sz w:val="28"/>
          <w:szCs w:val="28"/>
          <w:lang w:val="en-US" w:eastAsia="zh-CN" w:bidi="ar"/>
        </w:rPr>
      </w:pPr>
      <w:r>
        <w:rPr>
          <w:rFonts w:hint="default" w:ascii="Times New Roman" w:hAnsi="Times New Roman" w:eastAsia="宋体" w:cs="Times New Roman"/>
          <w:b/>
          <w:bCs/>
          <w:color w:val="auto"/>
          <w:kern w:val="2"/>
          <w:sz w:val="28"/>
          <w:szCs w:val="28"/>
          <w:lang w:val="en-US" w:eastAsia="zh-CN" w:bidi="ar"/>
        </w:rPr>
        <w:t>Article 34</w:t>
      </w:r>
      <w:r>
        <w:rPr>
          <w:rFonts w:hint="default" w:ascii="Times New Roman" w:hAnsi="Times New Roman" w:eastAsia="宋体" w:cs="Times New Roman"/>
          <w:bCs/>
          <w:color w:val="auto"/>
          <w:kern w:val="2"/>
          <w:sz w:val="28"/>
          <w:szCs w:val="28"/>
          <w:lang w:val="en-US" w:eastAsia="zh-CN" w:bidi="ar"/>
        </w:rPr>
        <w:tab/>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方正仿宋简体" w:cs="Times New Roman"/>
          <w:b w:val="0"/>
          <w:bCs/>
          <w:sz w:val="28"/>
          <w:szCs w:val="28"/>
        </w:rPr>
        <w:t>These Lead Futures Rules take effect on</w:t>
      </w:r>
      <w:r>
        <w:rPr>
          <w:rFonts w:hint="default" w:ascii="Times New Roman" w:hAnsi="Times New Roman" w:eastAsia="方正仿宋简体" w:cs="Times New Roman"/>
          <w:b w:val="0"/>
          <w:bCs/>
          <w:color w:val="000000" w:themeColor="text1"/>
          <w:sz w:val="28"/>
          <w:szCs w:val="28"/>
          <w:shd w:val="clear" w:color="auto" w:fill="auto"/>
          <w14:textFill>
            <w14:solidFill>
              <w14:schemeClr w14:val="tx1"/>
            </w14:solidFill>
          </w14:textFill>
        </w:rPr>
        <w:t xml:space="preserve"> </w:t>
      </w:r>
      <w:r>
        <w:rPr>
          <w:rFonts w:hint="eastAsia" w:ascii="Times New Roman" w:hAnsi="Times New Roman" w:eastAsia="方正仿宋简体" w:cs="Times New Roman"/>
          <w:b w:val="0"/>
          <w:bCs/>
          <w:dstrike w:val="0"/>
          <w:color w:val="000000" w:themeColor="text1"/>
          <w:sz w:val="28"/>
          <w:szCs w:val="28"/>
          <w:shd w:val="clear" w:color="auto" w:fill="auto"/>
          <w:lang w:val="en-US" w:eastAsia="zh-CN"/>
          <w14:textFill>
            <w14:solidFill>
              <w14:schemeClr w14:val="tx1"/>
            </w14:solidFill>
          </w14:textFill>
        </w:rPr>
        <w:t>March 17,</w:t>
      </w:r>
      <w:r>
        <w:rPr>
          <w:rFonts w:hint="default" w:ascii="Times New Roman" w:hAnsi="Times New Roman" w:eastAsia="方正仿宋简体" w:cs="Times New Roman"/>
          <w:b w:val="0"/>
          <w:bCs/>
          <w:strike w:val="0"/>
          <w:dstrike w:val="0"/>
          <w:color w:val="000000" w:themeColor="text1"/>
          <w:sz w:val="28"/>
          <w:szCs w:val="28"/>
          <w:shd w:val="clear" w:color="auto" w:fill="auto"/>
          <w14:textFill>
            <w14:solidFill>
              <w14:schemeClr w14:val="tx1"/>
            </w14:solidFill>
          </w14:textFill>
        </w:rPr>
        <w:t xml:space="preserve"> </w:t>
      </w:r>
      <w:r>
        <w:rPr>
          <w:rFonts w:hint="default" w:ascii="Times New Roman" w:hAnsi="Times New Roman" w:eastAsia="方正仿宋简体" w:cs="Times New Roman"/>
          <w:b w:val="0"/>
          <w:bCs/>
          <w:strike w:val="0"/>
          <w:dstrike w:val="0"/>
          <w:sz w:val="28"/>
          <w:szCs w:val="28"/>
        </w:rPr>
        <w:t>2026</w:t>
      </w:r>
      <w:r>
        <w:rPr>
          <w:rFonts w:hint="default" w:ascii="Times New Roman" w:hAnsi="Times New Roman" w:eastAsia="宋体" w:cs="Times New Roman"/>
          <w:color w:val="auto"/>
          <w:kern w:val="2"/>
          <w:sz w:val="28"/>
          <w:szCs w:val="28"/>
          <w:lang w:val="en-US" w:eastAsia="zh-CN" w:bidi="ar"/>
        </w:rPr>
        <w:t>.</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 w:name="方正大标宋简体">
    <w:panose1 w:val="02000000000000000000"/>
    <w:charset w:val="86"/>
    <w:family w:val="auto"/>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F5107"/>
    <w:rsid w:val="3F5F1789"/>
    <w:rsid w:val="FBBF5107"/>
    <w:rsid w:val="FBD30D02"/>
    <w:rsid w:val="FED59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2026-02-27T14:15:00Z</dcterms:created>
  <dc:creator>ji.shuoren</dc:creator>
  <cp:lastModifiedBy>ji.shuoren</cp:lastModifiedBy>
  <cp:lastPrinted>2026-03-04T01:57:00Z</cp:lastPrinted>
  <dcterms:modified xsi:type="dcterms:W3CDTF">2026-03-16T09:16:07Z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C4F020A03B82572714E59F694B4C0A8D</vt:lpwstr>
  </property>
</Properties>
</file>