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88C6E" w14:textId="4167230A" w:rsidR="00C205D7" w:rsidRDefault="00C205D7">
      <w:pPr>
        <w:snapToGrid w:val="0"/>
        <w:spacing w:afterLines="100" w:after="240"/>
        <w:rPr>
          <w:rFonts w:cs="Times New Roman"/>
        </w:rPr>
      </w:pPr>
    </w:p>
    <w:p w14:paraId="5AD019F9" w14:textId="77777777" w:rsidR="00C205D7" w:rsidRDefault="00AE18FA">
      <w:pPr>
        <w:snapToGrid w:val="0"/>
        <w:spacing w:afterLines="100" w:after="240"/>
        <w:jc w:val="center"/>
        <w:rPr>
          <w:rFonts w:cs="Times New Roman"/>
          <w:b/>
          <w:bCs/>
          <w:sz w:val="28"/>
          <w:szCs w:val="28"/>
        </w:rPr>
      </w:pPr>
      <w:bookmarkStart w:id="0" w:name="_GoBack"/>
      <w:r>
        <w:rPr>
          <w:rFonts w:cs="Times New Roman"/>
          <w:b/>
          <w:bCs/>
          <w:sz w:val="28"/>
          <w:szCs w:val="28"/>
        </w:rPr>
        <w:t>Clearing Guid</w:t>
      </w:r>
      <w:r>
        <w:rPr>
          <w:rFonts w:cs="Times New Roman" w:hint="eastAsia"/>
          <w:b/>
          <w:bCs/>
          <w:sz w:val="28"/>
          <w:szCs w:val="28"/>
        </w:rPr>
        <w:t xml:space="preserve">elines for </w:t>
      </w:r>
      <w:r>
        <w:rPr>
          <w:rFonts w:cs="Times New Roman"/>
          <w:b/>
          <w:bCs/>
          <w:sz w:val="28"/>
          <w:szCs w:val="28"/>
        </w:rPr>
        <w:t>Member</w:t>
      </w:r>
      <w:r>
        <w:rPr>
          <w:rFonts w:cs="Times New Roman" w:hint="eastAsia"/>
          <w:b/>
          <w:bCs/>
          <w:sz w:val="28"/>
          <w:szCs w:val="28"/>
        </w:rPr>
        <w:t>s of the Shanghai Futures Exchange</w:t>
      </w:r>
    </w:p>
    <w:bookmarkEnd w:id="0"/>
    <w:p w14:paraId="7C814044" w14:textId="7541D80D" w:rsidR="00C205D7" w:rsidRDefault="00AE18FA">
      <w:pPr>
        <w:snapToGrid w:val="0"/>
        <w:spacing w:afterLines="100" w:after="240"/>
        <w:jc w:val="center"/>
      </w:pPr>
      <w:r>
        <w:t>(March,</w:t>
      </w:r>
      <w:r>
        <w:rPr>
          <w:rFonts w:hint="eastAsia"/>
        </w:rPr>
        <w:t xml:space="preserve"> 2026</w:t>
      </w:r>
      <w:r>
        <w:t>)</w:t>
      </w:r>
    </w:p>
    <w:p w14:paraId="058B769B" w14:textId="77777777" w:rsidR="00C205D7" w:rsidRDefault="00C205D7">
      <w:pPr>
        <w:snapToGrid w:val="0"/>
        <w:spacing w:afterLines="100" w:after="240"/>
      </w:pPr>
    </w:p>
    <w:p w14:paraId="5251BC33" w14:textId="6C384D91" w:rsidR="00C205D7" w:rsidRDefault="00AE18FA">
      <w:pPr>
        <w:snapToGrid w:val="0"/>
        <w:spacing w:afterLines="100" w:after="240"/>
      </w:pPr>
      <w:r>
        <w:t>Th</w:t>
      </w:r>
      <w:r>
        <w:rPr>
          <w:rFonts w:hint="eastAsia"/>
        </w:rPr>
        <w:t xml:space="preserve">ese </w:t>
      </w:r>
      <w:r>
        <w:t>Guidelines</w:t>
      </w:r>
      <w:r>
        <w:rPr>
          <w:rFonts w:hint="eastAsia"/>
        </w:rPr>
        <w:t xml:space="preserve"> are</w:t>
      </w:r>
      <w:r>
        <w:t xml:space="preserve"> </w:t>
      </w:r>
      <w:r>
        <w:rPr>
          <w:rFonts w:hint="eastAsia"/>
        </w:rPr>
        <w:t>formulated</w:t>
      </w:r>
      <w:r>
        <w:t xml:space="preserve"> in accordance with Announcement [2015] No. 19 of the People’s Bank of China, Huifa [2015] No. 35 of the State Administration of Foreign Exchange</w:t>
      </w:r>
      <w:r>
        <w:rPr>
          <w:rFonts w:hint="eastAsia"/>
        </w:rPr>
        <w:t xml:space="preserve"> (</w:t>
      </w:r>
      <w:r>
        <w:t>“</w:t>
      </w:r>
      <w:r>
        <w:rPr>
          <w:b/>
          <w:bCs/>
        </w:rPr>
        <w:t>SAFE</w:t>
      </w:r>
      <w:r>
        <w:t>”</w:t>
      </w:r>
      <w:r>
        <w:rPr>
          <w:rFonts w:hint="eastAsia"/>
        </w:rPr>
        <w:t>)</w:t>
      </w:r>
      <w:r>
        <w:t>, and the rules of the Shanghai Futures Exchange (“</w:t>
      </w:r>
      <w:r>
        <w:rPr>
          <w:b/>
          <w:bCs/>
        </w:rPr>
        <w:t>SHFE</w:t>
      </w:r>
      <w:r>
        <w:t xml:space="preserve">”) including the </w:t>
      </w:r>
      <w:r>
        <w:rPr>
          <w:i/>
          <w:iCs/>
        </w:rPr>
        <w:t xml:space="preserve">General Exchange Rules of the Shanghai </w:t>
      </w:r>
      <w:r>
        <w:rPr>
          <w:rFonts w:hint="eastAsia"/>
          <w:i/>
          <w:iCs/>
        </w:rPr>
        <w:t>Futures</w:t>
      </w:r>
      <w:r>
        <w:rPr>
          <w:i/>
          <w:iCs/>
        </w:rPr>
        <w:t xml:space="preserve"> Exchange</w:t>
      </w:r>
      <w:r>
        <w:t xml:space="preserve">, </w:t>
      </w:r>
      <w:r>
        <w:rPr>
          <w:rFonts w:hint="eastAsia"/>
        </w:rPr>
        <w:t xml:space="preserve">the </w:t>
      </w:r>
      <w:r>
        <w:rPr>
          <w:i/>
          <w:iCs/>
        </w:rPr>
        <w:t>Clearing Rules of the Shanghai Futures Exchange</w:t>
      </w:r>
      <w:r>
        <w:t xml:space="preserve">, </w:t>
      </w:r>
      <w:r>
        <w:rPr>
          <w:rFonts w:hint="eastAsia"/>
        </w:rPr>
        <w:t xml:space="preserve">the </w:t>
      </w:r>
      <w:r>
        <w:rPr>
          <w:i/>
          <w:iCs/>
        </w:rPr>
        <w:t>Membership Management Rules of the Shanghai Futures Exchange</w:t>
      </w:r>
      <w:r>
        <w:t>, and</w:t>
      </w:r>
      <w:r>
        <w:rPr>
          <w:rFonts w:hint="eastAsia"/>
        </w:rPr>
        <w:t xml:space="preserve"> the</w:t>
      </w:r>
      <w:r>
        <w:t xml:space="preserve"> </w:t>
      </w:r>
      <w:r>
        <w:rPr>
          <w:i/>
          <w:iCs/>
        </w:rPr>
        <w:t>Overseas Special Participants Management Rules of the Shanghai Futures Exchange</w:t>
      </w:r>
      <w:r>
        <w:t xml:space="preserve"> to further clarify the various requirements under SHFE rules and help </w:t>
      </w:r>
      <w:r>
        <w:rPr>
          <w:rFonts w:hint="eastAsia"/>
        </w:rPr>
        <w:t xml:space="preserve">Futures Firm </w:t>
      </w:r>
      <w:r>
        <w:t>Members</w:t>
      </w:r>
      <w:r>
        <w:rPr>
          <w:rFonts w:hint="eastAsia"/>
        </w:rPr>
        <w:t xml:space="preserve"> (</w:t>
      </w:r>
      <w:r>
        <w:t>“</w:t>
      </w:r>
      <w:r>
        <w:rPr>
          <w:b/>
          <w:bCs/>
        </w:rPr>
        <w:t>Members</w:t>
      </w:r>
      <w:r>
        <w:t>”</w:t>
      </w:r>
      <w:r>
        <w:rPr>
          <w:rFonts w:hint="eastAsia"/>
        </w:rPr>
        <w:t>)</w:t>
      </w:r>
      <w:r>
        <w:t xml:space="preserve"> complete the relevant processes.</w:t>
      </w:r>
    </w:p>
    <w:p w14:paraId="24ADCA98" w14:textId="77777777" w:rsidR="00C205D7" w:rsidRDefault="00C205D7">
      <w:pPr>
        <w:snapToGrid w:val="0"/>
        <w:spacing w:afterLines="100" w:after="240"/>
      </w:pPr>
    </w:p>
    <w:p w14:paraId="3A41E96F" w14:textId="77777777" w:rsidR="00C205D7" w:rsidRDefault="00AE18FA">
      <w:pPr>
        <w:snapToGrid w:val="0"/>
        <w:spacing w:afterLines="100" w:after="240"/>
        <w:rPr>
          <w:b/>
          <w:bCs/>
        </w:rPr>
      </w:pPr>
      <w:r>
        <w:rPr>
          <w:b/>
          <w:bCs/>
        </w:rPr>
        <w:t>I.</w:t>
      </w:r>
      <w:r>
        <w:rPr>
          <w:b/>
          <w:bCs/>
        </w:rPr>
        <w:tab/>
        <w:t>Account Management</w:t>
      </w:r>
    </w:p>
    <w:p w14:paraId="0DA5145B" w14:textId="77777777" w:rsidR="00C205D7" w:rsidRDefault="00AE18FA">
      <w:pPr>
        <w:snapToGrid w:val="0"/>
        <w:spacing w:afterLines="100" w:after="240"/>
        <w:ind w:left="450" w:hanging="450"/>
      </w:pPr>
      <w:r>
        <w:t>1.</w:t>
      </w:r>
      <w:r>
        <w:tab/>
        <w:t>A Member should, in view of its needs and with the notice issued by the SHFE Clearing Department, open RMB or FX dedicated fund accounts at the Designated Branch of a Designated Depository Bank at where SHFE is located.</w:t>
      </w:r>
    </w:p>
    <w:p w14:paraId="110A900C" w14:textId="77777777" w:rsidR="00C205D7" w:rsidRDefault="00AE18FA">
      <w:pPr>
        <w:snapToGrid w:val="0"/>
        <w:spacing w:afterLines="100" w:after="240"/>
        <w:ind w:left="450" w:hanging="450"/>
      </w:pPr>
      <w:r>
        <w:t>2.</w:t>
      </w:r>
      <w:r>
        <w:tab/>
        <w:t xml:space="preserve">Each </w:t>
      </w:r>
      <w:r>
        <w:rPr>
          <w:rFonts w:hint="eastAsia"/>
        </w:rPr>
        <w:t>domestic</w:t>
      </w:r>
      <w:r>
        <w:t xml:space="preserve"> client of a Member </w:t>
      </w:r>
      <w:r>
        <w:rPr>
          <w:rFonts w:hint="eastAsia"/>
        </w:rPr>
        <w:t>shall</w:t>
      </w:r>
      <w:r>
        <w:t xml:space="preserve"> open an RMB dedicated futures settlement account at a Designated Depository Bank of SHFE.</w:t>
      </w:r>
    </w:p>
    <w:p w14:paraId="5D44DD8C" w14:textId="159048E0" w:rsidR="00C205D7" w:rsidRDefault="00AE18FA">
      <w:pPr>
        <w:snapToGrid w:val="0"/>
        <w:spacing w:afterLines="100" w:after="240"/>
        <w:ind w:left="450" w:hanging="450"/>
      </w:pPr>
      <w:r>
        <w:t>3.</w:t>
      </w:r>
      <w:r>
        <w:tab/>
        <w:t>Overseas clients of Members, Overseas Special Participants (“</w:t>
      </w:r>
      <w:r>
        <w:rPr>
          <w:b/>
          <w:bCs/>
        </w:rPr>
        <w:t>OSPs</w:t>
      </w:r>
      <w:r>
        <w:t xml:space="preserve">”) that </w:t>
      </w:r>
      <w:r>
        <w:rPr>
          <w:rFonts w:hint="eastAsia"/>
        </w:rPr>
        <w:t>authorize</w:t>
      </w:r>
      <w:r>
        <w:t xml:space="preserve"> Members</w:t>
      </w:r>
      <w:r>
        <w:rPr>
          <w:rFonts w:hint="eastAsia"/>
        </w:rPr>
        <w:t xml:space="preserve"> to conduct clearing</w:t>
      </w:r>
      <w:r>
        <w:t xml:space="preserve">, and Overseas Intermediaries that </w:t>
      </w:r>
      <w:r>
        <w:rPr>
          <w:rFonts w:hint="eastAsia"/>
        </w:rPr>
        <w:t>authorize</w:t>
      </w:r>
      <w:r>
        <w:t xml:space="preserve"> Members </w:t>
      </w:r>
      <w:r>
        <w:rPr>
          <w:rFonts w:hint="eastAsia"/>
        </w:rPr>
        <w:t>to conduct trading and clearing shall</w:t>
      </w:r>
      <w:r>
        <w:t xml:space="preserve"> open dedicated futures settlement accounts in the relevant currencies at the Designated Depository Banks of SHFE with the </w:t>
      </w:r>
      <w:r>
        <w:rPr>
          <w:rFonts w:hint="eastAsia"/>
        </w:rPr>
        <w:t xml:space="preserve">authorized </w:t>
      </w:r>
      <w:r>
        <w:t xml:space="preserve">clearing agreement or futures brokerage contract executed with the Members as well as the account-opening materials required by the Designated Depository Banks (See </w:t>
      </w:r>
      <w:r>
        <w:rPr>
          <w:rFonts w:hint="eastAsia"/>
        </w:rPr>
        <w:t>Annex</w:t>
      </w:r>
      <w:r>
        <w:t xml:space="preserve"> 1 for the list of account types).</w:t>
      </w:r>
    </w:p>
    <w:p w14:paraId="35F41EC0" w14:textId="3EB79B8B" w:rsidR="00C205D7" w:rsidRDefault="00AE18FA">
      <w:pPr>
        <w:snapToGrid w:val="0"/>
        <w:spacing w:afterLines="100" w:after="240"/>
        <w:ind w:left="450" w:hanging="450"/>
      </w:pPr>
      <w:r>
        <w:t>4.</w:t>
      </w:r>
      <w:r>
        <w:tab/>
        <w:t>Members should help OSPs,</w:t>
      </w:r>
      <w:r>
        <w:rPr>
          <w:rFonts w:hint="eastAsia"/>
        </w:rPr>
        <w:t xml:space="preserve"> </w:t>
      </w:r>
      <w:r>
        <w:t xml:space="preserve">Overseas Intermediaries </w:t>
      </w:r>
      <w:r>
        <w:rPr>
          <w:rFonts w:hint="eastAsia"/>
        </w:rPr>
        <w:t xml:space="preserve">and </w:t>
      </w:r>
      <w:r>
        <w:t>overseas clients open dedicated futures settlement accounts.</w:t>
      </w:r>
    </w:p>
    <w:p w14:paraId="714C6BE3" w14:textId="77777777" w:rsidR="00C205D7" w:rsidRDefault="00C205D7">
      <w:pPr>
        <w:snapToGrid w:val="0"/>
        <w:spacing w:afterLines="100" w:after="240"/>
      </w:pPr>
    </w:p>
    <w:p w14:paraId="1BD3CFE3" w14:textId="77777777" w:rsidR="00C205D7" w:rsidRDefault="00AE18FA">
      <w:pPr>
        <w:snapToGrid w:val="0"/>
        <w:spacing w:afterLines="100" w:after="240"/>
        <w:rPr>
          <w:b/>
          <w:bCs/>
        </w:rPr>
      </w:pPr>
      <w:r>
        <w:rPr>
          <w:b/>
          <w:bCs/>
        </w:rPr>
        <w:t>II.</w:t>
      </w:r>
      <w:r>
        <w:rPr>
          <w:b/>
          <w:bCs/>
        </w:rPr>
        <w:tab/>
        <w:t>Funds Deposits and Withdrawals</w:t>
      </w:r>
    </w:p>
    <w:p w14:paraId="27DB0B03" w14:textId="24D70A00" w:rsidR="00C205D7" w:rsidRDefault="00AE18FA">
      <w:pPr>
        <w:snapToGrid w:val="0"/>
        <w:spacing w:afterLines="100" w:after="240"/>
        <w:ind w:left="450" w:hanging="450"/>
      </w:pPr>
      <w:r>
        <w:t>1.</w:t>
      </w:r>
      <w:r>
        <w:tab/>
        <w:t xml:space="preserve">Overseas clients of Members, OSPs that </w:t>
      </w:r>
      <w:r>
        <w:rPr>
          <w:rFonts w:hint="eastAsia"/>
        </w:rPr>
        <w:t>authorize</w:t>
      </w:r>
      <w:r>
        <w:t xml:space="preserve"> Members</w:t>
      </w:r>
      <w:r>
        <w:rPr>
          <w:rFonts w:hint="eastAsia"/>
        </w:rPr>
        <w:t xml:space="preserve"> to conduct clearing</w:t>
      </w:r>
      <w:r>
        <w:t>, and Overseas Intermediaries should deposit and withdraw foreign currencies through the Bank-Futures Funds Transfer System.</w:t>
      </w:r>
    </w:p>
    <w:p w14:paraId="194239E0" w14:textId="77777777" w:rsidR="00C205D7" w:rsidRDefault="00AE18FA">
      <w:pPr>
        <w:snapToGrid w:val="0"/>
        <w:spacing w:afterLines="100" w:after="240"/>
        <w:ind w:left="450" w:hanging="450"/>
      </w:pPr>
      <w:r>
        <w:t>2.</w:t>
      </w:r>
      <w:r>
        <w:tab/>
        <w:t xml:space="preserve">Members </w:t>
      </w:r>
      <w:r>
        <w:rPr>
          <w:rFonts w:hint="eastAsia"/>
        </w:rPr>
        <w:t>shall</w:t>
      </w:r>
      <w:r>
        <w:t xml:space="preserve"> request for the deposit and withdrawal of foreign currencies through the Deposits/Withdrawals menu of the Member Service System.</w:t>
      </w:r>
    </w:p>
    <w:p w14:paraId="1CB2FA4E" w14:textId="77777777" w:rsidR="00C205D7" w:rsidRDefault="00AE18FA">
      <w:pPr>
        <w:snapToGrid w:val="0"/>
        <w:spacing w:afterLines="100" w:after="240"/>
        <w:ind w:left="450" w:hanging="450"/>
      </w:pPr>
      <w:r>
        <w:lastRenderedPageBreak/>
        <w:t>3.</w:t>
      </w:r>
      <w:r>
        <w:tab/>
        <w:t xml:space="preserve">No funds withdrawals are processed during the trading hours. </w:t>
      </w:r>
    </w:p>
    <w:p w14:paraId="19393118" w14:textId="77777777" w:rsidR="00C205D7" w:rsidRDefault="00C205D7">
      <w:pPr>
        <w:snapToGrid w:val="0"/>
        <w:spacing w:afterLines="100" w:after="240"/>
      </w:pPr>
    </w:p>
    <w:p w14:paraId="421D2662" w14:textId="77777777" w:rsidR="00C205D7" w:rsidRDefault="00AE18FA">
      <w:pPr>
        <w:snapToGrid w:val="0"/>
        <w:spacing w:afterLines="100" w:after="240"/>
        <w:rPr>
          <w:b/>
          <w:bCs/>
        </w:rPr>
      </w:pPr>
      <w:r>
        <w:rPr>
          <w:b/>
          <w:bCs/>
        </w:rPr>
        <w:t>III.</w:t>
      </w:r>
      <w:r>
        <w:rPr>
          <w:b/>
          <w:bCs/>
        </w:rPr>
        <w:tab/>
        <w:t xml:space="preserve">Foreign </w:t>
      </w:r>
      <w:r>
        <w:rPr>
          <w:rFonts w:hint="eastAsia"/>
          <w:b/>
          <w:bCs/>
        </w:rPr>
        <w:t xml:space="preserve">Exchange Settlement </w:t>
      </w:r>
      <w:r>
        <w:rPr>
          <w:b/>
          <w:bCs/>
        </w:rPr>
        <w:t xml:space="preserve">and Purchase </w:t>
      </w:r>
    </w:p>
    <w:p w14:paraId="73564E12" w14:textId="77777777" w:rsidR="00C205D7" w:rsidRDefault="00AE18FA">
      <w:pPr>
        <w:snapToGrid w:val="0"/>
        <w:spacing w:afterLines="100" w:after="240"/>
        <w:ind w:left="450" w:hanging="450"/>
      </w:pPr>
      <w:r>
        <w:t>1.</w:t>
      </w:r>
      <w:r>
        <w:tab/>
      </w:r>
      <w:r>
        <w:rPr>
          <w:rFonts w:hint="eastAsia"/>
        </w:rPr>
        <w:t>Foreign exchange (</w:t>
      </w:r>
      <w:r>
        <w:t>“</w:t>
      </w:r>
      <w:r>
        <w:rPr>
          <w:b/>
          <w:bCs/>
        </w:rPr>
        <w:t>FX</w:t>
      </w:r>
      <w:r>
        <w:t>”</w:t>
      </w:r>
      <w:r>
        <w:rPr>
          <w:rFonts w:hint="eastAsia"/>
        </w:rPr>
        <w:t xml:space="preserve">) settlement </w:t>
      </w:r>
      <w:r>
        <w:t xml:space="preserve">and </w:t>
      </w:r>
      <w:r>
        <w:rPr>
          <w:rFonts w:hint="eastAsia"/>
        </w:rPr>
        <w:t>p</w:t>
      </w:r>
      <w:r>
        <w:t>urchase are available only to the dedicated margin accounts opened by Members at Designated Depository Banks. No foreign exchange can be made through the Dedicated Futures Settlement Accounts opened by OSPs, Overseas Intermediaries</w:t>
      </w:r>
      <w:r>
        <w:rPr>
          <w:rFonts w:hint="eastAsia"/>
        </w:rPr>
        <w:t xml:space="preserve"> </w:t>
      </w:r>
      <w:r>
        <w:t>and</w:t>
      </w:r>
      <w:r>
        <w:rPr>
          <w:rFonts w:hint="eastAsia"/>
        </w:rPr>
        <w:t xml:space="preserve"> </w:t>
      </w:r>
      <w:r>
        <w:t>overseas clients.</w:t>
      </w:r>
    </w:p>
    <w:p w14:paraId="50FE0BE3" w14:textId="77777777" w:rsidR="00C205D7" w:rsidRDefault="00AE18FA">
      <w:pPr>
        <w:snapToGrid w:val="0"/>
        <w:spacing w:afterLines="100" w:after="240"/>
        <w:ind w:left="450" w:hanging="450"/>
      </w:pPr>
      <w:r>
        <w:t>2.</w:t>
      </w:r>
      <w:r>
        <w:tab/>
      </w:r>
      <w:r>
        <w:rPr>
          <w:rFonts w:hint="eastAsia"/>
        </w:rPr>
        <w:t>FX settlement and purchase</w:t>
      </w:r>
      <w:r>
        <w:t xml:space="preserve"> </w:t>
      </w:r>
      <w:r>
        <w:rPr>
          <w:rFonts w:hint="eastAsia"/>
        </w:rPr>
        <w:t xml:space="preserve">shall </w:t>
      </w:r>
      <w:r>
        <w:t xml:space="preserve">be </w:t>
      </w:r>
      <w:r>
        <w:rPr>
          <w:rFonts w:hint="eastAsia"/>
        </w:rPr>
        <w:t xml:space="preserve">conducted in accordance with the results of </w:t>
      </w:r>
      <w:r>
        <w:t xml:space="preserve">day-end clearing </w:t>
      </w:r>
      <w:r>
        <w:rPr>
          <w:rFonts w:hint="eastAsia"/>
        </w:rPr>
        <w:t xml:space="preserve">with respect </w:t>
      </w:r>
      <w:r>
        <w:t xml:space="preserve">to the </w:t>
      </w:r>
      <w:r>
        <w:rPr>
          <w:rFonts w:hint="eastAsia"/>
        </w:rPr>
        <w:t>S</w:t>
      </w:r>
      <w:r>
        <w:t xml:space="preserve">pecified </w:t>
      </w:r>
      <w:r>
        <w:rPr>
          <w:rFonts w:hint="eastAsia"/>
        </w:rPr>
        <w:t>D</w:t>
      </w:r>
      <w:r>
        <w:t xml:space="preserve">omestic </w:t>
      </w:r>
      <w:r>
        <w:rPr>
          <w:rFonts w:hint="eastAsia"/>
        </w:rPr>
        <w:t>P</w:t>
      </w:r>
      <w:r>
        <w:t>roducts, such as the profit or loss from futures trading, the transaction fees paid, delivery payments, and funding gap in the clearing currency.</w:t>
      </w:r>
    </w:p>
    <w:p w14:paraId="3D1AED57" w14:textId="77777777" w:rsidR="00C205D7" w:rsidRDefault="00AE18FA">
      <w:pPr>
        <w:snapToGrid w:val="0"/>
        <w:spacing w:afterLines="100" w:after="240"/>
        <w:ind w:left="450" w:hanging="450"/>
      </w:pPr>
      <w:r>
        <w:t>3.</w:t>
      </w:r>
      <w:r>
        <w:tab/>
        <w:t xml:space="preserve">A Member </w:t>
      </w:r>
      <w:r>
        <w:rPr>
          <w:rFonts w:hint="eastAsia"/>
        </w:rPr>
        <w:t>shall</w:t>
      </w:r>
      <w:r>
        <w:t xml:space="preserve"> specify, in its </w:t>
      </w:r>
      <w:r>
        <w:rPr>
          <w:rFonts w:hint="eastAsia"/>
        </w:rPr>
        <w:t xml:space="preserve">authorized </w:t>
      </w:r>
      <w:r>
        <w:t xml:space="preserve">clearing agreement or futures brokerage contract with an OSP or Overseas Intermediary, whether </w:t>
      </w:r>
      <w:r>
        <w:rPr>
          <w:rFonts w:hint="eastAsia"/>
        </w:rPr>
        <w:t>FX settlement and purchase</w:t>
      </w:r>
      <w:r>
        <w:t xml:space="preserve"> is to be performed in relation to the profit from day-end clearing. Please note that the currency into which profit will be exchanged may only be changed once every six months at the shortest.</w:t>
      </w:r>
    </w:p>
    <w:p w14:paraId="4D0FEF55" w14:textId="77777777" w:rsidR="00C205D7" w:rsidRDefault="00C205D7">
      <w:pPr>
        <w:snapToGrid w:val="0"/>
        <w:spacing w:afterLines="100" w:after="240"/>
      </w:pPr>
    </w:p>
    <w:p w14:paraId="775D69B7" w14:textId="77777777" w:rsidR="00C205D7" w:rsidRDefault="00AE18FA">
      <w:pPr>
        <w:snapToGrid w:val="0"/>
        <w:spacing w:afterLines="100" w:after="240"/>
        <w:rPr>
          <w:b/>
          <w:bCs/>
        </w:rPr>
      </w:pPr>
      <w:r>
        <w:rPr>
          <w:b/>
          <w:bCs/>
        </w:rPr>
        <w:t>IV.</w:t>
      </w:r>
      <w:r>
        <w:rPr>
          <w:b/>
          <w:bCs/>
        </w:rPr>
        <w:tab/>
        <w:t>Assets Used as Margin Collaterals</w:t>
      </w:r>
    </w:p>
    <w:p w14:paraId="55AD8984" w14:textId="77777777" w:rsidR="00C205D7" w:rsidRDefault="00AE18FA">
      <w:pPr>
        <w:snapToGrid w:val="0"/>
        <w:spacing w:afterLines="100" w:after="240"/>
        <w:ind w:left="450" w:hanging="450"/>
      </w:pPr>
      <w:r>
        <w:t>1.</w:t>
      </w:r>
      <w:r>
        <w:tab/>
        <w:t xml:space="preserve">To post assets as margin, the </w:t>
      </w:r>
      <w:r>
        <w:rPr>
          <w:rFonts w:hint="eastAsia"/>
        </w:rPr>
        <w:t xml:space="preserve">asset </w:t>
      </w:r>
      <w:r>
        <w:t xml:space="preserve">owner should authorize its Member to submit </w:t>
      </w:r>
      <w:r>
        <w:rPr>
          <w:rFonts w:hint="eastAsia"/>
        </w:rPr>
        <w:t>a corresponding</w:t>
      </w:r>
      <w:r>
        <w:t xml:space="preserve"> application to SHFE.</w:t>
      </w:r>
    </w:p>
    <w:p w14:paraId="7D81667D" w14:textId="794FDAEB" w:rsidR="00C205D7" w:rsidRDefault="00AE18FA">
      <w:pPr>
        <w:snapToGrid w:val="0"/>
        <w:spacing w:afterLines="100" w:after="240"/>
        <w:ind w:left="450" w:hanging="450"/>
      </w:pPr>
      <w:r>
        <w:t>2.</w:t>
      </w:r>
      <w:r>
        <w:tab/>
        <w:t xml:space="preserve">If a foreign currency is posted as margin, the </w:t>
      </w:r>
      <w:r>
        <w:rPr>
          <w:rFonts w:hint="eastAsia"/>
        </w:rPr>
        <w:t xml:space="preserve">resulting </w:t>
      </w:r>
      <w:r>
        <w:t xml:space="preserve">available </w:t>
      </w:r>
      <w:r>
        <w:rPr>
          <w:rFonts w:hint="eastAsia"/>
        </w:rPr>
        <w:t>balance is</w:t>
      </w:r>
      <w:r>
        <w:t xml:space="preserve"> </w:t>
      </w:r>
      <w:r>
        <w:rPr>
          <w:rFonts w:hint="eastAsia"/>
        </w:rPr>
        <w:t xml:space="preserve">calculated by multiplying </w:t>
      </w:r>
      <w:r>
        <w:t xml:space="preserve">the exchange rate </w:t>
      </w:r>
      <w:r>
        <w:rPr>
          <w:rFonts w:hint="eastAsia"/>
        </w:rPr>
        <w:t xml:space="preserve">and applying a haircut. </w:t>
      </w:r>
      <w:r>
        <w:t>T</w:t>
      </w:r>
      <w:r>
        <w:rPr>
          <w:rFonts w:hint="eastAsia"/>
        </w:rPr>
        <w:t xml:space="preserve">his </w:t>
      </w:r>
      <w:r>
        <w:t>“</w:t>
      </w:r>
      <w:r>
        <w:rPr>
          <w:rFonts w:hint="eastAsia"/>
        </w:rPr>
        <w:t>value after haircut</w:t>
      </w:r>
      <w:r>
        <w:t>”</w:t>
      </w:r>
      <w:r>
        <w:rPr>
          <w:rFonts w:hint="eastAsia"/>
        </w:rPr>
        <w:t xml:space="preserve"> </w:t>
      </w:r>
      <w:r>
        <w:t xml:space="preserve">is </w:t>
      </w:r>
      <w:r>
        <w:rPr>
          <w:rFonts w:hint="eastAsia"/>
        </w:rPr>
        <w:t xml:space="preserve">shown in </w:t>
      </w:r>
      <w:r>
        <w:t>the Member’s</w:t>
      </w:r>
      <w:r>
        <w:rPr>
          <w:rFonts w:hint="eastAsia"/>
        </w:rPr>
        <w:t xml:space="preserve"> account statement</w:t>
      </w:r>
      <w:r>
        <w:t xml:space="preserve">. The </w:t>
      </w:r>
      <w:r>
        <w:rPr>
          <w:rFonts w:hint="eastAsia"/>
        </w:rPr>
        <w:t>haircut is determined and adjusted by SHFE</w:t>
      </w:r>
      <w:r>
        <w:t>. The exchange rate is</w:t>
      </w:r>
      <w:r>
        <w:rPr>
          <w:rFonts w:hint="eastAsia"/>
        </w:rPr>
        <w:t xml:space="preserve"> based on </w:t>
      </w:r>
      <w:r>
        <w:t xml:space="preserve">the </w:t>
      </w:r>
      <w:r>
        <w:rPr>
          <w:rFonts w:hint="eastAsia"/>
        </w:rPr>
        <w:t xml:space="preserve">central parity </w:t>
      </w:r>
      <w:r>
        <w:t xml:space="preserve">rate </w:t>
      </w:r>
      <w:r>
        <w:rPr>
          <w:rFonts w:hint="eastAsia"/>
        </w:rPr>
        <w:t xml:space="preserve">published </w:t>
      </w:r>
      <w:r>
        <w:t xml:space="preserve">by </w:t>
      </w:r>
      <w:r>
        <w:rPr>
          <w:rFonts w:hint="eastAsia"/>
        </w:rPr>
        <w:t xml:space="preserve">the </w:t>
      </w:r>
      <w:r>
        <w:t xml:space="preserve">China Foreign Exchange Trade System </w:t>
      </w:r>
      <w:r>
        <w:rPr>
          <w:rFonts w:hint="eastAsia"/>
        </w:rPr>
        <w:t xml:space="preserve">(CFETS) </w:t>
      </w:r>
      <w:r>
        <w:t xml:space="preserve">on the day the </w:t>
      </w:r>
      <w:r>
        <w:rPr>
          <w:rFonts w:hint="eastAsia"/>
        </w:rPr>
        <w:t>currency conversion takes place</w:t>
      </w:r>
      <w:r>
        <w:t>.</w:t>
      </w:r>
    </w:p>
    <w:p w14:paraId="6845CBEF" w14:textId="77777777" w:rsidR="00C205D7" w:rsidRDefault="00C205D7">
      <w:pPr>
        <w:snapToGrid w:val="0"/>
        <w:spacing w:afterLines="100" w:after="240"/>
      </w:pPr>
    </w:p>
    <w:p w14:paraId="58AD79D9" w14:textId="77777777" w:rsidR="00C205D7" w:rsidRDefault="00AE18FA">
      <w:pPr>
        <w:snapToGrid w:val="0"/>
        <w:spacing w:afterLines="100" w:after="240"/>
        <w:rPr>
          <w:b/>
          <w:bCs/>
        </w:rPr>
      </w:pPr>
      <w:r>
        <w:rPr>
          <w:b/>
          <w:bCs/>
        </w:rPr>
        <w:t>V.</w:t>
      </w:r>
      <w:r>
        <w:rPr>
          <w:b/>
          <w:bCs/>
        </w:rPr>
        <w:tab/>
        <w:t>Day-End Clearing</w:t>
      </w:r>
    </w:p>
    <w:p w14:paraId="12285480" w14:textId="77777777" w:rsidR="00C205D7" w:rsidRDefault="00AE18FA">
      <w:pPr>
        <w:snapToGrid w:val="0"/>
        <w:spacing w:afterLines="100" w:after="240"/>
        <w:ind w:left="450" w:hanging="450"/>
      </w:pPr>
      <w:r>
        <w:t>1.</w:t>
      </w:r>
      <w:r>
        <w:tab/>
        <w:t xml:space="preserve">After </w:t>
      </w:r>
      <w:r>
        <w:rPr>
          <w:rFonts w:hint="eastAsia"/>
        </w:rPr>
        <w:t>day-end clearing</w:t>
      </w:r>
      <w:r>
        <w:t xml:space="preserve">, a Member who </w:t>
      </w:r>
      <w:r>
        <w:rPr>
          <w:rFonts w:hint="eastAsia"/>
        </w:rPr>
        <w:t>needs to conduct FX settlement and purchase</w:t>
      </w:r>
      <w:r>
        <w:t xml:space="preserve"> should first determine </w:t>
      </w:r>
      <w:r>
        <w:rPr>
          <w:rFonts w:hint="eastAsia"/>
        </w:rPr>
        <w:t xml:space="preserve">its exact </w:t>
      </w:r>
      <w:r>
        <w:t xml:space="preserve">amount </w:t>
      </w:r>
      <w:r>
        <w:rPr>
          <w:rFonts w:hint="eastAsia"/>
        </w:rPr>
        <w:t xml:space="preserve">based on </w:t>
      </w:r>
      <w:r>
        <w:t>the profit and loss of OSPs, Overseas Intermediaries</w:t>
      </w:r>
      <w:r>
        <w:rPr>
          <w:rFonts w:hint="eastAsia"/>
        </w:rPr>
        <w:t>,</w:t>
      </w:r>
      <w:r>
        <w:t xml:space="preserve"> and overseas clients, and then send the detailed </w:t>
      </w:r>
      <w:r>
        <w:rPr>
          <w:rFonts w:hint="eastAsia"/>
        </w:rPr>
        <w:t xml:space="preserve">figures </w:t>
      </w:r>
      <w:r>
        <w:t>to its Designated Depository Banks.</w:t>
      </w:r>
    </w:p>
    <w:p w14:paraId="303E5DBC" w14:textId="77777777" w:rsidR="00C205D7" w:rsidRDefault="00AE18FA">
      <w:pPr>
        <w:snapToGrid w:val="0"/>
        <w:spacing w:afterLines="100" w:after="240"/>
        <w:ind w:left="450" w:hanging="450"/>
      </w:pPr>
      <w:r>
        <w:t>2.</w:t>
      </w:r>
      <w:r>
        <w:tab/>
        <w:t xml:space="preserve">Designated Depository Banks should complete </w:t>
      </w:r>
      <w:r>
        <w:rPr>
          <w:rFonts w:hint="eastAsia"/>
        </w:rPr>
        <w:t>FX settlement and purchase</w:t>
      </w:r>
      <w:r>
        <w:t xml:space="preserve"> </w:t>
      </w:r>
      <w:r>
        <w:rPr>
          <w:rFonts w:hint="eastAsia"/>
        </w:rPr>
        <w:t>based on the figures provided by the Member</w:t>
      </w:r>
      <w:r>
        <w:t xml:space="preserve">, and </w:t>
      </w:r>
      <w:r>
        <w:rPr>
          <w:rFonts w:hint="eastAsia"/>
        </w:rPr>
        <w:t>update</w:t>
      </w:r>
      <w:r>
        <w:t xml:space="preserve"> the balances of </w:t>
      </w:r>
      <w:r>
        <w:rPr>
          <w:rFonts w:hint="eastAsia"/>
        </w:rPr>
        <w:t>the Member</w:t>
      </w:r>
      <w:r>
        <w:t>’</w:t>
      </w:r>
      <w:r>
        <w:rPr>
          <w:rFonts w:hint="eastAsia"/>
        </w:rPr>
        <w:t xml:space="preserve">s </w:t>
      </w:r>
      <w:r>
        <w:t xml:space="preserve">FX and RMB dedicated </w:t>
      </w:r>
      <w:r>
        <w:rPr>
          <w:rFonts w:hint="eastAsia"/>
        </w:rPr>
        <w:t>margin</w:t>
      </w:r>
      <w:r>
        <w:t xml:space="preserve"> accounts</w:t>
      </w:r>
      <w:r>
        <w:rPr>
          <w:rFonts w:hint="eastAsia"/>
        </w:rPr>
        <w:t xml:space="preserve"> accordingly</w:t>
      </w:r>
      <w:r>
        <w:t>.</w:t>
      </w:r>
    </w:p>
    <w:p w14:paraId="639EC7B7" w14:textId="77777777" w:rsidR="00C205D7" w:rsidRDefault="00AE18FA">
      <w:pPr>
        <w:snapToGrid w:val="0"/>
        <w:spacing w:afterLines="100" w:after="240"/>
        <w:ind w:left="450" w:hanging="450"/>
      </w:pPr>
      <w:r>
        <w:lastRenderedPageBreak/>
        <w:t>3.</w:t>
      </w:r>
      <w:r>
        <w:tab/>
      </w:r>
      <w:r>
        <w:rPr>
          <w:rFonts w:hint="eastAsia"/>
        </w:rPr>
        <w:t xml:space="preserve">A Member should update the account balances of </w:t>
      </w:r>
      <w:r>
        <w:t>OSPs, Overseas Intermediaries</w:t>
      </w:r>
      <w:r>
        <w:rPr>
          <w:rFonts w:hint="eastAsia"/>
        </w:rPr>
        <w:t>,</w:t>
      </w:r>
      <w:r>
        <w:t xml:space="preserve"> and overseas clients</w:t>
      </w:r>
      <w:r>
        <w:rPr>
          <w:rFonts w:hint="eastAsia"/>
        </w:rPr>
        <w:t xml:space="preserve"> only after it receives the responses from </w:t>
      </w:r>
      <w:r>
        <w:t xml:space="preserve">Designated Depository Banks.  </w:t>
      </w:r>
    </w:p>
    <w:p w14:paraId="5D60B030" w14:textId="77777777" w:rsidR="00C205D7" w:rsidRDefault="00C205D7">
      <w:pPr>
        <w:snapToGrid w:val="0"/>
        <w:spacing w:afterLines="100" w:after="240"/>
      </w:pPr>
    </w:p>
    <w:p w14:paraId="6154132D" w14:textId="77777777" w:rsidR="00C205D7" w:rsidRDefault="00AE18FA">
      <w:pPr>
        <w:snapToGrid w:val="0"/>
        <w:spacing w:afterLines="100" w:after="240"/>
        <w:rPr>
          <w:b/>
          <w:bCs/>
        </w:rPr>
      </w:pPr>
      <w:r>
        <w:rPr>
          <w:b/>
          <w:bCs/>
        </w:rPr>
        <w:t>VI.</w:t>
      </w:r>
      <w:r>
        <w:rPr>
          <w:b/>
          <w:bCs/>
        </w:rPr>
        <w:tab/>
        <w:t>Filing of Authorized Clearing</w:t>
      </w:r>
      <w:r>
        <w:rPr>
          <w:rFonts w:hint="eastAsia"/>
          <w:b/>
          <w:bCs/>
        </w:rPr>
        <w:t xml:space="preserve"> Relationship</w:t>
      </w:r>
    </w:p>
    <w:p w14:paraId="71709B35" w14:textId="77777777" w:rsidR="00C205D7" w:rsidRDefault="00AE18FA">
      <w:pPr>
        <w:snapToGrid w:val="0"/>
        <w:spacing w:afterLines="100" w:after="240"/>
        <w:ind w:left="450" w:hanging="450"/>
      </w:pPr>
      <w:r>
        <w:t>1.</w:t>
      </w:r>
      <w:r>
        <w:tab/>
        <w:t xml:space="preserve">See the </w:t>
      </w:r>
      <w:r>
        <w:rPr>
          <w:i/>
          <w:iCs/>
        </w:rPr>
        <w:t xml:space="preserve">Procedures for </w:t>
      </w:r>
      <w:r>
        <w:rPr>
          <w:rFonts w:hint="eastAsia"/>
          <w:i/>
          <w:iCs/>
        </w:rPr>
        <w:t xml:space="preserve">Filing </w:t>
      </w:r>
      <w:r>
        <w:rPr>
          <w:i/>
          <w:iCs/>
        </w:rPr>
        <w:t xml:space="preserve">Authorized Clearing </w:t>
      </w:r>
      <w:r>
        <w:rPr>
          <w:rFonts w:hint="eastAsia"/>
          <w:i/>
          <w:iCs/>
        </w:rPr>
        <w:t xml:space="preserve">Relationship </w:t>
      </w:r>
      <w:r>
        <w:t>(See</w:t>
      </w:r>
      <w:r>
        <w:rPr>
          <w:rFonts w:hint="eastAsia"/>
        </w:rPr>
        <w:t xml:space="preserve"> </w:t>
      </w:r>
      <w:r>
        <w:t xml:space="preserve"> </w:t>
      </w:r>
      <w:r>
        <w:rPr>
          <w:rFonts w:hint="eastAsia"/>
        </w:rPr>
        <w:t>Annex</w:t>
      </w:r>
      <w:r>
        <w:t xml:space="preserve"> 2)</w:t>
      </w:r>
      <w:r>
        <w:rPr>
          <w:rFonts w:hint="eastAsia"/>
        </w:rPr>
        <w:t xml:space="preserve"> </w:t>
      </w:r>
      <w:r>
        <w:t xml:space="preserve">for the </w:t>
      </w:r>
      <w:r>
        <w:rPr>
          <w:rFonts w:hint="eastAsia"/>
        </w:rPr>
        <w:t xml:space="preserve">filing </w:t>
      </w:r>
      <w:r>
        <w:t>requirements.</w:t>
      </w:r>
    </w:p>
    <w:p w14:paraId="07FF35BF" w14:textId="078E508D" w:rsidR="00C205D7" w:rsidRDefault="00AE18FA">
      <w:pPr>
        <w:snapToGrid w:val="0"/>
        <w:spacing w:afterLines="100" w:after="240"/>
        <w:ind w:left="450" w:hanging="450"/>
      </w:pPr>
      <w:r>
        <w:t>2.</w:t>
      </w:r>
      <w:r>
        <w:tab/>
      </w:r>
      <w:r>
        <w:rPr>
          <w:rFonts w:hint="eastAsia"/>
        </w:rPr>
        <w:t>During</w:t>
      </w:r>
      <w:r>
        <w:t xml:space="preserve"> day-end </w:t>
      </w:r>
      <w:r>
        <w:rPr>
          <w:rFonts w:hint="eastAsia"/>
        </w:rPr>
        <w:t>clearing</w:t>
      </w:r>
      <w:r>
        <w:t xml:space="preserve">, </w:t>
      </w:r>
      <w:r>
        <w:rPr>
          <w:rFonts w:hint="eastAsia"/>
        </w:rPr>
        <w:t xml:space="preserve">a </w:t>
      </w:r>
      <w:r>
        <w:t xml:space="preserve">Member </w:t>
      </w:r>
      <w:r>
        <w:rPr>
          <w:rFonts w:hint="eastAsia"/>
        </w:rPr>
        <w:t>shall</w:t>
      </w:r>
      <w:r>
        <w:t xml:space="preserve"> download its authorized clearing data </w:t>
      </w:r>
      <w:r>
        <w:rPr>
          <w:rFonts w:hint="eastAsia"/>
        </w:rPr>
        <w:t xml:space="preserve">through </w:t>
      </w:r>
      <w:r>
        <w:t>the Member Service System. T</w:t>
      </w:r>
      <w:r>
        <w:rPr>
          <w:rFonts w:hint="eastAsia"/>
        </w:rPr>
        <w:t>he data for Overseas Intermediaries that authorize Members to conduct trading and clearing will be included in the Member</w:t>
      </w:r>
      <w:r>
        <w:t>’</w:t>
      </w:r>
      <w:r>
        <w:rPr>
          <w:rFonts w:hint="eastAsia"/>
        </w:rPr>
        <w:t>s clearing data and do not need to be downloaded separately.</w:t>
      </w:r>
    </w:p>
    <w:p w14:paraId="64BD8CAB" w14:textId="77777777" w:rsidR="00C205D7" w:rsidRDefault="00C205D7">
      <w:pPr>
        <w:snapToGrid w:val="0"/>
        <w:spacing w:afterLines="100" w:after="240"/>
      </w:pPr>
    </w:p>
    <w:p w14:paraId="56CA635F" w14:textId="72D0F3C2" w:rsidR="00C205D7" w:rsidRDefault="00AE18FA">
      <w:pPr>
        <w:snapToGrid w:val="0"/>
        <w:spacing w:afterLines="100" w:after="240"/>
        <w:ind w:left="720" w:hanging="720"/>
        <w:rPr>
          <w:b/>
          <w:bCs/>
        </w:rPr>
      </w:pPr>
      <w:r>
        <w:rPr>
          <w:b/>
          <w:bCs/>
        </w:rPr>
        <w:t>VII.</w:t>
      </w:r>
      <w:r>
        <w:rPr>
          <w:b/>
          <w:bCs/>
        </w:rPr>
        <w:tab/>
        <w:t>Reporting of Overseas</w:t>
      </w:r>
      <w:r w:rsidR="007B61A5" w:rsidRPr="007B61A5">
        <w:t xml:space="preserve"> </w:t>
      </w:r>
      <w:r w:rsidR="007B61A5" w:rsidRPr="007B61A5">
        <w:rPr>
          <w:b/>
          <w:bCs/>
        </w:rPr>
        <w:t>External</w:t>
      </w:r>
      <w:r>
        <w:rPr>
          <w:b/>
          <w:bCs/>
        </w:rPr>
        <w:t xml:space="preserve"> Financial Assets, Liabilities, and Transactions by Members</w:t>
      </w:r>
    </w:p>
    <w:p w14:paraId="4B672DB3" w14:textId="474EE9A3" w:rsidR="00C205D7" w:rsidRDefault="00AE18FA">
      <w:pPr>
        <w:snapToGrid w:val="0"/>
        <w:spacing w:afterLines="100" w:after="240"/>
        <w:rPr>
          <w:rFonts w:cs="Times New Roman"/>
        </w:rPr>
      </w:pPr>
      <w:r>
        <w:rPr>
          <w:rFonts w:cs="Times New Roman"/>
        </w:rPr>
        <w:t xml:space="preserve">Members that directly </w:t>
      </w:r>
      <w:r>
        <w:rPr>
          <w:rFonts w:cs="Times New Roman" w:hint="eastAsia"/>
        </w:rPr>
        <w:t xml:space="preserve">conduct </w:t>
      </w:r>
      <w:r>
        <w:rPr>
          <w:rFonts w:cs="Times New Roman"/>
        </w:rPr>
        <w:t>clear</w:t>
      </w:r>
      <w:r>
        <w:rPr>
          <w:rFonts w:cs="Times New Roman" w:hint="eastAsia"/>
        </w:rPr>
        <w:t>ing</w:t>
      </w:r>
      <w:r>
        <w:rPr>
          <w:rFonts w:cs="Times New Roman"/>
        </w:rPr>
        <w:t xml:space="preserve"> for OSPs</w:t>
      </w:r>
      <w:r>
        <w:rPr>
          <w:rFonts w:cs="Times New Roman" w:hint="eastAsia"/>
        </w:rPr>
        <w:t xml:space="preserve">, </w:t>
      </w:r>
      <w:r>
        <w:rPr>
          <w:rFonts w:cs="Times New Roman"/>
        </w:rPr>
        <w:t>Overseas Intermediaries</w:t>
      </w:r>
      <w:r>
        <w:rPr>
          <w:rFonts w:cs="Times New Roman" w:hint="eastAsia"/>
        </w:rPr>
        <w:t xml:space="preserve"> </w:t>
      </w:r>
      <w:r>
        <w:rPr>
          <w:rFonts w:cs="Times New Roman"/>
        </w:rPr>
        <w:t>and</w:t>
      </w:r>
      <w:r>
        <w:rPr>
          <w:rFonts w:cs="Times New Roman" w:hint="eastAsia"/>
        </w:rPr>
        <w:t xml:space="preserve"> </w:t>
      </w:r>
      <w:r>
        <w:rPr>
          <w:rFonts w:cs="Times New Roman"/>
        </w:rPr>
        <w:t xml:space="preserve">overseas clients are required to report data related to their trading of Specified Domestic Products in accordance with the </w:t>
      </w:r>
      <w:r>
        <w:rPr>
          <w:rFonts w:cs="Times New Roman"/>
          <w:i/>
          <w:iCs/>
        </w:rPr>
        <w:t xml:space="preserve">Statistics </w:t>
      </w:r>
      <w:r w:rsidR="007B61A5">
        <w:rPr>
          <w:rFonts w:cs="Times New Roman"/>
          <w:i/>
          <w:iCs/>
        </w:rPr>
        <w:t>R</w:t>
      </w:r>
      <w:r w:rsidR="007B61A5">
        <w:rPr>
          <w:rFonts w:cs="Times New Roman" w:hint="eastAsia"/>
          <w:i/>
          <w:iCs/>
        </w:rPr>
        <w:t>ules</w:t>
      </w:r>
      <w:r>
        <w:rPr>
          <w:rFonts w:cs="Times New Roman"/>
          <w:i/>
          <w:iCs/>
        </w:rPr>
        <w:t xml:space="preserve"> o</w:t>
      </w:r>
      <w:r w:rsidRPr="007B61A5">
        <w:rPr>
          <w:rFonts w:cs="Times New Roman"/>
          <w:i/>
          <w:iCs/>
        </w:rPr>
        <w:t>f External Financial Assets and Liabilities and Foreign Transactions</w:t>
      </w:r>
      <w:r w:rsidRPr="007B61A5">
        <w:rPr>
          <w:rFonts w:cs="Times New Roman"/>
        </w:rPr>
        <w:t xml:space="preserve"> and the </w:t>
      </w:r>
      <w:r w:rsidRPr="007B61A5">
        <w:rPr>
          <w:rFonts w:cs="Times New Roman"/>
          <w:i/>
          <w:iCs/>
        </w:rPr>
        <w:t xml:space="preserve">Guidelines on External Financial Assets and Liabilities and Foreign </w:t>
      </w:r>
      <w:r>
        <w:rPr>
          <w:rFonts w:cs="Times New Roman"/>
          <w:i/>
          <w:iCs/>
        </w:rPr>
        <w:t>Transaction Statistics</w:t>
      </w:r>
      <w:r>
        <w:rPr>
          <w:rFonts w:cs="Times New Roman"/>
        </w:rPr>
        <w:t xml:space="preserve"> released by SAFE. Members may address their questions to the Balance of Payments Department of their local SAFE branch.</w:t>
      </w:r>
    </w:p>
    <w:p w14:paraId="5082FA00" w14:textId="77777777" w:rsidR="00C205D7" w:rsidRDefault="00C205D7">
      <w:pPr>
        <w:snapToGrid w:val="0"/>
        <w:spacing w:afterLines="100" w:after="240"/>
      </w:pPr>
    </w:p>
    <w:p w14:paraId="4BBDA8EB" w14:textId="77777777" w:rsidR="00C205D7" w:rsidRDefault="00AE18FA">
      <w:r>
        <w:br w:type="page"/>
      </w:r>
    </w:p>
    <w:p w14:paraId="46060DD2" w14:textId="77777777" w:rsidR="00C205D7" w:rsidRDefault="00AE18FA">
      <w:pPr>
        <w:snapToGrid w:val="0"/>
        <w:spacing w:afterLines="100" w:after="240"/>
      </w:pPr>
      <w:r>
        <w:rPr>
          <w:rFonts w:hint="eastAsia"/>
        </w:rPr>
        <w:lastRenderedPageBreak/>
        <w:t>Annex</w:t>
      </w:r>
      <w:r>
        <w:t xml:space="preserve"> 1</w:t>
      </w:r>
    </w:p>
    <w:p w14:paraId="714D11F2" w14:textId="3965F7AB" w:rsidR="00C205D7" w:rsidRDefault="00AE18FA">
      <w:pPr>
        <w:snapToGrid w:val="0"/>
        <w:spacing w:afterLines="100" w:after="240"/>
        <w:jc w:val="center"/>
        <w:rPr>
          <w:bCs/>
          <w:sz w:val="28"/>
          <w:szCs w:val="28"/>
        </w:rPr>
      </w:pPr>
      <w:r>
        <w:rPr>
          <w:bCs/>
          <w:sz w:val="28"/>
          <w:szCs w:val="28"/>
        </w:rPr>
        <w:t>Account Type</w:t>
      </w:r>
      <w:r>
        <w:rPr>
          <w:rFonts w:hint="eastAsia"/>
          <w:bCs/>
          <w:sz w:val="28"/>
          <w:szCs w:val="28"/>
        </w:rPr>
        <w:t>s</w:t>
      </w:r>
      <w:r>
        <w:t xml:space="preserve"> </w:t>
      </w:r>
      <w:r>
        <w:rPr>
          <w:bCs/>
          <w:sz w:val="28"/>
          <w:szCs w:val="28"/>
        </w:rPr>
        <w:t>of the Shanghai Futures Exchange</w:t>
      </w:r>
    </w:p>
    <w:tbl>
      <w:tblPr>
        <w:tblStyle w:val="af1"/>
        <w:tblW w:w="0" w:type="auto"/>
        <w:tblLook w:val="04A0" w:firstRow="1" w:lastRow="0" w:firstColumn="1" w:lastColumn="0" w:noHBand="0" w:noVBand="1"/>
      </w:tblPr>
      <w:tblGrid>
        <w:gridCol w:w="3005"/>
        <w:gridCol w:w="3740"/>
        <w:gridCol w:w="2271"/>
      </w:tblGrid>
      <w:tr w:rsidR="00C205D7" w14:paraId="75C7A41B" w14:textId="77777777">
        <w:tc>
          <w:tcPr>
            <w:tcW w:w="3005" w:type="dxa"/>
          </w:tcPr>
          <w:p w14:paraId="34B656E4" w14:textId="77777777" w:rsidR="00C205D7" w:rsidRDefault="00AE18FA">
            <w:pPr>
              <w:snapToGrid w:val="0"/>
              <w:spacing w:beforeLines="30" w:before="72" w:afterLines="30" w:after="72" w:line="240" w:lineRule="auto"/>
              <w:rPr>
                <w:bCs/>
                <w:sz w:val="22"/>
                <w:szCs w:val="22"/>
              </w:rPr>
            </w:pPr>
            <w:r>
              <w:rPr>
                <w:bCs/>
                <w:sz w:val="22"/>
                <w:szCs w:val="22"/>
              </w:rPr>
              <w:t>Account Owner</w:t>
            </w:r>
          </w:p>
        </w:tc>
        <w:tc>
          <w:tcPr>
            <w:tcW w:w="3740" w:type="dxa"/>
          </w:tcPr>
          <w:p w14:paraId="52304AE9" w14:textId="77777777" w:rsidR="00C205D7" w:rsidRDefault="00AE18FA">
            <w:pPr>
              <w:snapToGrid w:val="0"/>
              <w:spacing w:beforeLines="30" w:before="72" w:afterLines="30" w:after="72" w:line="240" w:lineRule="auto"/>
              <w:rPr>
                <w:bCs/>
                <w:sz w:val="22"/>
                <w:szCs w:val="22"/>
              </w:rPr>
            </w:pPr>
            <w:r>
              <w:rPr>
                <w:bCs/>
                <w:sz w:val="22"/>
                <w:szCs w:val="22"/>
              </w:rPr>
              <w:t>Account Type</w:t>
            </w:r>
          </w:p>
        </w:tc>
        <w:tc>
          <w:tcPr>
            <w:tcW w:w="2271" w:type="dxa"/>
          </w:tcPr>
          <w:p w14:paraId="21B69D92" w14:textId="77777777" w:rsidR="00C205D7" w:rsidRDefault="00AE18FA">
            <w:pPr>
              <w:snapToGrid w:val="0"/>
              <w:spacing w:beforeLines="30" w:before="72" w:afterLines="30" w:after="72" w:line="240" w:lineRule="auto"/>
              <w:rPr>
                <w:bCs/>
                <w:sz w:val="22"/>
                <w:szCs w:val="22"/>
              </w:rPr>
            </w:pPr>
            <w:r>
              <w:rPr>
                <w:bCs/>
                <w:sz w:val="22"/>
                <w:szCs w:val="22"/>
              </w:rPr>
              <w:t>Supported Currency</w:t>
            </w:r>
          </w:p>
        </w:tc>
      </w:tr>
      <w:tr w:rsidR="00C205D7" w14:paraId="7C4D5860" w14:textId="77777777">
        <w:tc>
          <w:tcPr>
            <w:tcW w:w="3005" w:type="dxa"/>
          </w:tcPr>
          <w:p w14:paraId="06EF9740" w14:textId="77777777" w:rsidR="00C205D7" w:rsidRDefault="00AE18FA">
            <w:pPr>
              <w:snapToGrid w:val="0"/>
              <w:spacing w:beforeLines="30" w:before="72" w:afterLines="30" w:after="72" w:line="240" w:lineRule="auto"/>
              <w:rPr>
                <w:bCs/>
                <w:sz w:val="22"/>
                <w:szCs w:val="22"/>
              </w:rPr>
            </w:pPr>
            <w:r>
              <w:rPr>
                <w:bCs/>
                <w:sz w:val="22"/>
                <w:szCs w:val="22"/>
              </w:rPr>
              <w:t>SHFE</w:t>
            </w:r>
          </w:p>
        </w:tc>
        <w:tc>
          <w:tcPr>
            <w:tcW w:w="3740" w:type="dxa"/>
          </w:tcPr>
          <w:p w14:paraId="308A140B" w14:textId="77777777" w:rsidR="00C205D7" w:rsidRDefault="00AE18FA">
            <w:pPr>
              <w:snapToGrid w:val="0"/>
              <w:spacing w:beforeLines="30" w:before="72" w:afterLines="30" w:after="72" w:line="240" w:lineRule="auto"/>
              <w:rPr>
                <w:sz w:val="22"/>
                <w:szCs w:val="22"/>
              </w:rPr>
            </w:pPr>
            <w:r>
              <w:rPr>
                <w:sz w:val="22"/>
                <w:szCs w:val="22"/>
              </w:rPr>
              <w:t>Dedicated settlement account</w:t>
            </w:r>
          </w:p>
        </w:tc>
        <w:tc>
          <w:tcPr>
            <w:tcW w:w="2271" w:type="dxa"/>
          </w:tcPr>
          <w:p w14:paraId="3C2FC0C3" w14:textId="77777777" w:rsidR="00C205D7" w:rsidRDefault="00AE18FA">
            <w:pPr>
              <w:snapToGrid w:val="0"/>
              <w:spacing w:beforeLines="30" w:before="72" w:afterLines="30" w:after="72" w:line="240" w:lineRule="auto"/>
              <w:rPr>
                <w:sz w:val="22"/>
                <w:szCs w:val="22"/>
              </w:rPr>
            </w:pPr>
            <w:r>
              <w:rPr>
                <w:sz w:val="22"/>
                <w:szCs w:val="22"/>
              </w:rPr>
              <w:t>RMB</w:t>
            </w:r>
          </w:p>
          <w:p w14:paraId="0F02DFB8" w14:textId="77777777" w:rsidR="00C205D7" w:rsidRDefault="00AE18FA">
            <w:pPr>
              <w:snapToGrid w:val="0"/>
              <w:spacing w:beforeLines="30" w:before="72" w:afterLines="30" w:after="72" w:line="240" w:lineRule="auto"/>
              <w:rPr>
                <w:bCs/>
                <w:sz w:val="22"/>
                <w:szCs w:val="22"/>
              </w:rPr>
            </w:pPr>
            <w:r>
              <w:rPr>
                <w:bCs/>
                <w:sz w:val="22"/>
                <w:szCs w:val="22"/>
              </w:rPr>
              <w:t>FX</w:t>
            </w:r>
          </w:p>
        </w:tc>
      </w:tr>
      <w:tr w:rsidR="00C205D7" w14:paraId="3613E652" w14:textId="77777777">
        <w:tc>
          <w:tcPr>
            <w:tcW w:w="3005" w:type="dxa"/>
          </w:tcPr>
          <w:p w14:paraId="3E446678" w14:textId="77777777" w:rsidR="00C205D7" w:rsidRDefault="00AE18FA">
            <w:pPr>
              <w:snapToGrid w:val="0"/>
              <w:spacing w:beforeLines="30" w:before="72" w:afterLines="30" w:after="72" w:line="240" w:lineRule="auto"/>
              <w:rPr>
                <w:bCs/>
                <w:sz w:val="22"/>
                <w:szCs w:val="22"/>
              </w:rPr>
            </w:pPr>
            <w:r>
              <w:rPr>
                <w:bCs/>
                <w:sz w:val="22"/>
                <w:szCs w:val="22"/>
              </w:rPr>
              <w:t>FF Members</w:t>
            </w:r>
          </w:p>
        </w:tc>
        <w:tc>
          <w:tcPr>
            <w:tcW w:w="3740" w:type="dxa"/>
          </w:tcPr>
          <w:p w14:paraId="611BCC5A" w14:textId="77777777" w:rsidR="00C205D7" w:rsidRDefault="00AE18FA">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027B92D5" w14:textId="77777777" w:rsidR="00C205D7" w:rsidRDefault="00AE18FA">
            <w:pPr>
              <w:snapToGrid w:val="0"/>
              <w:spacing w:beforeLines="30" w:before="72" w:afterLines="30" w:after="72" w:line="240" w:lineRule="auto"/>
              <w:rPr>
                <w:sz w:val="22"/>
                <w:szCs w:val="22"/>
              </w:rPr>
            </w:pPr>
            <w:r>
              <w:rPr>
                <w:sz w:val="22"/>
                <w:szCs w:val="22"/>
              </w:rPr>
              <w:t>RMB</w:t>
            </w:r>
          </w:p>
          <w:p w14:paraId="59BCABB3" w14:textId="77777777" w:rsidR="00C205D7" w:rsidRDefault="00AE18FA">
            <w:pPr>
              <w:snapToGrid w:val="0"/>
              <w:spacing w:beforeLines="30" w:before="72" w:afterLines="30" w:after="72" w:line="240" w:lineRule="auto"/>
              <w:rPr>
                <w:bCs/>
                <w:sz w:val="22"/>
                <w:szCs w:val="22"/>
              </w:rPr>
            </w:pPr>
            <w:r>
              <w:rPr>
                <w:bCs/>
                <w:sz w:val="22"/>
                <w:szCs w:val="22"/>
              </w:rPr>
              <w:t>FX</w:t>
            </w:r>
          </w:p>
        </w:tc>
      </w:tr>
      <w:tr w:rsidR="00C205D7" w14:paraId="2E2F41C9" w14:textId="77777777">
        <w:tc>
          <w:tcPr>
            <w:tcW w:w="3005" w:type="dxa"/>
          </w:tcPr>
          <w:p w14:paraId="34779EAC" w14:textId="77777777" w:rsidR="00C205D7" w:rsidRDefault="00AE18FA">
            <w:pPr>
              <w:snapToGrid w:val="0"/>
              <w:spacing w:beforeLines="30" w:before="72" w:afterLines="30" w:after="72" w:line="240" w:lineRule="auto"/>
              <w:rPr>
                <w:bCs/>
                <w:sz w:val="22"/>
                <w:szCs w:val="22"/>
              </w:rPr>
            </w:pPr>
            <w:r>
              <w:rPr>
                <w:bCs/>
                <w:sz w:val="22"/>
                <w:szCs w:val="22"/>
              </w:rPr>
              <w:t>Non-FF Members</w:t>
            </w:r>
          </w:p>
        </w:tc>
        <w:tc>
          <w:tcPr>
            <w:tcW w:w="3740" w:type="dxa"/>
          </w:tcPr>
          <w:p w14:paraId="6C0EFFE1" w14:textId="77777777" w:rsidR="00C205D7" w:rsidRDefault="00AE18FA">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167B3AF3" w14:textId="77777777" w:rsidR="00C205D7" w:rsidRDefault="00AE18FA">
            <w:pPr>
              <w:snapToGrid w:val="0"/>
              <w:spacing w:beforeLines="30" w:before="72" w:afterLines="30" w:after="72" w:line="240" w:lineRule="auto"/>
              <w:rPr>
                <w:sz w:val="22"/>
                <w:szCs w:val="22"/>
              </w:rPr>
            </w:pPr>
            <w:r>
              <w:rPr>
                <w:sz w:val="22"/>
                <w:szCs w:val="22"/>
              </w:rPr>
              <w:t>RMB</w:t>
            </w:r>
          </w:p>
          <w:p w14:paraId="10913873" w14:textId="77777777" w:rsidR="00C205D7" w:rsidRDefault="00C205D7">
            <w:pPr>
              <w:snapToGrid w:val="0"/>
              <w:spacing w:beforeLines="30" w:before="72" w:afterLines="30" w:after="72" w:line="240" w:lineRule="auto"/>
              <w:rPr>
                <w:sz w:val="22"/>
                <w:szCs w:val="22"/>
              </w:rPr>
            </w:pPr>
          </w:p>
        </w:tc>
      </w:tr>
      <w:tr w:rsidR="00C205D7" w14:paraId="3E768336" w14:textId="77777777">
        <w:tc>
          <w:tcPr>
            <w:tcW w:w="3005" w:type="dxa"/>
          </w:tcPr>
          <w:p w14:paraId="65FB83B9" w14:textId="77777777" w:rsidR="00C205D7" w:rsidRDefault="00AE18FA">
            <w:pPr>
              <w:snapToGrid w:val="0"/>
              <w:spacing w:beforeLines="30" w:before="72" w:afterLines="30" w:after="72" w:line="240" w:lineRule="auto"/>
              <w:rPr>
                <w:bCs/>
                <w:sz w:val="22"/>
                <w:szCs w:val="22"/>
              </w:rPr>
            </w:pPr>
            <w:r>
              <w:rPr>
                <w:bCs/>
                <w:sz w:val="22"/>
                <w:szCs w:val="22"/>
              </w:rPr>
              <w:t>Overseas Special Participants</w:t>
            </w:r>
          </w:p>
          <w:p w14:paraId="7CF949E3" w14:textId="77777777" w:rsidR="00C205D7" w:rsidRDefault="00C205D7">
            <w:pPr>
              <w:snapToGrid w:val="0"/>
              <w:spacing w:beforeLines="30" w:before="72" w:afterLines="30" w:after="72" w:line="240" w:lineRule="auto"/>
              <w:rPr>
                <w:bCs/>
                <w:sz w:val="22"/>
                <w:szCs w:val="22"/>
              </w:rPr>
            </w:pPr>
          </w:p>
        </w:tc>
        <w:tc>
          <w:tcPr>
            <w:tcW w:w="3740" w:type="dxa"/>
          </w:tcPr>
          <w:p w14:paraId="02948912"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175B37E8" w14:textId="77777777" w:rsidR="00C205D7" w:rsidRDefault="00AE18FA">
            <w:pPr>
              <w:snapToGrid w:val="0"/>
              <w:spacing w:beforeLines="30" w:before="72" w:afterLines="30" w:after="72" w:line="240" w:lineRule="auto"/>
              <w:rPr>
                <w:sz w:val="22"/>
                <w:szCs w:val="22"/>
              </w:rPr>
            </w:pPr>
            <w:r>
              <w:rPr>
                <w:sz w:val="22"/>
                <w:szCs w:val="22"/>
              </w:rPr>
              <w:t>RMB</w:t>
            </w:r>
          </w:p>
          <w:p w14:paraId="217C73E3" w14:textId="77777777" w:rsidR="00C205D7" w:rsidRDefault="00AE18FA">
            <w:pPr>
              <w:snapToGrid w:val="0"/>
              <w:spacing w:beforeLines="30" w:before="72" w:afterLines="30" w:after="72" w:line="240" w:lineRule="auto"/>
              <w:rPr>
                <w:sz w:val="22"/>
                <w:szCs w:val="22"/>
              </w:rPr>
            </w:pPr>
            <w:r>
              <w:rPr>
                <w:bCs/>
                <w:sz w:val="22"/>
                <w:szCs w:val="22"/>
              </w:rPr>
              <w:t>FX</w:t>
            </w:r>
          </w:p>
        </w:tc>
      </w:tr>
      <w:tr w:rsidR="00C205D7" w14:paraId="4DDB5BC9" w14:textId="77777777">
        <w:tc>
          <w:tcPr>
            <w:tcW w:w="3005" w:type="dxa"/>
          </w:tcPr>
          <w:p w14:paraId="63948DD9" w14:textId="77777777" w:rsidR="00C205D7" w:rsidRDefault="00AE18FA">
            <w:pPr>
              <w:snapToGrid w:val="0"/>
              <w:spacing w:beforeLines="30" w:before="72" w:afterLines="30" w:after="72" w:line="240" w:lineRule="auto"/>
              <w:rPr>
                <w:bCs/>
                <w:sz w:val="22"/>
                <w:szCs w:val="22"/>
              </w:rPr>
            </w:pPr>
            <w:r>
              <w:rPr>
                <w:bCs/>
                <w:sz w:val="22"/>
                <w:szCs w:val="22"/>
              </w:rPr>
              <w:t>Overseas Intermediaries</w:t>
            </w:r>
          </w:p>
        </w:tc>
        <w:tc>
          <w:tcPr>
            <w:tcW w:w="3740" w:type="dxa"/>
          </w:tcPr>
          <w:p w14:paraId="5512B8DD"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4A4AD9DD" w14:textId="77777777" w:rsidR="00C205D7" w:rsidRDefault="00AE18FA">
            <w:pPr>
              <w:snapToGrid w:val="0"/>
              <w:spacing w:beforeLines="30" w:before="72" w:afterLines="30" w:after="72" w:line="240" w:lineRule="auto"/>
              <w:rPr>
                <w:sz w:val="22"/>
                <w:szCs w:val="22"/>
              </w:rPr>
            </w:pPr>
            <w:r>
              <w:rPr>
                <w:sz w:val="22"/>
                <w:szCs w:val="22"/>
              </w:rPr>
              <w:t>RMB</w:t>
            </w:r>
          </w:p>
          <w:p w14:paraId="3494DC7C" w14:textId="77777777" w:rsidR="00C205D7" w:rsidRDefault="00AE18FA">
            <w:pPr>
              <w:snapToGrid w:val="0"/>
              <w:spacing w:beforeLines="30" w:before="72" w:afterLines="30" w:after="72" w:line="240" w:lineRule="auto"/>
              <w:rPr>
                <w:sz w:val="22"/>
                <w:szCs w:val="22"/>
              </w:rPr>
            </w:pPr>
            <w:r>
              <w:rPr>
                <w:bCs/>
                <w:sz w:val="22"/>
                <w:szCs w:val="22"/>
              </w:rPr>
              <w:t>FX</w:t>
            </w:r>
          </w:p>
        </w:tc>
      </w:tr>
      <w:tr w:rsidR="00C205D7" w14:paraId="448959ED" w14:textId="77777777">
        <w:tc>
          <w:tcPr>
            <w:tcW w:w="3005" w:type="dxa"/>
          </w:tcPr>
          <w:p w14:paraId="735D0695" w14:textId="77777777" w:rsidR="00C205D7" w:rsidRDefault="00AE18FA">
            <w:pPr>
              <w:snapToGrid w:val="0"/>
              <w:spacing w:beforeLines="30" w:before="72" w:afterLines="30" w:after="72" w:line="240" w:lineRule="auto"/>
              <w:rPr>
                <w:bCs/>
                <w:sz w:val="22"/>
                <w:szCs w:val="22"/>
              </w:rPr>
            </w:pPr>
            <w:r>
              <w:rPr>
                <w:rFonts w:hint="eastAsia"/>
                <w:bCs/>
                <w:sz w:val="22"/>
                <w:szCs w:val="22"/>
              </w:rPr>
              <w:t>Domestic</w:t>
            </w:r>
            <w:r>
              <w:rPr>
                <w:bCs/>
                <w:sz w:val="22"/>
                <w:szCs w:val="22"/>
              </w:rPr>
              <w:t xml:space="preserve"> Clients</w:t>
            </w:r>
          </w:p>
        </w:tc>
        <w:tc>
          <w:tcPr>
            <w:tcW w:w="3740" w:type="dxa"/>
          </w:tcPr>
          <w:p w14:paraId="52D276CB"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p>
        </w:tc>
        <w:tc>
          <w:tcPr>
            <w:tcW w:w="2271" w:type="dxa"/>
          </w:tcPr>
          <w:p w14:paraId="6F241C8A" w14:textId="77777777" w:rsidR="00C205D7" w:rsidRDefault="00AE18FA">
            <w:pPr>
              <w:snapToGrid w:val="0"/>
              <w:spacing w:beforeLines="30" w:before="72" w:afterLines="30" w:after="72" w:line="240" w:lineRule="auto"/>
              <w:rPr>
                <w:sz w:val="22"/>
                <w:szCs w:val="22"/>
              </w:rPr>
            </w:pPr>
            <w:r>
              <w:rPr>
                <w:sz w:val="22"/>
                <w:szCs w:val="22"/>
              </w:rPr>
              <w:t>RMB</w:t>
            </w:r>
          </w:p>
          <w:p w14:paraId="5767CF52" w14:textId="77777777" w:rsidR="00C205D7" w:rsidRDefault="00C205D7">
            <w:pPr>
              <w:snapToGrid w:val="0"/>
              <w:spacing w:beforeLines="30" w:before="72" w:afterLines="30" w:after="72" w:line="240" w:lineRule="auto"/>
              <w:rPr>
                <w:sz w:val="22"/>
                <w:szCs w:val="22"/>
              </w:rPr>
            </w:pPr>
          </w:p>
        </w:tc>
      </w:tr>
      <w:tr w:rsidR="00C205D7" w14:paraId="6020E403" w14:textId="77777777">
        <w:tc>
          <w:tcPr>
            <w:tcW w:w="3005" w:type="dxa"/>
          </w:tcPr>
          <w:p w14:paraId="644BAA78" w14:textId="77777777" w:rsidR="00C205D7" w:rsidRDefault="00AE18FA">
            <w:pPr>
              <w:snapToGrid w:val="0"/>
              <w:spacing w:beforeLines="30" w:before="72" w:afterLines="30" w:after="72" w:line="240" w:lineRule="auto"/>
              <w:rPr>
                <w:bCs/>
                <w:sz w:val="22"/>
                <w:szCs w:val="22"/>
              </w:rPr>
            </w:pPr>
            <w:r>
              <w:rPr>
                <w:bCs/>
                <w:sz w:val="22"/>
                <w:szCs w:val="22"/>
              </w:rPr>
              <w:t>Overseas Clients</w:t>
            </w:r>
          </w:p>
        </w:tc>
        <w:tc>
          <w:tcPr>
            <w:tcW w:w="3740" w:type="dxa"/>
          </w:tcPr>
          <w:p w14:paraId="45D7A179" w14:textId="77777777" w:rsidR="00C205D7" w:rsidRDefault="00AE18FA">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7C5A7DAA" w14:textId="77777777" w:rsidR="00C205D7" w:rsidRDefault="00AE18FA">
            <w:pPr>
              <w:snapToGrid w:val="0"/>
              <w:spacing w:beforeLines="30" w:before="72" w:afterLines="30" w:after="72" w:line="240" w:lineRule="auto"/>
              <w:rPr>
                <w:sz w:val="22"/>
                <w:szCs w:val="22"/>
              </w:rPr>
            </w:pPr>
            <w:r>
              <w:rPr>
                <w:sz w:val="22"/>
                <w:szCs w:val="22"/>
              </w:rPr>
              <w:t>RMB</w:t>
            </w:r>
          </w:p>
          <w:p w14:paraId="3693D360" w14:textId="77777777" w:rsidR="00C205D7" w:rsidRDefault="00AE18FA">
            <w:pPr>
              <w:snapToGrid w:val="0"/>
              <w:spacing w:beforeLines="30" w:before="72" w:afterLines="30" w:after="72" w:line="240" w:lineRule="auto"/>
              <w:rPr>
                <w:sz w:val="22"/>
                <w:szCs w:val="22"/>
              </w:rPr>
            </w:pPr>
            <w:r>
              <w:rPr>
                <w:bCs/>
                <w:sz w:val="22"/>
                <w:szCs w:val="22"/>
              </w:rPr>
              <w:t>FX</w:t>
            </w:r>
          </w:p>
        </w:tc>
      </w:tr>
    </w:tbl>
    <w:p w14:paraId="68D834A2" w14:textId="77777777" w:rsidR="00C205D7" w:rsidRDefault="00AE18FA">
      <w:pPr>
        <w:snapToGrid w:val="0"/>
        <w:spacing w:beforeLines="100" w:before="240" w:afterLines="50" w:after="120"/>
        <w:rPr>
          <w:sz w:val="20"/>
          <w:szCs w:val="20"/>
        </w:rPr>
      </w:pPr>
      <w:r>
        <w:rPr>
          <w:sz w:val="20"/>
          <w:szCs w:val="20"/>
        </w:rPr>
        <w:t>Instructions:</w:t>
      </w:r>
    </w:p>
    <w:p w14:paraId="49681A1F" w14:textId="77777777" w:rsidR="00C205D7" w:rsidRDefault="00AE18FA">
      <w:pPr>
        <w:snapToGrid w:val="0"/>
        <w:spacing w:afterLines="100" w:after="240"/>
        <w:ind w:left="360" w:hanging="360"/>
        <w:rPr>
          <w:sz w:val="20"/>
          <w:szCs w:val="20"/>
        </w:rPr>
      </w:pPr>
      <w:r>
        <w:rPr>
          <w:sz w:val="20"/>
          <w:szCs w:val="20"/>
        </w:rPr>
        <w:t>1.</w:t>
      </w:r>
      <w:r>
        <w:rPr>
          <w:sz w:val="20"/>
          <w:szCs w:val="20"/>
        </w:rPr>
        <w:tab/>
        <w:t xml:space="preserve">The dedicated margin account opened by a Member at the Designated Branch of a Designated Depository Bank as required by SHFE is the </w:t>
      </w:r>
      <w:r>
        <w:rPr>
          <w:bCs/>
          <w:sz w:val="20"/>
          <w:szCs w:val="20"/>
        </w:rPr>
        <w:t>Member’s dedicated fund account</w:t>
      </w:r>
      <w:r>
        <w:rPr>
          <w:sz w:val="20"/>
          <w:szCs w:val="20"/>
        </w:rPr>
        <w:t xml:space="preserve">. </w:t>
      </w:r>
    </w:p>
    <w:p w14:paraId="39BEE6FC" w14:textId="3AA28FA3" w:rsidR="00C205D7" w:rsidRDefault="00AE18FA">
      <w:pPr>
        <w:snapToGrid w:val="0"/>
        <w:spacing w:afterLines="100" w:after="240"/>
        <w:ind w:left="360" w:hanging="360"/>
        <w:rPr>
          <w:sz w:val="20"/>
          <w:szCs w:val="20"/>
        </w:rPr>
      </w:pPr>
      <w:r>
        <w:rPr>
          <w:sz w:val="20"/>
          <w:szCs w:val="20"/>
        </w:rPr>
        <w:t>2.</w:t>
      </w:r>
      <w:r>
        <w:rPr>
          <w:sz w:val="20"/>
          <w:szCs w:val="20"/>
        </w:rPr>
        <w:tab/>
      </w:r>
      <w:r>
        <w:rPr>
          <w:rFonts w:hint="eastAsia"/>
          <w:sz w:val="20"/>
          <w:szCs w:val="20"/>
        </w:rPr>
        <w:t>For t</w:t>
      </w:r>
      <w:r>
        <w:rPr>
          <w:sz w:val="20"/>
          <w:szCs w:val="20"/>
        </w:rPr>
        <w:t>he FX dedicated futures settlement accounts opened by OSPs, Overseas Intermediaries, and overseas clients at Designated Depository Banks for the purpose of making and receiving payments, exchanging currencies, and transferring funds relating to the trading of Specified Domestic Products</w:t>
      </w:r>
      <w:r>
        <w:rPr>
          <w:rFonts w:hint="eastAsia"/>
          <w:sz w:val="20"/>
          <w:szCs w:val="20"/>
        </w:rPr>
        <w:t>, t</w:t>
      </w:r>
      <w:r>
        <w:rPr>
          <w:sz w:val="20"/>
          <w:szCs w:val="20"/>
        </w:rPr>
        <w:t xml:space="preserve">he </w:t>
      </w:r>
      <w:r w:rsidR="001D280E">
        <w:rPr>
          <w:sz w:val="20"/>
          <w:szCs w:val="20"/>
        </w:rPr>
        <w:t xml:space="preserve">name </w:t>
      </w:r>
      <w:r w:rsidR="001D280E">
        <w:rPr>
          <w:rFonts w:hint="eastAsia"/>
          <w:sz w:val="20"/>
          <w:szCs w:val="20"/>
        </w:rPr>
        <w:t>of</w:t>
      </w:r>
      <w:r w:rsidR="001D280E">
        <w:rPr>
          <w:sz w:val="20"/>
          <w:szCs w:val="20"/>
        </w:rPr>
        <w:t xml:space="preserve"> </w:t>
      </w:r>
      <w:r>
        <w:rPr>
          <w:sz w:val="20"/>
          <w:szCs w:val="20"/>
        </w:rPr>
        <w:t xml:space="preserve">account code is Domestic FX Account of Overseas Institutions/Individuals. </w:t>
      </w:r>
    </w:p>
    <w:p w14:paraId="6204350C" w14:textId="77777777" w:rsidR="00C205D7" w:rsidRDefault="00C205D7">
      <w:pPr>
        <w:snapToGrid w:val="0"/>
        <w:spacing w:afterLines="100" w:after="240"/>
      </w:pPr>
    </w:p>
    <w:p w14:paraId="5673F5E2" w14:textId="77777777" w:rsidR="00C205D7" w:rsidRDefault="00AE18FA">
      <w:r>
        <w:br w:type="page"/>
      </w:r>
    </w:p>
    <w:p w14:paraId="39ACC7DA" w14:textId="77777777" w:rsidR="00C205D7" w:rsidRDefault="00AE18FA">
      <w:pPr>
        <w:snapToGrid w:val="0"/>
        <w:spacing w:afterLines="100" w:after="240"/>
      </w:pPr>
      <w:r>
        <w:lastRenderedPageBreak/>
        <w:t>Annex 2</w:t>
      </w:r>
    </w:p>
    <w:p w14:paraId="347BCD7D" w14:textId="77777777" w:rsidR="00C205D7" w:rsidRDefault="00AE18FA">
      <w:pPr>
        <w:snapToGrid w:val="0"/>
        <w:spacing w:afterLines="100" w:after="240"/>
        <w:jc w:val="center"/>
        <w:rPr>
          <w:rFonts w:cs="Times New Roman"/>
          <w:b/>
          <w:bCs/>
          <w:sz w:val="28"/>
          <w:szCs w:val="28"/>
        </w:rPr>
      </w:pPr>
      <w:r>
        <w:rPr>
          <w:rFonts w:cs="Times New Roman"/>
          <w:b/>
          <w:bCs/>
          <w:sz w:val="28"/>
          <w:szCs w:val="28"/>
        </w:rPr>
        <w:t>Procedures for Filing Authorized Clearing Relationship</w:t>
      </w:r>
      <w:r>
        <w:t xml:space="preserve"> </w:t>
      </w:r>
      <w:r>
        <w:rPr>
          <w:rFonts w:cs="Times New Roman"/>
          <w:b/>
          <w:bCs/>
          <w:sz w:val="28"/>
          <w:szCs w:val="28"/>
        </w:rPr>
        <w:t>of the Shanghai Futures Exchange</w:t>
      </w:r>
    </w:p>
    <w:p w14:paraId="0C86FF58" w14:textId="77777777" w:rsidR="00C205D7" w:rsidRDefault="00C205D7">
      <w:pPr>
        <w:snapToGrid w:val="0"/>
        <w:spacing w:afterLines="100" w:after="240"/>
      </w:pPr>
    </w:p>
    <w:p w14:paraId="31FE78A9" w14:textId="77777777" w:rsidR="00C205D7" w:rsidRDefault="00AE18FA">
      <w:pPr>
        <w:snapToGrid w:val="0"/>
        <w:spacing w:afterLines="100" w:after="240"/>
        <w:rPr>
          <w:b/>
          <w:bCs/>
        </w:rPr>
      </w:pPr>
      <w:r>
        <w:rPr>
          <w:b/>
          <w:bCs/>
        </w:rPr>
        <w:t>I.</w:t>
      </w:r>
      <w:r>
        <w:rPr>
          <w:b/>
          <w:bCs/>
        </w:rPr>
        <w:tab/>
        <w:t>Overview</w:t>
      </w:r>
    </w:p>
    <w:p w14:paraId="0A67ACE3" w14:textId="3C39B533" w:rsidR="00C205D7" w:rsidRDefault="00AE18FA">
      <w:pPr>
        <w:snapToGrid w:val="0"/>
        <w:spacing w:afterLines="100" w:after="240"/>
      </w:pPr>
      <w:r>
        <w:t xml:space="preserve">Each </w:t>
      </w:r>
      <w:r>
        <w:rPr>
          <w:rFonts w:hint="eastAsia"/>
        </w:rPr>
        <w:t>O</w:t>
      </w:r>
      <w:r>
        <w:t xml:space="preserve">verseas </w:t>
      </w:r>
      <w:r>
        <w:rPr>
          <w:rFonts w:hint="eastAsia"/>
        </w:rPr>
        <w:t>S</w:t>
      </w:r>
      <w:r>
        <w:t xml:space="preserve">pecial </w:t>
      </w:r>
      <w:r>
        <w:rPr>
          <w:rFonts w:hint="eastAsia"/>
        </w:rPr>
        <w:t>P</w:t>
      </w:r>
      <w:r>
        <w:t>articipant (“</w:t>
      </w:r>
      <w:r>
        <w:rPr>
          <w:b/>
          <w:bCs/>
        </w:rPr>
        <w:t>OSP</w:t>
      </w:r>
      <w:r>
        <w:t xml:space="preserve">”) is required to </w:t>
      </w:r>
      <w:r>
        <w:rPr>
          <w:rFonts w:hint="eastAsia"/>
        </w:rPr>
        <w:t xml:space="preserve">authorize </w:t>
      </w:r>
      <w:r>
        <w:t>one and only one futures firm member (“</w:t>
      </w:r>
      <w:r>
        <w:rPr>
          <w:b/>
          <w:bCs/>
        </w:rPr>
        <w:t>Authorized Clearing Member</w:t>
      </w:r>
      <w:r>
        <w:t xml:space="preserve">”) to </w:t>
      </w:r>
      <w:r>
        <w:rPr>
          <w:rFonts w:hint="eastAsia"/>
        </w:rPr>
        <w:t xml:space="preserve">conduct </w:t>
      </w:r>
      <w:r>
        <w:t xml:space="preserve">clearing, delivery, and other related activities. The Authorized Clearing Member </w:t>
      </w:r>
      <w:r>
        <w:rPr>
          <w:rFonts w:hint="eastAsia"/>
        </w:rPr>
        <w:t>shall</w:t>
      </w:r>
      <w:r>
        <w:t xml:space="preserve"> complete filing of the authorized clearing relationship with the Clearing Department of the Shanghai Futures Exchange (“</w:t>
      </w:r>
      <w:r>
        <w:rPr>
          <w:b/>
          <w:bCs/>
        </w:rPr>
        <w:t>SHFE</w:t>
      </w:r>
      <w:r>
        <w:t>”) before conducting the relevant activities.</w:t>
      </w:r>
    </w:p>
    <w:p w14:paraId="46602A80" w14:textId="77777777" w:rsidR="00C205D7" w:rsidRDefault="00C205D7">
      <w:pPr>
        <w:snapToGrid w:val="0"/>
        <w:spacing w:afterLines="100" w:after="240"/>
      </w:pPr>
    </w:p>
    <w:p w14:paraId="724B4684" w14:textId="77777777" w:rsidR="00C205D7" w:rsidRDefault="00AE18FA">
      <w:pPr>
        <w:snapToGrid w:val="0"/>
        <w:spacing w:afterLines="100" w:after="240"/>
        <w:rPr>
          <w:b/>
          <w:bCs/>
        </w:rPr>
      </w:pPr>
      <w:r>
        <w:rPr>
          <w:b/>
          <w:bCs/>
        </w:rPr>
        <w:t>II.</w:t>
      </w:r>
      <w:r>
        <w:rPr>
          <w:b/>
          <w:bCs/>
        </w:rPr>
        <w:tab/>
        <w:t>Filing of Authorized Clearing Relationship</w:t>
      </w:r>
    </w:p>
    <w:p w14:paraId="4CDD23DF" w14:textId="0CE94A89" w:rsidR="00C205D7" w:rsidRDefault="00AE18FA">
      <w:pPr>
        <w:snapToGrid w:val="0"/>
        <w:spacing w:afterLines="100" w:after="240"/>
        <w:ind w:left="540" w:hanging="540"/>
        <w:rPr>
          <w:rFonts w:cs="Times New Roman"/>
        </w:rPr>
      </w:pPr>
      <w:r>
        <w:t>1.</w:t>
      </w:r>
      <w:r>
        <w:tab/>
        <w:t xml:space="preserve">The Authorized Clearing Member and the OSP should first </w:t>
      </w:r>
      <w:r>
        <w:rPr>
          <w:rFonts w:hint="eastAsia"/>
        </w:rPr>
        <w:t xml:space="preserve">sign </w:t>
      </w:r>
      <w:r>
        <w:t xml:space="preserve">an Authorized Clearing </w:t>
      </w:r>
      <w:r>
        <w:rPr>
          <w:rFonts w:cs="Times New Roman"/>
        </w:rPr>
        <w:t>Agreement.</w:t>
      </w:r>
    </w:p>
    <w:p w14:paraId="5AB60DD5" w14:textId="77777777" w:rsidR="00C205D7" w:rsidRDefault="00AE18FA">
      <w:pPr>
        <w:snapToGrid w:val="0"/>
        <w:spacing w:afterLines="100" w:after="240"/>
        <w:ind w:left="540" w:hanging="540"/>
        <w:rPr>
          <w:rFonts w:cs="Times New Roman"/>
        </w:rPr>
      </w:pPr>
      <w:r>
        <w:rPr>
          <w:rFonts w:cs="Times New Roman"/>
        </w:rPr>
        <w:t>2.</w:t>
      </w:r>
      <w:r>
        <w:rPr>
          <w:rFonts w:cs="Times New Roman"/>
        </w:rPr>
        <w:tab/>
        <w:t>The Authorized Clearing Member should then submit the following materials for filing purposes:</w:t>
      </w:r>
    </w:p>
    <w:p w14:paraId="153D8CD5" w14:textId="77777777" w:rsidR="00C205D7" w:rsidRDefault="00AE18FA">
      <w:pPr>
        <w:pStyle w:val="af6"/>
        <w:numPr>
          <w:ilvl w:val="0"/>
          <w:numId w:val="1"/>
        </w:numPr>
        <w:snapToGrid w:val="0"/>
        <w:spacing w:afterLines="100" w:after="240"/>
        <w:contextualSpacing w:val="0"/>
        <w:rPr>
          <w:rFonts w:cs="Times New Roman"/>
        </w:rPr>
      </w:pPr>
      <w:r>
        <w:rPr>
          <w:rFonts w:cs="Times New Roman"/>
        </w:rPr>
        <w:t>Authorized Clearing Agreement</w:t>
      </w:r>
    </w:p>
    <w:p w14:paraId="755082CB" w14:textId="6CDD178C" w:rsidR="00C205D7" w:rsidRDefault="00AE18FA">
      <w:pPr>
        <w:pStyle w:val="af6"/>
        <w:numPr>
          <w:ilvl w:val="0"/>
          <w:numId w:val="1"/>
        </w:numPr>
        <w:snapToGrid w:val="0"/>
        <w:spacing w:afterLines="100" w:after="240"/>
        <w:contextualSpacing w:val="0"/>
        <w:rPr>
          <w:rFonts w:cs="Times New Roman"/>
        </w:rPr>
      </w:pPr>
      <w:r>
        <w:rPr>
          <w:rFonts w:cs="Times New Roman"/>
        </w:rPr>
        <w:t>Authorized Clearing Filing Form (Appendix 2-1, “Filing Type” should be “Addition”)</w:t>
      </w:r>
    </w:p>
    <w:p w14:paraId="2CB6A786" w14:textId="77777777" w:rsidR="00C205D7" w:rsidRDefault="00AE18FA">
      <w:pPr>
        <w:pStyle w:val="af6"/>
        <w:numPr>
          <w:ilvl w:val="0"/>
          <w:numId w:val="1"/>
        </w:numPr>
        <w:snapToGrid w:val="0"/>
        <w:spacing w:afterLines="100" w:after="240"/>
        <w:contextualSpacing w:val="0"/>
        <w:rPr>
          <w:rFonts w:cs="Times New Roman"/>
        </w:rPr>
      </w:pPr>
      <w:r>
        <w:rPr>
          <w:rFonts w:cs="Times New Roman"/>
        </w:rPr>
        <w:t>Letter of Authorization on SHFE Funds Operator (available on the official SHFE website)</w:t>
      </w:r>
    </w:p>
    <w:p w14:paraId="76458A3B" w14:textId="77777777" w:rsidR="00C205D7" w:rsidRDefault="00AE18FA">
      <w:pPr>
        <w:snapToGrid w:val="0"/>
        <w:spacing w:afterLines="100" w:after="240"/>
        <w:ind w:left="540" w:hanging="540"/>
      </w:pPr>
      <w:r>
        <w:t>3.</w:t>
      </w:r>
      <w:r>
        <w:tab/>
        <w:t>The SHFE Clearing Department will review the materials.</w:t>
      </w:r>
    </w:p>
    <w:p w14:paraId="64D4EF5E" w14:textId="77777777" w:rsidR="00C205D7" w:rsidRDefault="00AE18FA">
      <w:pPr>
        <w:snapToGrid w:val="0"/>
        <w:spacing w:afterLines="100" w:after="240"/>
        <w:ind w:left="540" w:hanging="540"/>
      </w:pPr>
      <w:r>
        <w:t>4.</w:t>
      </w:r>
      <w:r>
        <w:tab/>
        <w:t>If the filing is approved, the SHFE Clearing Department will inform the Authorized Clearing Member.</w:t>
      </w:r>
    </w:p>
    <w:p w14:paraId="57EFE5C1" w14:textId="77777777" w:rsidR="00C205D7" w:rsidRDefault="00C205D7">
      <w:pPr>
        <w:snapToGrid w:val="0"/>
        <w:spacing w:afterLines="100" w:after="240"/>
      </w:pPr>
    </w:p>
    <w:p w14:paraId="294DF994" w14:textId="77777777" w:rsidR="00C205D7" w:rsidRDefault="00AE18FA">
      <w:pPr>
        <w:snapToGrid w:val="0"/>
        <w:spacing w:afterLines="100" w:after="240"/>
        <w:rPr>
          <w:b/>
          <w:bCs/>
        </w:rPr>
      </w:pPr>
      <w:r>
        <w:rPr>
          <w:b/>
          <w:bCs/>
        </w:rPr>
        <w:t>III.</w:t>
      </w:r>
      <w:r>
        <w:rPr>
          <w:b/>
          <w:bCs/>
        </w:rPr>
        <w:tab/>
        <w:t>Change of Authorized Clearing Relationship</w:t>
      </w:r>
    </w:p>
    <w:p w14:paraId="2F6C5BCA" w14:textId="77777777" w:rsidR="00C205D7" w:rsidRDefault="00AE18FA">
      <w:pPr>
        <w:snapToGrid w:val="0"/>
        <w:spacing w:afterLines="100" w:after="240"/>
        <w:ind w:left="540" w:hanging="540"/>
      </w:pPr>
      <w:r>
        <w:t>1.</w:t>
      </w:r>
      <w:r>
        <w:tab/>
        <w:t xml:space="preserve">If an authorized clearing relationship needs to be changed, the outgoing Authorized Clearing Member and the incoming Authorized Clearing Member </w:t>
      </w:r>
      <w:r>
        <w:rPr>
          <w:rFonts w:hint="eastAsia"/>
        </w:rPr>
        <w:t>shall</w:t>
      </w:r>
      <w:r>
        <w:t xml:space="preserve"> each submit materials related to the change to the SHFE Clearing Department either before the original agreement expires or ten trading days before the authorized clearing relationship is changed.</w:t>
      </w:r>
    </w:p>
    <w:p w14:paraId="6B0A109F" w14:textId="77777777" w:rsidR="00C205D7" w:rsidRDefault="00AE18FA">
      <w:pPr>
        <w:snapToGrid w:val="0"/>
        <w:spacing w:afterLines="100" w:after="240"/>
        <w:ind w:left="540" w:hanging="540"/>
      </w:pPr>
      <w:r>
        <w:t>2.</w:t>
      </w:r>
      <w:r>
        <w:tab/>
        <w:t>Required Materials for Change of Authorized Clearing Relationship:</w:t>
      </w:r>
    </w:p>
    <w:p w14:paraId="7C2CA576" w14:textId="5E2196CC" w:rsidR="00C205D7" w:rsidRDefault="00AE18FA">
      <w:pPr>
        <w:pStyle w:val="af6"/>
        <w:numPr>
          <w:ilvl w:val="0"/>
          <w:numId w:val="2"/>
        </w:numPr>
        <w:snapToGrid w:val="0"/>
        <w:spacing w:afterLines="100" w:after="240"/>
        <w:contextualSpacing w:val="0"/>
        <w:rPr>
          <w:rFonts w:cs="Times New Roman"/>
        </w:rPr>
      </w:pPr>
      <w:r>
        <w:rPr>
          <w:rFonts w:cs="Times New Roman"/>
          <w:u w:val="single"/>
        </w:rPr>
        <w:lastRenderedPageBreak/>
        <w:t>For the Outgoing Authorized Clearing Member</w:t>
      </w:r>
      <w:r>
        <w:rPr>
          <w:rFonts w:cs="Times New Roman"/>
        </w:rPr>
        <w:t xml:space="preserve">: Authorized Clearing Filing Form (Appendix 2-1, “Filing Type” should be “Removal”), agreement to cancel the original authorized clearing relationship, and the </w:t>
      </w:r>
      <w:r>
        <w:rPr>
          <w:rFonts w:cs="Times New Roman" w:hint="eastAsia"/>
        </w:rPr>
        <w:t xml:space="preserve">Proof </w:t>
      </w:r>
      <w:r>
        <w:rPr>
          <w:rFonts w:cs="Times New Roman"/>
        </w:rPr>
        <w:t>of Cancellation of Authorization on SHFE Funds Operator (available on the official SHFE website)</w:t>
      </w:r>
    </w:p>
    <w:p w14:paraId="57D489E4" w14:textId="49A2F63D" w:rsidR="00C205D7" w:rsidRDefault="00AE18FA">
      <w:pPr>
        <w:pStyle w:val="af6"/>
        <w:numPr>
          <w:ilvl w:val="0"/>
          <w:numId w:val="1"/>
        </w:numPr>
        <w:snapToGrid w:val="0"/>
        <w:spacing w:afterLines="100" w:after="240"/>
        <w:contextualSpacing w:val="0"/>
        <w:rPr>
          <w:rFonts w:cs="Times New Roman"/>
        </w:rPr>
      </w:pPr>
      <w:r>
        <w:rPr>
          <w:u w:val="single"/>
        </w:rPr>
        <w:t>For the Incoming Authorized Clearing Member</w:t>
      </w:r>
      <w:r>
        <w:t>: Authorized Clearing Filing Form (</w:t>
      </w:r>
      <w:r>
        <w:rPr>
          <w:rFonts w:cs="Times New Roman"/>
        </w:rPr>
        <w:t>Appendix 2-1, “Filing Type” should be “Addition”</w:t>
      </w:r>
      <w:r>
        <w:t xml:space="preserve">), </w:t>
      </w:r>
      <w:r>
        <w:rPr>
          <w:rFonts w:cs="Times New Roman"/>
        </w:rPr>
        <w:t xml:space="preserve">Authorized Clearing Agreement, and the Letter of Authorization on SHFE Funds Operator </w:t>
      </w:r>
    </w:p>
    <w:p w14:paraId="0FBACA92" w14:textId="77777777" w:rsidR="00C205D7" w:rsidRDefault="00AE18FA">
      <w:pPr>
        <w:snapToGrid w:val="0"/>
        <w:spacing w:afterLines="100" w:after="240"/>
        <w:ind w:left="540" w:hanging="540"/>
      </w:pPr>
      <w:r>
        <w:t>3.</w:t>
      </w:r>
      <w:r>
        <w:tab/>
        <w:t>The SHFE Clearing Department will complete the review and inform the members of the agreed clearing date for the change of the authorized clearing relationship within ten trading days.</w:t>
      </w:r>
    </w:p>
    <w:p w14:paraId="0BF9F53F" w14:textId="77777777" w:rsidR="00C205D7" w:rsidRDefault="00AE18FA">
      <w:pPr>
        <w:snapToGrid w:val="0"/>
        <w:spacing w:afterLines="100" w:after="240"/>
        <w:ind w:left="540" w:hanging="540"/>
      </w:pPr>
      <w:r>
        <w:t>4.</w:t>
      </w:r>
      <w:r>
        <w:tab/>
        <w:t xml:space="preserve">On the agreed clearing date, the Outgoing Authorized Clearing Member and the Incoming Authorized Clearing Member </w:t>
      </w:r>
      <w:r>
        <w:rPr>
          <w:rFonts w:hint="eastAsia"/>
        </w:rPr>
        <w:t>shall</w:t>
      </w:r>
      <w:r>
        <w:t xml:space="preserve"> complete the change of authorized clearing relationship at SHFE. This process includes confirmation of the transfer list and the affirmation and revocation of funds operators. The Outgoing Authorized Clearing Member should ensure that it has resolved all outstanding business with the OSP such as those related to foreign currencies, marketable securities, and delivery.</w:t>
      </w:r>
    </w:p>
    <w:p w14:paraId="0F4219D4" w14:textId="77777777" w:rsidR="00C205D7" w:rsidRDefault="00C205D7">
      <w:pPr>
        <w:snapToGrid w:val="0"/>
        <w:spacing w:afterLines="100" w:after="240"/>
      </w:pPr>
    </w:p>
    <w:p w14:paraId="75E5865F" w14:textId="77777777" w:rsidR="00C205D7" w:rsidRDefault="00AE18FA">
      <w:pPr>
        <w:snapToGrid w:val="0"/>
        <w:spacing w:afterLines="100" w:after="240"/>
        <w:rPr>
          <w:b/>
          <w:bCs/>
        </w:rPr>
      </w:pPr>
      <w:r>
        <w:rPr>
          <w:b/>
          <w:bCs/>
        </w:rPr>
        <w:t>IV.</w:t>
      </w:r>
      <w:r>
        <w:rPr>
          <w:b/>
          <w:bCs/>
        </w:rPr>
        <w:tab/>
        <w:t>Revocation of Filing on Authorized Clearing Relationship</w:t>
      </w:r>
    </w:p>
    <w:p w14:paraId="0160D8BC" w14:textId="77777777" w:rsidR="00C205D7" w:rsidRDefault="00AE18FA">
      <w:pPr>
        <w:snapToGrid w:val="0"/>
        <w:spacing w:afterLines="100" w:after="240"/>
        <w:ind w:left="540" w:hanging="540"/>
      </w:pPr>
      <w:r>
        <w:t>1.</w:t>
      </w:r>
      <w:r>
        <w:tab/>
        <w:t xml:space="preserve">If the OSP no longer meets the relevant eligibility criteria and </w:t>
      </w:r>
      <w:r>
        <w:rPr>
          <w:rFonts w:hint="eastAsia"/>
        </w:rPr>
        <w:t>wishes to terminate its status or such status is revoked by SHFE</w:t>
      </w:r>
      <w:r>
        <w:t xml:space="preserve">, the Authorized Clearing Member </w:t>
      </w:r>
      <w:r>
        <w:rPr>
          <w:rFonts w:hint="eastAsia"/>
        </w:rPr>
        <w:t>is required to</w:t>
      </w:r>
      <w:r>
        <w:t xml:space="preserve"> terminate </w:t>
      </w:r>
      <w:r>
        <w:rPr>
          <w:rFonts w:hint="eastAsia"/>
        </w:rPr>
        <w:t xml:space="preserve">its </w:t>
      </w:r>
      <w:r>
        <w:t xml:space="preserve">authorized clearing relationship with the </w:t>
      </w:r>
      <w:r>
        <w:rPr>
          <w:rFonts w:hint="eastAsia"/>
        </w:rPr>
        <w:t xml:space="preserve">OSP </w:t>
      </w:r>
      <w:r>
        <w:t>within 30 trading days after the date on which it is notified by SHFE of such termination or revocation.</w:t>
      </w:r>
    </w:p>
    <w:p w14:paraId="7B675F43" w14:textId="77777777" w:rsidR="00C205D7" w:rsidRDefault="00AE18FA">
      <w:pPr>
        <w:snapToGrid w:val="0"/>
        <w:spacing w:afterLines="100" w:after="240"/>
        <w:ind w:left="540" w:hanging="540"/>
      </w:pPr>
      <w:r>
        <w:t>2.</w:t>
      </w:r>
      <w:r>
        <w:tab/>
        <w:t>Required Materials for Revocation of Filing:</w:t>
      </w:r>
    </w:p>
    <w:p w14:paraId="47BE8BAC" w14:textId="0BCD4BBE" w:rsidR="00C205D7" w:rsidRDefault="00AE18FA">
      <w:pPr>
        <w:pStyle w:val="af6"/>
        <w:numPr>
          <w:ilvl w:val="0"/>
          <w:numId w:val="3"/>
        </w:numPr>
        <w:snapToGrid w:val="0"/>
        <w:spacing w:afterLines="100" w:after="240"/>
        <w:contextualSpacing w:val="0"/>
      </w:pPr>
      <w:r>
        <w:rPr>
          <w:rFonts w:cs="Times New Roman"/>
        </w:rPr>
        <w:t>Authorized Clearing Filing Form (Appendix 2-1, “Filing Type” should be “Removal”)</w:t>
      </w:r>
    </w:p>
    <w:p w14:paraId="74010DF0" w14:textId="77777777" w:rsidR="00C205D7" w:rsidRDefault="00AE18FA">
      <w:pPr>
        <w:pStyle w:val="af6"/>
        <w:numPr>
          <w:ilvl w:val="0"/>
          <w:numId w:val="3"/>
        </w:numPr>
        <w:snapToGrid w:val="0"/>
        <w:spacing w:afterLines="100" w:after="240"/>
        <w:contextualSpacing w:val="0"/>
      </w:pPr>
      <w:r>
        <w:t>Agreement on the termination of the authorized clearing relationship</w:t>
      </w:r>
    </w:p>
    <w:p w14:paraId="6780A2D3" w14:textId="5DDF79BC" w:rsidR="00C205D7" w:rsidRDefault="00AE18FA">
      <w:pPr>
        <w:pStyle w:val="af6"/>
        <w:numPr>
          <w:ilvl w:val="0"/>
          <w:numId w:val="3"/>
        </w:numPr>
        <w:snapToGrid w:val="0"/>
        <w:spacing w:afterLines="100" w:after="240"/>
        <w:contextualSpacing w:val="0"/>
      </w:pPr>
      <w:r>
        <w:rPr>
          <w:rFonts w:cs="Times New Roman" w:hint="eastAsia"/>
        </w:rPr>
        <w:t xml:space="preserve">Proof </w:t>
      </w:r>
      <w:r>
        <w:rPr>
          <w:rFonts w:cs="Times New Roman"/>
        </w:rPr>
        <w:t>of Cancellation of Authorization on SHFE Funds Operator</w:t>
      </w:r>
    </w:p>
    <w:p w14:paraId="4CF3758F" w14:textId="77777777" w:rsidR="00C205D7" w:rsidRDefault="00AE18FA">
      <w:r>
        <w:br w:type="page"/>
      </w:r>
    </w:p>
    <w:p w14:paraId="32F1C0EC" w14:textId="614E0699" w:rsidR="00C205D7" w:rsidRDefault="00AE18FA">
      <w:pPr>
        <w:snapToGrid w:val="0"/>
        <w:spacing w:afterLines="100" w:after="240"/>
      </w:pPr>
      <w:r>
        <w:lastRenderedPageBreak/>
        <w:t>Appendix 2-1:</w:t>
      </w:r>
    </w:p>
    <w:p w14:paraId="7F82ECA1" w14:textId="77777777" w:rsidR="00C205D7" w:rsidRPr="008B3F9C" w:rsidRDefault="00AE18FA">
      <w:pPr>
        <w:snapToGrid w:val="0"/>
        <w:spacing w:afterLines="50" w:after="120"/>
        <w:jc w:val="center"/>
        <w:rPr>
          <w:b/>
          <w:bCs/>
          <w:sz w:val="28"/>
          <w:szCs w:val="28"/>
        </w:rPr>
      </w:pPr>
      <w:r w:rsidRPr="008B3F9C">
        <w:rPr>
          <w:b/>
          <w:bCs/>
          <w:sz w:val="28"/>
          <w:szCs w:val="28"/>
        </w:rPr>
        <w:t>Shanghai Futures Exchange</w:t>
      </w:r>
    </w:p>
    <w:p w14:paraId="5CBCE6F4" w14:textId="77777777" w:rsidR="00C205D7" w:rsidRDefault="00AE18FA">
      <w:pPr>
        <w:snapToGrid w:val="0"/>
        <w:spacing w:afterLines="100" w:after="240"/>
        <w:jc w:val="center"/>
        <w:rPr>
          <w:b/>
          <w:bCs/>
          <w:sz w:val="28"/>
          <w:szCs w:val="28"/>
        </w:rPr>
      </w:pPr>
      <w:r>
        <w:rPr>
          <w:b/>
          <w:bCs/>
          <w:sz w:val="28"/>
          <w:szCs w:val="28"/>
        </w:rPr>
        <w:t>Authorized Clearing Filing Form</w:t>
      </w:r>
    </w:p>
    <w:p w14:paraId="55F51241" w14:textId="77777777" w:rsidR="00C205D7" w:rsidRDefault="00C205D7">
      <w:pPr>
        <w:snapToGrid w:val="0"/>
        <w:spacing w:afterLines="100" w:after="240"/>
        <w:rPr>
          <w:b/>
          <w:bCs/>
          <w:sz w:val="28"/>
          <w:szCs w:val="28"/>
        </w:rPr>
      </w:pPr>
    </w:p>
    <w:tbl>
      <w:tblPr>
        <w:tblStyle w:val="af1"/>
        <w:tblW w:w="0" w:type="auto"/>
        <w:tblLook w:val="04A0" w:firstRow="1" w:lastRow="0" w:firstColumn="1" w:lastColumn="0" w:noHBand="0" w:noVBand="1"/>
      </w:tblPr>
      <w:tblGrid>
        <w:gridCol w:w="1525"/>
        <w:gridCol w:w="1800"/>
        <w:gridCol w:w="1183"/>
        <w:gridCol w:w="167"/>
        <w:gridCol w:w="720"/>
        <w:gridCol w:w="540"/>
        <w:gridCol w:w="827"/>
        <w:gridCol w:w="2254"/>
      </w:tblGrid>
      <w:tr w:rsidR="00C205D7" w14:paraId="3FA43AB1" w14:textId="77777777">
        <w:tc>
          <w:tcPr>
            <w:tcW w:w="1525" w:type="dxa"/>
          </w:tcPr>
          <w:p w14:paraId="35CA2BD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4"/>
          </w:tcPr>
          <w:p w14:paraId="2801BED7"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6602F3C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1A4E0F0E" w14:textId="77777777" w:rsidR="00C205D7" w:rsidRDefault="00C205D7">
            <w:pPr>
              <w:snapToGrid w:val="0"/>
              <w:spacing w:beforeLines="30" w:before="72" w:afterLines="30" w:after="72" w:line="240" w:lineRule="auto"/>
              <w:rPr>
                <w:rFonts w:cs="Times New Roman"/>
                <w:sz w:val="20"/>
                <w:szCs w:val="20"/>
              </w:rPr>
            </w:pPr>
          </w:p>
        </w:tc>
      </w:tr>
      <w:tr w:rsidR="00C205D7" w14:paraId="49019066" w14:textId="77777777">
        <w:tc>
          <w:tcPr>
            <w:tcW w:w="1525" w:type="dxa"/>
          </w:tcPr>
          <w:p w14:paraId="1A6C716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4"/>
          </w:tcPr>
          <w:p w14:paraId="4D46E20B"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335A9C3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36287447" w14:textId="77777777" w:rsidR="00C205D7" w:rsidRDefault="00C205D7">
            <w:pPr>
              <w:snapToGrid w:val="0"/>
              <w:spacing w:beforeLines="30" w:before="72" w:afterLines="30" w:after="72" w:line="240" w:lineRule="auto"/>
              <w:rPr>
                <w:rFonts w:cs="Times New Roman"/>
                <w:sz w:val="20"/>
                <w:szCs w:val="20"/>
              </w:rPr>
            </w:pPr>
          </w:p>
        </w:tc>
      </w:tr>
      <w:tr w:rsidR="00C205D7" w14:paraId="6371E520" w14:textId="77777777">
        <w:tc>
          <w:tcPr>
            <w:tcW w:w="1525" w:type="dxa"/>
            <w:tcBorders>
              <w:bottom w:val="single" w:sz="4" w:space="0" w:color="auto"/>
            </w:tcBorders>
          </w:tcPr>
          <w:p w14:paraId="5C0D734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7"/>
            <w:tcBorders>
              <w:bottom w:val="single" w:sz="4" w:space="0" w:color="auto"/>
            </w:tcBorders>
          </w:tcPr>
          <w:p w14:paraId="0B0BEC3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C205D7" w14:paraId="18CD7381" w14:textId="77777777">
        <w:tc>
          <w:tcPr>
            <w:tcW w:w="9016" w:type="dxa"/>
            <w:gridSpan w:val="8"/>
            <w:tcBorders>
              <w:left w:val="nil"/>
              <w:right w:val="nil"/>
            </w:tcBorders>
          </w:tcPr>
          <w:p w14:paraId="236FF317" w14:textId="77777777" w:rsidR="00C205D7" w:rsidRDefault="00AE18FA">
            <w:pPr>
              <w:snapToGrid w:val="0"/>
              <w:spacing w:beforeLines="30" w:before="72" w:afterLines="30" w:after="72" w:line="240" w:lineRule="auto"/>
              <w:jc w:val="center"/>
              <w:rPr>
                <w:rFonts w:cs="Times New Roman"/>
                <w:b/>
                <w:bCs/>
              </w:rPr>
            </w:pPr>
            <w:r>
              <w:rPr>
                <w:rFonts w:cs="Times New Roman"/>
                <w:b/>
                <w:bCs/>
                <w:sz w:val="22"/>
                <w:szCs w:val="22"/>
              </w:rPr>
              <w:t>Member’s Dedicated Fund Account</w:t>
            </w:r>
          </w:p>
        </w:tc>
      </w:tr>
      <w:tr w:rsidR="00C205D7" w14:paraId="112F86CC" w14:textId="77777777">
        <w:tc>
          <w:tcPr>
            <w:tcW w:w="3325" w:type="dxa"/>
            <w:gridSpan w:val="2"/>
          </w:tcPr>
          <w:p w14:paraId="1CD4CD8B"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1. Bank Name </w:t>
            </w:r>
          </w:p>
          <w:p w14:paraId="2ADE116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(Main Account Bank)</w:t>
            </w:r>
          </w:p>
        </w:tc>
        <w:tc>
          <w:tcPr>
            <w:tcW w:w="1350" w:type="dxa"/>
            <w:gridSpan w:val="2"/>
            <w:vAlign w:val="center"/>
          </w:tcPr>
          <w:p w14:paraId="244DA5C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51DEBB6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68C964DE"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11D3ECEB" w14:textId="77777777">
        <w:tc>
          <w:tcPr>
            <w:tcW w:w="3325" w:type="dxa"/>
            <w:gridSpan w:val="2"/>
          </w:tcPr>
          <w:p w14:paraId="6752F408"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7468D26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745C06F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09850ED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096725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6AC7A13" w14:textId="77777777" w:rsidR="00C205D7" w:rsidRDefault="00C205D7">
            <w:pPr>
              <w:snapToGrid w:val="0"/>
              <w:spacing w:beforeLines="30" w:before="72" w:afterLines="30" w:after="72" w:line="240" w:lineRule="auto"/>
              <w:rPr>
                <w:rFonts w:cs="Times New Roman"/>
                <w:sz w:val="20"/>
                <w:szCs w:val="20"/>
              </w:rPr>
            </w:pPr>
          </w:p>
        </w:tc>
      </w:tr>
      <w:tr w:rsidR="00C205D7" w14:paraId="1A3CC4A8" w14:textId="77777777">
        <w:tc>
          <w:tcPr>
            <w:tcW w:w="3325" w:type="dxa"/>
            <w:gridSpan w:val="2"/>
          </w:tcPr>
          <w:p w14:paraId="0A34A7D3"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2. Bank Name </w:t>
            </w:r>
          </w:p>
        </w:tc>
        <w:tc>
          <w:tcPr>
            <w:tcW w:w="1350" w:type="dxa"/>
            <w:gridSpan w:val="2"/>
            <w:vAlign w:val="center"/>
          </w:tcPr>
          <w:p w14:paraId="211702D3"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AD422D6"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0749187A"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472DDCD7" w14:textId="77777777">
        <w:tc>
          <w:tcPr>
            <w:tcW w:w="3325" w:type="dxa"/>
            <w:gridSpan w:val="2"/>
          </w:tcPr>
          <w:p w14:paraId="28512DAF"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4D52657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6D0A9C3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B17764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E2106D0"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40F39EC" w14:textId="77777777" w:rsidR="00C205D7" w:rsidRDefault="00C205D7">
            <w:pPr>
              <w:snapToGrid w:val="0"/>
              <w:spacing w:beforeLines="30" w:before="72" w:afterLines="30" w:after="72" w:line="240" w:lineRule="auto"/>
              <w:rPr>
                <w:rFonts w:cs="Times New Roman"/>
                <w:sz w:val="20"/>
                <w:szCs w:val="20"/>
              </w:rPr>
            </w:pPr>
          </w:p>
        </w:tc>
      </w:tr>
      <w:tr w:rsidR="00C205D7" w14:paraId="37A30ABE" w14:textId="77777777">
        <w:tc>
          <w:tcPr>
            <w:tcW w:w="3325" w:type="dxa"/>
            <w:gridSpan w:val="2"/>
          </w:tcPr>
          <w:p w14:paraId="457DF03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3. Bank Name </w:t>
            </w:r>
          </w:p>
        </w:tc>
        <w:tc>
          <w:tcPr>
            <w:tcW w:w="1350" w:type="dxa"/>
            <w:gridSpan w:val="2"/>
            <w:vAlign w:val="center"/>
          </w:tcPr>
          <w:p w14:paraId="0B75F642"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4774E7E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6AF0EC38"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2244B86B" w14:textId="77777777">
        <w:tc>
          <w:tcPr>
            <w:tcW w:w="3325" w:type="dxa"/>
            <w:gridSpan w:val="2"/>
          </w:tcPr>
          <w:p w14:paraId="04DFF22B" w14:textId="77777777" w:rsidR="00C205D7" w:rsidRDefault="00C205D7">
            <w:pPr>
              <w:snapToGrid w:val="0"/>
              <w:spacing w:beforeLines="30" w:before="72" w:afterLines="30" w:after="72" w:line="240" w:lineRule="auto"/>
              <w:rPr>
                <w:rFonts w:cs="Times New Roman"/>
                <w:sz w:val="20"/>
                <w:szCs w:val="20"/>
              </w:rPr>
            </w:pPr>
          </w:p>
        </w:tc>
        <w:tc>
          <w:tcPr>
            <w:tcW w:w="1350" w:type="dxa"/>
            <w:gridSpan w:val="2"/>
          </w:tcPr>
          <w:p w14:paraId="1E5A189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016F135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1D45649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0A31D8D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35589479" w14:textId="77777777" w:rsidR="00C205D7" w:rsidRDefault="00C205D7">
            <w:pPr>
              <w:snapToGrid w:val="0"/>
              <w:spacing w:beforeLines="30" w:before="72" w:afterLines="30" w:after="72" w:line="240" w:lineRule="auto"/>
              <w:rPr>
                <w:rFonts w:cs="Times New Roman"/>
                <w:sz w:val="20"/>
                <w:szCs w:val="20"/>
              </w:rPr>
            </w:pPr>
          </w:p>
        </w:tc>
      </w:tr>
      <w:tr w:rsidR="00C205D7" w14:paraId="268501D1" w14:textId="77777777">
        <w:tc>
          <w:tcPr>
            <w:tcW w:w="9016" w:type="dxa"/>
            <w:gridSpan w:val="8"/>
            <w:tcBorders>
              <w:bottom w:val="single" w:sz="4" w:space="0" w:color="auto"/>
            </w:tcBorders>
          </w:tcPr>
          <w:p w14:paraId="4163A38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(If there are other dedicated fund accounts, please fill out “Authorized Clearing Filing Form – Additional Dedicated Fund Accounts” attached below)</w:t>
            </w:r>
          </w:p>
        </w:tc>
      </w:tr>
      <w:tr w:rsidR="00C205D7" w14:paraId="363E8A56" w14:textId="77777777">
        <w:tc>
          <w:tcPr>
            <w:tcW w:w="9016" w:type="dxa"/>
            <w:gridSpan w:val="8"/>
            <w:tcBorders>
              <w:left w:val="nil"/>
              <w:bottom w:val="single" w:sz="4" w:space="0" w:color="auto"/>
              <w:right w:val="nil"/>
            </w:tcBorders>
          </w:tcPr>
          <w:p w14:paraId="57A37EA6" w14:textId="77777777" w:rsidR="00C205D7" w:rsidRDefault="00AE18FA">
            <w:pPr>
              <w:snapToGrid w:val="0"/>
              <w:spacing w:beforeLines="30" w:before="72" w:afterLines="30" w:after="72" w:line="240" w:lineRule="auto"/>
              <w:jc w:val="center"/>
              <w:rPr>
                <w:rFonts w:cs="Times New Roman"/>
                <w:b/>
                <w:bCs/>
                <w:sz w:val="22"/>
                <w:szCs w:val="22"/>
              </w:rPr>
            </w:pPr>
            <w:r>
              <w:rPr>
                <w:rFonts w:cs="Times New Roman"/>
                <w:b/>
                <w:bCs/>
                <w:sz w:val="22"/>
                <w:szCs w:val="22"/>
              </w:rPr>
              <w:t>Member’s Signature</w:t>
            </w:r>
          </w:p>
        </w:tc>
      </w:tr>
      <w:tr w:rsidR="00C205D7" w14:paraId="4613D237" w14:textId="77777777">
        <w:tc>
          <w:tcPr>
            <w:tcW w:w="4508" w:type="dxa"/>
            <w:gridSpan w:val="3"/>
            <w:tcBorders>
              <w:bottom w:val="single" w:sz="4" w:space="0" w:color="auto"/>
              <w:right w:val="nil"/>
            </w:tcBorders>
          </w:tcPr>
          <w:p w14:paraId="184DCB8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Legal Representative’s Signature/Seal:</w:t>
            </w:r>
          </w:p>
          <w:p w14:paraId="7B85BC0D" w14:textId="77777777" w:rsidR="00C205D7" w:rsidRDefault="00C205D7">
            <w:pPr>
              <w:snapToGrid w:val="0"/>
              <w:spacing w:beforeLines="30" w:before="72" w:afterLines="30" w:after="72" w:line="240" w:lineRule="auto"/>
              <w:rPr>
                <w:rFonts w:cs="Times New Roman"/>
                <w:sz w:val="20"/>
                <w:szCs w:val="20"/>
              </w:rPr>
            </w:pPr>
          </w:p>
          <w:p w14:paraId="548C3FE6" w14:textId="77777777" w:rsidR="00C205D7" w:rsidRDefault="00C205D7">
            <w:pPr>
              <w:snapToGrid w:val="0"/>
              <w:spacing w:beforeLines="30" w:before="72" w:afterLines="30" w:after="72" w:line="240" w:lineRule="auto"/>
              <w:rPr>
                <w:rFonts w:cs="Times New Roman"/>
                <w:sz w:val="20"/>
                <w:szCs w:val="20"/>
              </w:rPr>
            </w:pPr>
          </w:p>
          <w:p w14:paraId="237C3A17" w14:textId="77777777" w:rsidR="00C205D7" w:rsidRDefault="00C205D7">
            <w:pPr>
              <w:snapToGrid w:val="0"/>
              <w:spacing w:beforeLines="30" w:before="72" w:afterLines="30" w:after="72" w:line="240" w:lineRule="auto"/>
              <w:rPr>
                <w:rFonts w:cs="Times New Roman"/>
                <w:sz w:val="20"/>
                <w:szCs w:val="20"/>
              </w:rPr>
            </w:pPr>
          </w:p>
          <w:p w14:paraId="6FCD4E8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bottom w:val="single" w:sz="4" w:space="0" w:color="auto"/>
            </w:tcBorders>
          </w:tcPr>
          <w:p w14:paraId="324AB0D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Member’s Seal:</w:t>
            </w:r>
          </w:p>
          <w:p w14:paraId="766FF90E" w14:textId="77777777" w:rsidR="00C205D7" w:rsidRDefault="00C205D7">
            <w:pPr>
              <w:snapToGrid w:val="0"/>
              <w:spacing w:beforeLines="30" w:before="72" w:afterLines="30" w:after="72" w:line="240" w:lineRule="auto"/>
              <w:rPr>
                <w:rFonts w:cs="Times New Roman"/>
                <w:sz w:val="20"/>
                <w:szCs w:val="20"/>
              </w:rPr>
            </w:pPr>
          </w:p>
          <w:p w14:paraId="40B28812" w14:textId="77777777" w:rsidR="00C205D7" w:rsidRDefault="00C205D7">
            <w:pPr>
              <w:snapToGrid w:val="0"/>
              <w:spacing w:beforeLines="30" w:before="72" w:afterLines="30" w:after="72" w:line="240" w:lineRule="auto"/>
              <w:rPr>
                <w:rFonts w:cs="Times New Roman"/>
                <w:sz w:val="20"/>
                <w:szCs w:val="20"/>
              </w:rPr>
            </w:pPr>
          </w:p>
          <w:p w14:paraId="1C1AE94B" w14:textId="77777777" w:rsidR="00C205D7" w:rsidRDefault="00C205D7">
            <w:pPr>
              <w:snapToGrid w:val="0"/>
              <w:spacing w:beforeLines="30" w:before="72" w:afterLines="30" w:after="72" w:line="240" w:lineRule="auto"/>
              <w:rPr>
                <w:rFonts w:cs="Times New Roman"/>
                <w:sz w:val="20"/>
                <w:szCs w:val="20"/>
              </w:rPr>
            </w:pPr>
          </w:p>
          <w:p w14:paraId="4F74920D" w14:textId="77777777" w:rsidR="00C205D7" w:rsidRDefault="00C205D7">
            <w:pPr>
              <w:snapToGrid w:val="0"/>
              <w:spacing w:beforeLines="30" w:before="72" w:afterLines="30" w:after="72" w:line="240" w:lineRule="auto"/>
              <w:rPr>
                <w:rFonts w:cs="Times New Roman"/>
                <w:sz w:val="20"/>
                <w:szCs w:val="20"/>
              </w:rPr>
            </w:pPr>
          </w:p>
        </w:tc>
      </w:tr>
      <w:tr w:rsidR="00C205D7" w14:paraId="068E35E8" w14:textId="77777777">
        <w:tc>
          <w:tcPr>
            <w:tcW w:w="4508" w:type="dxa"/>
            <w:gridSpan w:val="3"/>
            <w:tcBorders>
              <w:right w:val="nil"/>
            </w:tcBorders>
          </w:tcPr>
          <w:p w14:paraId="01746B7D" w14:textId="77777777" w:rsidR="00C205D7" w:rsidRDefault="00AE18FA">
            <w:pPr>
              <w:snapToGrid w:val="0"/>
              <w:spacing w:beforeLines="30" w:before="72" w:afterLines="30" w:after="72" w:line="240" w:lineRule="auto"/>
              <w:rPr>
                <w:rFonts w:cs="Times New Roman"/>
                <w:sz w:val="20"/>
                <w:szCs w:val="20"/>
              </w:rPr>
            </w:pPr>
            <w:r>
              <w:rPr>
                <w:rFonts w:cs="Times New Roman" w:hint="eastAsia"/>
                <w:sz w:val="20"/>
                <w:szCs w:val="20"/>
              </w:rPr>
              <w:t>Clearing Handler</w:t>
            </w:r>
            <w:r>
              <w:rPr>
                <w:rFonts w:cs="Times New Roman"/>
                <w:sz w:val="20"/>
                <w:szCs w:val="20"/>
              </w:rPr>
              <w:t>:</w:t>
            </w:r>
          </w:p>
          <w:p w14:paraId="6A4C5647" w14:textId="77777777" w:rsidR="00C205D7" w:rsidRDefault="00C205D7">
            <w:pPr>
              <w:snapToGrid w:val="0"/>
              <w:spacing w:beforeLines="30" w:before="72" w:afterLines="30" w:after="72" w:line="240" w:lineRule="auto"/>
              <w:rPr>
                <w:rFonts w:cs="Times New Roman"/>
                <w:sz w:val="20"/>
                <w:szCs w:val="20"/>
              </w:rPr>
            </w:pPr>
          </w:p>
          <w:p w14:paraId="0D96C0A8" w14:textId="77777777" w:rsidR="00C205D7" w:rsidRDefault="00C205D7">
            <w:pPr>
              <w:snapToGrid w:val="0"/>
              <w:spacing w:beforeLines="30" w:before="72" w:afterLines="30" w:after="72" w:line="240" w:lineRule="auto"/>
              <w:rPr>
                <w:rFonts w:cs="Times New Roman"/>
                <w:sz w:val="20"/>
                <w:szCs w:val="20"/>
              </w:rPr>
            </w:pPr>
          </w:p>
          <w:p w14:paraId="6B69AA52" w14:textId="77777777" w:rsidR="00C205D7" w:rsidRDefault="00C205D7">
            <w:pPr>
              <w:snapToGrid w:val="0"/>
              <w:spacing w:beforeLines="30" w:before="72" w:afterLines="30" w:after="72" w:line="240" w:lineRule="auto"/>
              <w:rPr>
                <w:rFonts w:cs="Times New Roman"/>
                <w:sz w:val="20"/>
                <w:szCs w:val="20"/>
              </w:rPr>
            </w:pPr>
          </w:p>
          <w:p w14:paraId="4FB7FBF5"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tcBorders>
          </w:tcPr>
          <w:p w14:paraId="6049BCB2"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Clearing Reviewer:</w:t>
            </w:r>
          </w:p>
          <w:p w14:paraId="07D8D893" w14:textId="77777777" w:rsidR="00C205D7" w:rsidRDefault="00C205D7">
            <w:pPr>
              <w:snapToGrid w:val="0"/>
              <w:spacing w:beforeLines="30" w:before="72" w:afterLines="30" w:after="72" w:line="240" w:lineRule="auto"/>
              <w:rPr>
                <w:rFonts w:cs="Times New Roman"/>
                <w:sz w:val="20"/>
                <w:szCs w:val="20"/>
              </w:rPr>
            </w:pPr>
          </w:p>
          <w:p w14:paraId="24F94610" w14:textId="77777777" w:rsidR="00C205D7" w:rsidRDefault="00C205D7">
            <w:pPr>
              <w:snapToGrid w:val="0"/>
              <w:spacing w:beforeLines="30" w:before="72" w:afterLines="30" w:after="72" w:line="240" w:lineRule="auto"/>
              <w:rPr>
                <w:rFonts w:cs="Times New Roman"/>
                <w:sz w:val="20"/>
                <w:szCs w:val="20"/>
              </w:rPr>
            </w:pPr>
          </w:p>
          <w:p w14:paraId="0A01924E" w14:textId="77777777" w:rsidR="00C205D7" w:rsidRDefault="00C205D7">
            <w:pPr>
              <w:snapToGrid w:val="0"/>
              <w:spacing w:beforeLines="30" w:before="72" w:afterLines="30" w:after="72" w:line="240" w:lineRule="auto"/>
              <w:rPr>
                <w:rFonts w:cs="Times New Roman"/>
                <w:sz w:val="20"/>
                <w:szCs w:val="20"/>
              </w:rPr>
            </w:pPr>
          </w:p>
          <w:p w14:paraId="7956808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Date:</w:t>
            </w:r>
          </w:p>
        </w:tc>
      </w:tr>
    </w:tbl>
    <w:p w14:paraId="18B6BDDB" w14:textId="77777777" w:rsidR="00C205D7" w:rsidRDefault="00C205D7">
      <w:pPr>
        <w:snapToGrid w:val="0"/>
        <w:spacing w:afterLines="100" w:after="240"/>
        <w:rPr>
          <w:b/>
          <w:bCs/>
          <w:sz w:val="28"/>
          <w:szCs w:val="28"/>
        </w:rPr>
      </w:pPr>
    </w:p>
    <w:p w14:paraId="359E335B" w14:textId="77777777" w:rsidR="00C205D7" w:rsidRDefault="00AE18FA">
      <w:pPr>
        <w:rPr>
          <w:b/>
          <w:bCs/>
          <w:sz w:val="28"/>
          <w:szCs w:val="28"/>
        </w:rPr>
      </w:pPr>
      <w:r>
        <w:rPr>
          <w:b/>
          <w:bCs/>
          <w:sz w:val="28"/>
          <w:szCs w:val="28"/>
        </w:rPr>
        <w:br w:type="page"/>
      </w:r>
    </w:p>
    <w:p w14:paraId="1124F7C3" w14:textId="77777777" w:rsidR="00C205D7" w:rsidRPr="008B3F9C" w:rsidRDefault="00AE18FA">
      <w:pPr>
        <w:snapToGrid w:val="0"/>
        <w:spacing w:afterLines="50" w:after="120"/>
        <w:jc w:val="center"/>
        <w:rPr>
          <w:b/>
          <w:bCs/>
          <w:sz w:val="28"/>
          <w:szCs w:val="28"/>
        </w:rPr>
      </w:pPr>
      <w:r w:rsidRPr="008B3F9C">
        <w:rPr>
          <w:b/>
          <w:bCs/>
          <w:sz w:val="28"/>
          <w:szCs w:val="28"/>
        </w:rPr>
        <w:lastRenderedPageBreak/>
        <w:t>Shanghai Futures Exchange</w:t>
      </w:r>
    </w:p>
    <w:p w14:paraId="5241B52D" w14:textId="77777777" w:rsidR="00C205D7" w:rsidRDefault="00AE18FA">
      <w:pPr>
        <w:snapToGrid w:val="0"/>
        <w:spacing w:afterLines="100" w:after="240"/>
        <w:jc w:val="center"/>
        <w:rPr>
          <w:b/>
          <w:bCs/>
          <w:sz w:val="28"/>
          <w:szCs w:val="28"/>
        </w:rPr>
      </w:pPr>
      <w:r>
        <w:rPr>
          <w:b/>
          <w:bCs/>
          <w:sz w:val="28"/>
          <w:szCs w:val="28"/>
        </w:rPr>
        <w:t>Authorized Clearing Filing Form – Additional Dedicated Fund Accounts</w:t>
      </w:r>
    </w:p>
    <w:p w14:paraId="3DD0682C" w14:textId="77777777" w:rsidR="00C205D7" w:rsidRDefault="00C205D7">
      <w:pPr>
        <w:snapToGrid w:val="0"/>
        <w:spacing w:afterLines="100" w:after="240"/>
        <w:rPr>
          <w:sz w:val="28"/>
          <w:szCs w:val="28"/>
        </w:rPr>
      </w:pPr>
    </w:p>
    <w:tbl>
      <w:tblPr>
        <w:tblStyle w:val="af1"/>
        <w:tblW w:w="0" w:type="auto"/>
        <w:tblLook w:val="04A0" w:firstRow="1" w:lastRow="0" w:firstColumn="1" w:lastColumn="0" w:noHBand="0" w:noVBand="1"/>
      </w:tblPr>
      <w:tblGrid>
        <w:gridCol w:w="1525"/>
        <w:gridCol w:w="1800"/>
        <w:gridCol w:w="1350"/>
        <w:gridCol w:w="720"/>
        <w:gridCol w:w="540"/>
        <w:gridCol w:w="827"/>
        <w:gridCol w:w="2254"/>
      </w:tblGrid>
      <w:tr w:rsidR="00C205D7" w14:paraId="6588759E" w14:textId="77777777">
        <w:tc>
          <w:tcPr>
            <w:tcW w:w="1525" w:type="dxa"/>
          </w:tcPr>
          <w:p w14:paraId="7F393E3E"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3"/>
          </w:tcPr>
          <w:p w14:paraId="5215BDB1"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271B222B"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56FA908E" w14:textId="77777777" w:rsidR="00C205D7" w:rsidRDefault="00C205D7">
            <w:pPr>
              <w:snapToGrid w:val="0"/>
              <w:spacing w:beforeLines="30" w:before="72" w:afterLines="30" w:after="72" w:line="240" w:lineRule="auto"/>
              <w:rPr>
                <w:rFonts w:cs="Times New Roman"/>
                <w:sz w:val="20"/>
                <w:szCs w:val="20"/>
              </w:rPr>
            </w:pPr>
          </w:p>
        </w:tc>
      </w:tr>
      <w:tr w:rsidR="00C205D7" w14:paraId="2B6DA5AD" w14:textId="77777777">
        <w:tc>
          <w:tcPr>
            <w:tcW w:w="1525" w:type="dxa"/>
          </w:tcPr>
          <w:p w14:paraId="3F152D0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3"/>
          </w:tcPr>
          <w:p w14:paraId="2A6D3E56" w14:textId="77777777" w:rsidR="00C205D7" w:rsidRDefault="00C205D7">
            <w:pPr>
              <w:snapToGrid w:val="0"/>
              <w:spacing w:beforeLines="30" w:before="72" w:afterLines="30" w:after="72" w:line="240" w:lineRule="auto"/>
              <w:rPr>
                <w:rFonts w:cs="Times New Roman"/>
                <w:sz w:val="20"/>
                <w:szCs w:val="20"/>
              </w:rPr>
            </w:pPr>
          </w:p>
        </w:tc>
        <w:tc>
          <w:tcPr>
            <w:tcW w:w="1367" w:type="dxa"/>
            <w:gridSpan w:val="2"/>
          </w:tcPr>
          <w:p w14:paraId="3BFD2616"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79AAE059" w14:textId="77777777" w:rsidR="00C205D7" w:rsidRDefault="00C205D7">
            <w:pPr>
              <w:snapToGrid w:val="0"/>
              <w:spacing w:beforeLines="30" w:before="72" w:afterLines="30" w:after="72" w:line="240" w:lineRule="auto"/>
              <w:rPr>
                <w:rFonts w:cs="Times New Roman"/>
                <w:sz w:val="20"/>
                <w:szCs w:val="20"/>
              </w:rPr>
            </w:pPr>
          </w:p>
        </w:tc>
      </w:tr>
      <w:tr w:rsidR="00C205D7" w14:paraId="3B522A6F" w14:textId="77777777">
        <w:tc>
          <w:tcPr>
            <w:tcW w:w="1525" w:type="dxa"/>
            <w:tcBorders>
              <w:bottom w:val="single" w:sz="4" w:space="0" w:color="auto"/>
            </w:tcBorders>
          </w:tcPr>
          <w:p w14:paraId="2879B4B1"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6"/>
            <w:tcBorders>
              <w:bottom w:val="single" w:sz="4" w:space="0" w:color="auto"/>
            </w:tcBorders>
          </w:tcPr>
          <w:p w14:paraId="6015B1C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C205D7" w14:paraId="69796EA0" w14:textId="77777777">
        <w:tc>
          <w:tcPr>
            <w:tcW w:w="9016" w:type="dxa"/>
            <w:gridSpan w:val="7"/>
            <w:tcBorders>
              <w:left w:val="nil"/>
              <w:right w:val="nil"/>
            </w:tcBorders>
          </w:tcPr>
          <w:p w14:paraId="5A32C9ED" w14:textId="77777777" w:rsidR="00C205D7" w:rsidRDefault="00AE18FA">
            <w:pPr>
              <w:snapToGrid w:val="0"/>
              <w:spacing w:beforeLines="30" w:before="72" w:afterLines="30" w:after="72" w:line="240" w:lineRule="auto"/>
              <w:jc w:val="center"/>
              <w:rPr>
                <w:rFonts w:cs="Times New Roman"/>
                <w:b/>
                <w:bCs/>
              </w:rPr>
            </w:pPr>
            <w:r>
              <w:rPr>
                <w:rFonts w:cs="Times New Roman"/>
                <w:b/>
                <w:bCs/>
                <w:sz w:val="22"/>
                <w:szCs w:val="22"/>
              </w:rPr>
              <w:t>Member’s Dedicated Fund Account (Cont’d)</w:t>
            </w:r>
          </w:p>
        </w:tc>
      </w:tr>
      <w:tr w:rsidR="00C205D7" w14:paraId="631EDC5B" w14:textId="77777777">
        <w:tc>
          <w:tcPr>
            <w:tcW w:w="3325" w:type="dxa"/>
            <w:gridSpan w:val="2"/>
          </w:tcPr>
          <w:p w14:paraId="7295CEA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4. Bank Name </w:t>
            </w:r>
          </w:p>
        </w:tc>
        <w:tc>
          <w:tcPr>
            <w:tcW w:w="1350" w:type="dxa"/>
            <w:vAlign w:val="center"/>
          </w:tcPr>
          <w:p w14:paraId="7826F240"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92889FF"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342C22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3EFC5E50" w14:textId="77777777">
        <w:tc>
          <w:tcPr>
            <w:tcW w:w="3325" w:type="dxa"/>
            <w:gridSpan w:val="2"/>
          </w:tcPr>
          <w:p w14:paraId="31F883DF"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25E7E2AC"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4BEFA019"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2DDC11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5045594F"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0F801042" w14:textId="77777777" w:rsidR="00C205D7" w:rsidRDefault="00C205D7">
            <w:pPr>
              <w:snapToGrid w:val="0"/>
              <w:spacing w:beforeLines="30" w:before="72" w:afterLines="30" w:after="72" w:line="240" w:lineRule="auto"/>
              <w:rPr>
                <w:rFonts w:cs="Times New Roman"/>
                <w:sz w:val="20"/>
                <w:szCs w:val="20"/>
              </w:rPr>
            </w:pPr>
          </w:p>
        </w:tc>
      </w:tr>
      <w:tr w:rsidR="00C205D7" w14:paraId="3B6372B3" w14:textId="77777777">
        <w:tc>
          <w:tcPr>
            <w:tcW w:w="3325" w:type="dxa"/>
            <w:gridSpan w:val="2"/>
          </w:tcPr>
          <w:p w14:paraId="72BAEE96"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5. Bank Name </w:t>
            </w:r>
          </w:p>
        </w:tc>
        <w:tc>
          <w:tcPr>
            <w:tcW w:w="1350" w:type="dxa"/>
            <w:vAlign w:val="center"/>
          </w:tcPr>
          <w:p w14:paraId="085FF44B"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642BA834"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9E0AD40"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010386FA" w14:textId="77777777">
        <w:tc>
          <w:tcPr>
            <w:tcW w:w="3325" w:type="dxa"/>
            <w:gridSpan w:val="2"/>
          </w:tcPr>
          <w:p w14:paraId="71342001"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77BCC48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1FCCDDD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116756C0"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4477CED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3467501" w14:textId="77777777" w:rsidR="00C205D7" w:rsidRDefault="00C205D7">
            <w:pPr>
              <w:snapToGrid w:val="0"/>
              <w:spacing w:beforeLines="30" w:before="72" w:afterLines="30" w:after="72" w:line="240" w:lineRule="auto"/>
              <w:rPr>
                <w:rFonts w:cs="Times New Roman"/>
                <w:sz w:val="20"/>
                <w:szCs w:val="20"/>
              </w:rPr>
            </w:pPr>
          </w:p>
        </w:tc>
      </w:tr>
      <w:tr w:rsidR="00C205D7" w14:paraId="02F2951B" w14:textId="77777777">
        <w:tc>
          <w:tcPr>
            <w:tcW w:w="3325" w:type="dxa"/>
            <w:gridSpan w:val="2"/>
          </w:tcPr>
          <w:p w14:paraId="7F5DCF9A"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t xml:space="preserve">6. Bank Name </w:t>
            </w:r>
          </w:p>
        </w:tc>
        <w:tc>
          <w:tcPr>
            <w:tcW w:w="1350" w:type="dxa"/>
            <w:vAlign w:val="center"/>
          </w:tcPr>
          <w:p w14:paraId="4CF23C49"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03FF8CC6"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DC829A5" w14:textId="77777777" w:rsidR="00C205D7" w:rsidRDefault="00AE18FA">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C205D7" w14:paraId="4ADEB45D" w14:textId="77777777">
        <w:tc>
          <w:tcPr>
            <w:tcW w:w="3325" w:type="dxa"/>
            <w:gridSpan w:val="2"/>
          </w:tcPr>
          <w:p w14:paraId="2F4EF185" w14:textId="77777777" w:rsidR="00C205D7" w:rsidRDefault="00C205D7">
            <w:pPr>
              <w:snapToGrid w:val="0"/>
              <w:spacing w:beforeLines="30" w:before="72" w:afterLines="30" w:after="72" w:line="240" w:lineRule="auto"/>
              <w:rPr>
                <w:rFonts w:cs="Times New Roman"/>
                <w:sz w:val="20"/>
                <w:szCs w:val="20"/>
              </w:rPr>
            </w:pPr>
          </w:p>
        </w:tc>
        <w:tc>
          <w:tcPr>
            <w:tcW w:w="1350" w:type="dxa"/>
          </w:tcPr>
          <w:p w14:paraId="02944474"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0D12C50D"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241E2BF7"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4895B98" w14:textId="77777777" w:rsidR="00C205D7" w:rsidRDefault="00AE18FA">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148B9BA5" w14:textId="77777777" w:rsidR="00C205D7" w:rsidRDefault="00C205D7">
            <w:pPr>
              <w:snapToGrid w:val="0"/>
              <w:spacing w:beforeLines="30" w:before="72" w:afterLines="30" w:after="72" w:line="240" w:lineRule="auto"/>
              <w:rPr>
                <w:rFonts w:cs="Times New Roman"/>
                <w:sz w:val="20"/>
                <w:szCs w:val="20"/>
              </w:rPr>
            </w:pPr>
          </w:p>
        </w:tc>
      </w:tr>
    </w:tbl>
    <w:p w14:paraId="5CBA2472" w14:textId="77777777" w:rsidR="00C205D7" w:rsidRDefault="00C205D7">
      <w:pPr>
        <w:snapToGrid w:val="0"/>
        <w:spacing w:afterLines="100" w:after="240"/>
        <w:rPr>
          <w:sz w:val="20"/>
          <w:szCs w:val="20"/>
        </w:rPr>
      </w:pPr>
    </w:p>
    <w:p w14:paraId="6C1504AD" w14:textId="77777777" w:rsidR="00C205D7" w:rsidRDefault="00AE18FA">
      <w:pPr>
        <w:snapToGrid w:val="0"/>
        <w:spacing w:afterLines="100" w:after="240"/>
        <w:rPr>
          <w:sz w:val="20"/>
          <w:szCs w:val="20"/>
        </w:rPr>
      </w:pPr>
      <w:r>
        <w:rPr>
          <w:sz w:val="20"/>
          <w:szCs w:val="20"/>
        </w:rPr>
        <w:t>Member’s Seal:</w:t>
      </w:r>
    </w:p>
    <w:p w14:paraId="7D6143D3" w14:textId="77777777" w:rsidR="00C205D7" w:rsidRDefault="00C205D7">
      <w:pPr>
        <w:snapToGrid w:val="0"/>
        <w:spacing w:afterLines="100" w:after="240"/>
      </w:pPr>
    </w:p>
    <w:p w14:paraId="1773F3E9" w14:textId="77777777" w:rsidR="00C205D7" w:rsidRDefault="00C205D7">
      <w:pPr>
        <w:snapToGrid w:val="0"/>
        <w:spacing w:afterLines="100" w:after="240"/>
      </w:pPr>
    </w:p>
    <w:sectPr w:rsidR="00C205D7">
      <w:footerReference w:type="default" r:id="rId7"/>
      <w:pgSz w:w="11906" w:h="16838"/>
      <w:pgMar w:top="1440" w:right="1440" w:bottom="1440" w:left="1440" w:header="720" w:footer="9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024C7" w14:textId="77777777" w:rsidR="009C6585" w:rsidRDefault="009C6585">
      <w:pPr>
        <w:spacing w:line="240" w:lineRule="auto"/>
      </w:pPr>
      <w:r>
        <w:separator/>
      </w:r>
    </w:p>
  </w:endnote>
  <w:endnote w:type="continuationSeparator" w:id="0">
    <w:p w14:paraId="6EC4F696" w14:textId="77777777" w:rsidR="009C6585" w:rsidRDefault="009C6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sz w:val="20"/>
        <w:szCs w:val="20"/>
      </w:rPr>
    </w:sdtEndPr>
    <w:sdtContent>
      <w:p w14:paraId="19511521" w14:textId="149E33C6" w:rsidR="00C205D7" w:rsidRDefault="00AE18FA">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564E4D">
          <w:rPr>
            <w:noProof/>
            <w:sz w:val="20"/>
            <w:szCs w:val="20"/>
          </w:rPr>
          <w:t>8</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BFAC8" w14:textId="77777777" w:rsidR="009C6585" w:rsidRDefault="009C6585">
      <w:r>
        <w:separator/>
      </w:r>
    </w:p>
  </w:footnote>
  <w:footnote w:type="continuationSeparator" w:id="0">
    <w:p w14:paraId="7D3BC6F3" w14:textId="77777777" w:rsidR="009C6585" w:rsidRDefault="009C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4DD"/>
    <w:multiLevelType w:val="multilevel"/>
    <w:tmpl w:val="064B1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656664"/>
    <w:multiLevelType w:val="multilevel"/>
    <w:tmpl w:val="46656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4371FC"/>
    <w:multiLevelType w:val="multilevel"/>
    <w:tmpl w:val="6D437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B2"/>
    <w:rsid w:val="8EAFD6BA"/>
    <w:rsid w:val="9BDDF727"/>
    <w:rsid w:val="B7F936F1"/>
    <w:rsid w:val="BBFF2C2C"/>
    <w:rsid w:val="BDDFB18F"/>
    <w:rsid w:val="CBB90B55"/>
    <w:rsid w:val="CFBBEB4B"/>
    <w:rsid w:val="D3FDC559"/>
    <w:rsid w:val="D9BD9667"/>
    <w:rsid w:val="D9DD6363"/>
    <w:rsid w:val="DBAB730C"/>
    <w:rsid w:val="DEB75FA8"/>
    <w:rsid w:val="DECE8CCB"/>
    <w:rsid w:val="DFE8120D"/>
    <w:rsid w:val="DFFB16EA"/>
    <w:rsid w:val="DFFF45F0"/>
    <w:rsid w:val="EFFF5383"/>
    <w:rsid w:val="F57D2B87"/>
    <w:rsid w:val="F73EAE3F"/>
    <w:rsid w:val="F7FD5A58"/>
    <w:rsid w:val="FD66AD9A"/>
    <w:rsid w:val="FD774730"/>
    <w:rsid w:val="FE7FC3AB"/>
    <w:rsid w:val="FFEB5B0E"/>
    <w:rsid w:val="00070B72"/>
    <w:rsid w:val="000857C7"/>
    <w:rsid w:val="000D6760"/>
    <w:rsid w:val="00133EC0"/>
    <w:rsid w:val="00171915"/>
    <w:rsid w:val="00172ABB"/>
    <w:rsid w:val="00174B76"/>
    <w:rsid w:val="00186878"/>
    <w:rsid w:val="001A4960"/>
    <w:rsid w:val="001A7D33"/>
    <w:rsid w:val="001B3965"/>
    <w:rsid w:val="001D280E"/>
    <w:rsid w:val="001F0A15"/>
    <w:rsid w:val="001F116D"/>
    <w:rsid w:val="00211A50"/>
    <w:rsid w:val="00222B9D"/>
    <w:rsid w:val="0023433C"/>
    <w:rsid w:val="002356FF"/>
    <w:rsid w:val="0024583D"/>
    <w:rsid w:val="00266F0E"/>
    <w:rsid w:val="002670B2"/>
    <w:rsid w:val="00293780"/>
    <w:rsid w:val="002C6522"/>
    <w:rsid w:val="002C7911"/>
    <w:rsid w:val="002D253F"/>
    <w:rsid w:val="002E4D55"/>
    <w:rsid w:val="002F1354"/>
    <w:rsid w:val="00302A83"/>
    <w:rsid w:val="00345B6B"/>
    <w:rsid w:val="00355FF2"/>
    <w:rsid w:val="00360F64"/>
    <w:rsid w:val="003641AE"/>
    <w:rsid w:val="00366B0D"/>
    <w:rsid w:val="003672FC"/>
    <w:rsid w:val="00376887"/>
    <w:rsid w:val="00396101"/>
    <w:rsid w:val="003D66F9"/>
    <w:rsid w:val="003E262F"/>
    <w:rsid w:val="003E3BE1"/>
    <w:rsid w:val="003E4520"/>
    <w:rsid w:val="003F7A1B"/>
    <w:rsid w:val="004018C1"/>
    <w:rsid w:val="00407855"/>
    <w:rsid w:val="00415825"/>
    <w:rsid w:val="00425ED5"/>
    <w:rsid w:val="00463664"/>
    <w:rsid w:val="004756F3"/>
    <w:rsid w:val="004A5F5C"/>
    <w:rsid w:val="004F2EBB"/>
    <w:rsid w:val="004F3E96"/>
    <w:rsid w:val="00501E8B"/>
    <w:rsid w:val="0051255B"/>
    <w:rsid w:val="005261C0"/>
    <w:rsid w:val="005328E3"/>
    <w:rsid w:val="00536416"/>
    <w:rsid w:val="00541D4A"/>
    <w:rsid w:val="00555344"/>
    <w:rsid w:val="00564E4D"/>
    <w:rsid w:val="005657FB"/>
    <w:rsid w:val="00584208"/>
    <w:rsid w:val="005A4E65"/>
    <w:rsid w:val="005B5641"/>
    <w:rsid w:val="005C1A74"/>
    <w:rsid w:val="005C1D72"/>
    <w:rsid w:val="005C20E6"/>
    <w:rsid w:val="005C39ED"/>
    <w:rsid w:val="005D417B"/>
    <w:rsid w:val="005D558F"/>
    <w:rsid w:val="005D5C92"/>
    <w:rsid w:val="005E2336"/>
    <w:rsid w:val="006216CE"/>
    <w:rsid w:val="0062409A"/>
    <w:rsid w:val="006515D2"/>
    <w:rsid w:val="006754CC"/>
    <w:rsid w:val="006C0D1B"/>
    <w:rsid w:val="006C747A"/>
    <w:rsid w:val="006D40AC"/>
    <w:rsid w:val="006D5B83"/>
    <w:rsid w:val="006D69D7"/>
    <w:rsid w:val="00723BE1"/>
    <w:rsid w:val="007425AD"/>
    <w:rsid w:val="007469D3"/>
    <w:rsid w:val="00753B7E"/>
    <w:rsid w:val="00767F6C"/>
    <w:rsid w:val="007721F4"/>
    <w:rsid w:val="00790B7F"/>
    <w:rsid w:val="00791896"/>
    <w:rsid w:val="007B61A5"/>
    <w:rsid w:val="007C2FAA"/>
    <w:rsid w:val="007E4EF2"/>
    <w:rsid w:val="007F1178"/>
    <w:rsid w:val="007F4F76"/>
    <w:rsid w:val="008034E4"/>
    <w:rsid w:val="00804322"/>
    <w:rsid w:val="0086122C"/>
    <w:rsid w:val="00895AF2"/>
    <w:rsid w:val="008A3274"/>
    <w:rsid w:val="008A510B"/>
    <w:rsid w:val="008B3F9C"/>
    <w:rsid w:val="008C06FD"/>
    <w:rsid w:val="008C746B"/>
    <w:rsid w:val="0091431A"/>
    <w:rsid w:val="0092174C"/>
    <w:rsid w:val="00921F6C"/>
    <w:rsid w:val="00933011"/>
    <w:rsid w:val="009411B1"/>
    <w:rsid w:val="00971E3B"/>
    <w:rsid w:val="00995E66"/>
    <w:rsid w:val="009A4C01"/>
    <w:rsid w:val="009C6585"/>
    <w:rsid w:val="009D08B2"/>
    <w:rsid w:val="009D47ED"/>
    <w:rsid w:val="009E600B"/>
    <w:rsid w:val="009E7567"/>
    <w:rsid w:val="00A12684"/>
    <w:rsid w:val="00A1760A"/>
    <w:rsid w:val="00A22053"/>
    <w:rsid w:val="00A26519"/>
    <w:rsid w:val="00A311F0"/>
    <w:rsid w:val="00A66EDB"/>
    <w:rsid w:val="00A82CC5"/>
    <w:rsid w:val="00A836BC"/>
    <w:rsid w:val="00A86BDC"/>
    <w:rsid w:val="00AA3AA1"/>
    <w:rsid w:val="00AA4C2F"/>
    <w:rsid w:val="00AC2046"/>
    <w:rsid w:val="00AC6E73"/>
    <w:rsid w:val="00AE18FA"/>
    <w:rsid w:val="00AE2C15"/>
    <w:rsid w:val="00AE5F5B"/>
    <w:rsid w:val="00B27F4E"/>
    <w:rsid w:val="00B50442"/>
    <w:rsid w:val="00B61396"/>
    <w:rsid w:val="00B82CC0"/>
    <w:rsid w:val="00BB6BEF"/>
    <w:rsid w:val="00BC1B53"/>
    <w:rsid w:val="00BC5F42"/>
    <w:rsid w:val="00BC6B79"/>
    <w:rsid w:val="00BD61B3"/>
    <w:rsid w:val="00BE4189"/>
    <w:rsid w:val="00C111A7"/>
    <w:rsid w:val="00C205D7"/>
    <w:rsid w:val="00C279A8"/>
    <w:rsid w:val="00C74160"/>
    <w:rsid w:val="00C75664"/>
    <w:rsid w:val="00C82574"/>
    <w:rsid w:val="00CB65F3"/>
    <w:rsid w:val="00CC367C"/>
    <w:rsid w:val="00D0053D"/>
    <w:rsid w:val="00D07711"/>
    <w:rsid w:val="00D16652"/>
    <w:rsid w:val="00D35A14"/>
    <w:rsid w:val="00D60242"/>
    <w:rsid w:val="00D81420"/>
    <w:rsid w:val="00DA03F1"/>
    <w:rsid w:val="00DA65CD"/>
    <w:rsid w:val="00DB1F59"/>
    <w:rsid w:val="00DD0253"/>
    <w:rsid w:val="00DE02DE"/>
    <w:rsid w:val="00E12739"/>
    <w:rsid w:val="00E12FE8"/>
    <w:rsid w:val="00E305F1"/>
    <w:rsid w:val="00E718F8"/>
    <w:rsid w:val="00EA3CC8"/>
    <w:rsid w:val="00EA4276"/>
    <w:rsid w:val="00EA5EE0"/>
    <w:rsid w:val="00EC074B"/>
    <w:rsid w:val="00EC5385"/>
    <w:rsid w:val="00EF190A"/>
    <w:rsid w:val="00F131FF"/>
    <w:rsid w:val="00F2745B"/>
    <w:rsid w:val="00F4680E"/>
    <w:rsid w:val="00F508C2"/>
    <w:rsid w:val="00F553B1"/>
    <w:rsid w:val="00F559A9"/>
    <w:rsid w:val="00F658BA"/>
    <w:rsid w:val="00F70A57"/>
    <w:rsid w:val="00F91CB0"/>
    <w:rsid w:val="00FB0747"/>
    <w:rsid w:val="00FC5371"/>
    <w:rsid w:val="00FD749F"/>
    <w:rsid w:val="00FE7F9A"/>
    <w:rsid w:val="00FF010E"/>
    <w:rsid w:val="00FF299F"/>
    <w:rsid w:val="07F1A698"/>
    <w:rsid w:val="1FFFFACE"/>
    <w:rsid w:val="3E4B3B4E"/>
    <w:rsid w:val="4DFD6F2B"/>
    <w:rsid w:val="52AFE2C3"/>
    <w:rsid w:val="6AA7A707"/>
    <w:rsid w:val="6BBCE743"/>
    <w:rsid w:val="6BEF2E24"/>
    <w:rsid w:val="6FFD1471"/>
    <w:rsid w:val="73760B71"/>
    <w:rsid w:val="739560D2"/>
    <w:rsid w:val="78DEEAAE"/>
    <w:rsid w:val="79776E57"/>
    <w:rsid w:val="7BB9B6E1"/>
    <w:rsid w:val="7BEF7515"/>
    <w:rsid w:val="7DFA5E27"/>
    <w:rsid w:val="7E5F3835"/>
    <w:rsid w:val="7EE6ABD5"/>
    <w:rsid w:val="7F2A10B7"/>
    <w:rsid w:val="7F37B609"/>
    <w:rsid w:val="7F7B6D8E"/>
    <w:rsid w:val="7FAB9E11"/>
    <w:rsid w:val="7F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E1A4"/>
  <w15:docId w15:val="{32ED347E-F5B1-4F21-98E2-DFBDB157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rFonts w:ascii="Arial" w:hAnsi="Arial"/>
      <w:sz w:val="20"/>
      <w:szCs w:val="20"/>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ab">
    <w:name w:val="Subtitle"/>
    <w:basedOn w:val="a"/>
    <w:next w:val="a"/>
    <w:link w:val="ac"/>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rFonts w:ascii="Times New Roman" w:hAnsi="Times New Roman"/>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16"/>
      <w:szCs w:val="16"/>
    </w:rPr>
  </w:style>
  <w:style w:type="character" w:customStyle="1" w:styleId="a4">
    <w:name w:val="批注文字 字符"/>
    <w:basedOn w:val="a0"/>
    <w:link w:val="a3"/>
    <w:uiPriority w:val="99"/>
    <w:semiHidden/>
    <w:qFormat/>
    <w:rPr>
      <w:rFonts w:ascii="Arial" w:hAnsi="Arial"/>
      <w:sz w:val="20"/>
      <w:szCs w:val="20"/>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asciiTheme="minorHAnsi" w:eastAsiaTheme="majorEastAsia" w:hAnsiTheme="minorHAnsi" w:cstheme="majorBidi"/>
      <w:color w:val="0F4761" w:themeColor="accent1" w:themeShade="BF"/>
      <w:sz w:val="28"/>
      <w:szCs w:val="28"/>
    </w:rPr>
  </w:style>
  <w:style w:type="character" w:customStyle="1" w:styleId="40">
    <w:name w:val="标题 4 字符"/>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qFormat/>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qFormat/>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0">
    <w:name w:val="标题 9 字符"/>
    <w:basedOn w:val="a0"/>
    <w:link w:val="9"/>
    <w:uiPriority w:val="9"/>
    <w:semiHidden/>
    <w:qFormat/>
    <w:rPr>
      <w:rFonts w:asciiTheme="minorHAnsi" w:eastAsiaTheme="majorEastAsia" w:hAnsiTheme="minorHAnsi" w:cstheme="majorBidi"/>
      <w:color w:val="262626" w:themeColor="text1" w:themeTint="D9"/>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inorHAnsi" w:eastAsiaTheme="majorEastAsia" w:hAnsiTheme="min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f0">
    <w:name w:val="批注主题 字符"/>
    <w:basedOn w:val="a4"/>
    <w:link w:val="af"/>
    <w:uiPriority w:val="99"/>
    <w:semiHidden/>
    <w:qFormat/>
    <w:rPr>
      <w:rFonts w:ascii="Arial" w:hAnsi="Arial"/>
      <w:b/>
      <w:bCs/>
      <w:sz w:val="20"/>
      <w:szCs w:val="20"/>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曾致进</cp:lastModifiedBy>
  <cp:revision>11</cp:revision>
  <cp:lastPrinted>2026-03-20T08:21:00Z</cp:lastPrinted>
  <dcterms:created xsi:type="dcterms:W3CDTF">2026-01-30T09:42:00Z</dcterms:created>
  <dcterms:modified xsi:type="dcterms:W3CDTF">2026-03-20T08:23:00Z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27290F96C75BB207625E7C6966B8063D</vt:lpwstr>
  </property>
</Properties>
</file>