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B54" w:rsidRDefault="003B0107">
      <w:pPr>
        <w:adjustRightInd w:val="0"/>
        <w:snapToGrid w:val="0"/>
        <w:spacing w:afterLines="100" w:after="312" w:line="276" w:lineRule="auto"/>
        <w:jc w:val="center"/>
        <w:rPr>
          <w:rFonts w:ascii="Times New Roman" w:hAnsi="Times New Roman"/>
          <w:b/>
          <w:bCs/>
          <w:sz w:val="28"/>
          <w:szCs w:val="28"/>
        </w:rPr>
      </w:pPr>
      <w:r>
        <w:rPr>
          <w:rFonts w:ascii="Times New Roman" w:hAnsi="Times New Roman"/>
          <w:b/>
          <w:bCs/>
          <w:sz w:val="28"/>
          <w:szCs w:val="28"/>
        </w:rPr>
        <w:t>Guidelines of the Shanghai Futures Exchange on Disposal of Assets Posted as Margin Collaterals</w:t>
      </w:r>
    </w:p>
    <w:p w:rsidR="00564B54" w:rsidRDefault="003B0107">
      <w:pPr>
        <w:adjustRightInd w:val="0"/>
        <w:snapToGrid w:val="0"/>
        <w:spacing w:afterLines="100" w:after="312" w:line="276" w:lineRule="auto"/>
        <w:jc w:val="center"/>
        <w:rPr>
          <w:rFonts w:ascii="Times New Roman" w:eastAsia="宋体" w:hAnsi="Times New Roman"/>
          <w:b/>
          <w:bCs/>
          <w:sz w:val="24"/>
          <w:szCs w:val="24"/>
        </w:rPr>
      </w:pPr>
      <w:r>
        <w:rPr>
          <w:rFonts w:ascii="Times New Roman" w:eastAsia="宋体" w:hAnsi="Times New Roman"/>
          <w:b/>
          <w:bCs/>
          <w:sz w:val="24"/>
          <w:szCs w:val="24"/>
        </w:rPr>
        <w:t>(</w:t>
      </w:r>
      <w:r w:rsidR="00037CE2">
        <w:rPr>
          <w:rFonts w:ascii="Times New Roman" w:eastAsia="宋体" w:hAnsi="Times New Roman"/>
          <w:b/>
          <w:bCs/>
          <w:sz w:val="24"/>
          <w:szCs w:val="24"/>
        </w:rPr>
        <w:t>March,</w:t>
      </w:r>
      <w:r>
        <w:rPr>
          <w:rFonts w:ascii="Times New Roman" w:eastAsia="宋体" w:hAnsi="Times New Roman"/>
          <w:b/>
          <w:bCs/>
          <w:sz w:val="24"/>
          <w:szCs w:val="24"/>
        </w:rPr>
        <w:t>2026)</w:t>
      </w:r>
    </w:p>
    <w:p w:rsidR="00564B54" w:rsidRDefault="00564B54">
      <w:pPr>
        <w:adjustRightInd w:val="0"/>
        <w:snapToGrid w:val="0"/>
        <w:spacing w:afterLines="100" w:after="312" w:line="276" w:lineRule="auto"/>
        <w:jc w:val="left"/>
        <w:rPr>
          <w:rFonts w:ascii="Times New Roman" w:hAnsi="Times New Roman"/>
          <w:sz w:val="22"/>
        </w:rPr>
      </w:pPr>
    </w:p>
    <w:p w:rsidR="00564B54" w:rsidRDefault="003B0107">
      <w:pPr>
        <w:adjustRightInd w:val="0"/>
        <w:snapToGrid w:val="0"/>
        <w:spacing w:afterLines="100" w:after="312" w:line="276" w:lineRule="auto"/>
        <w:jc w:val="center"/>
        <w:rPr>
          <w:rFonts w:ascii="Times New Roman" w:hAnsi="Times New Roman"/>
          <w:b/>
          <w:bCs/>
          <w:sz w:val="22"/>
        </w:rPr>
      </w:pPr>
      <w:r>
        <w:rPr>
          <w:rFonts w:ascii="Times New Roman" w:hAnsi="Times New Roman"/>
          <w:b/>
          <w:bCs/>
          <w:sz w:val="22"/>
        </w:rPr>
        <w:t>Chapter I</w:t>
      </w:r>
      <w:r>
        <w:rPr>
          <w:rFonts w:ascii="Times New Roman" w:hAnsi="Times New Roman"/>
          <w:b/>
          <w:bCs/>
          <w:sz w:val="22"/>
        </w:rPr>
        <w:tab/>
        <w:t>General Provisions</w:t>
      </w:r>
    </w:p>
    <w:p w:rsidR="00564B54" w:rsidRDefault="003B0107" w:rsidP="00BC5A8B">
      <w:pPr>
        <w:tabs>
          <w:tab w:val="left" w:pos="1276"/>
        </w:tabs>
        <w:adjustRightInd w:val="0"/>
        <w:snapToGrid w:val="0"/>
        <w:spacing w:afterLines="100" w:after="312" w:line="276" w:lineRule="auto"/>
        <w:rPr>
          <w:rFonts w:ascii="Times New Roman" w:hAnsi="Times New Roman"/>
          <w:sz w:val="22"/>
        </w:rPr>
      </w:pPr>
      <w:r>
        <w:rPr>
          <w:rFonts w:ascii="Times New Roman" w:hAnsi="Times New Roman"/>
          <w:b/>
          <w:bCs/>
          <w:sz w:val="22"/>
        </w:rPr>
        <w:t>Article 1</w:t>
      </w:r>
      <w:r>
        <w:rPr>
          <w:rFonts w:ascii="Times New Roman" w:hAnsi="Times New Roman"/>
          <w:sz w:val="22"/>
        </w:rPr>
        <w:tab/>
        <w:t xml:space="preserve">These </w:t>
      </w:r>
      <w:r>
        <w:rPr>
          <w:rFonts w:ascii="Times New Roman" w:hAnsi="Times New Roman"/>
          <w:i/>
          <w:iCs/>
          <w:sz w:val="22"/>
        </w:rPr>
        <w:t xml:space="preserve">Guidelines of the Shanghai Futures Exchange on Disposal of Assets Posted as Margin Collaterals </w:t>
      </w:r>
      <w:r>
        <w:rPr>
          <w:rFonts w:ascii="Times New Roman" w:hAnsi="Times New Roman"/>
          <w:sz w:val="22"/>
        </w:rPr>
        <w:t>(these “</w:t>
      </w:r>
      <w:r>
        <w:rPr>
          <w:rFonts w:ascii="Times New Roman" w:hAnsi="Times New Roman"/>
          <w:i/>
          <w:iCs/>
          <w:sz w:val="22"/>
        </w:rPr>
        <w:t>Guidelines</w:t>
      </w:r>
      <w:r>
        <w:rPr>
          <w:rFonts w:ascii="Times New Roman" w:hAnsi="Times New Roman"/>
          <w:sz w:val="22"/>
        </w:rPr>
        <w:t>”) are made in accordance with the</w:t>
      </w:r>
      <w:r>
        <w:rPr>
          <w:rFonts w:ascii="Times New Roman" w:hAnsi="Times New Roman"/>
          <w:i/>
          <w:iCs/>
          <w:sz w:val="22"/>
        </w:rPr>
        <w:t xml:space="preserve"> General Exchange Rules of the Shanghai Futures Exchange</w:t>
      </w:r>
      <w:r>
        <w:rPr>
          <w:rFonts w:ascii="Times New Roman" w:hAnsi="Times New Roman"/>
          <w:sz w:val="22"/>
        </w:rPr>
        <w:t xml:space="preserve">, the </w:t>
      </w:r>
      <w:r>
        <w:rPr>
          <w:rFonts w:ascii="Times New Roman" w:hAnsi="Times New Roman"/>
          <w:i/>
          <w:iCs/>
          <w:sz w:val="22"/>
        </w:rPr>
        <w:t>Clearing Rules of the Shanghai Futures Exchange</w:t>
      </w:r>
      <w:r>
        <w:rPr>
          <w:rFonts w:ascii="Times New Roman" w:hAnsi="Times New Roman"/>
          <w:sz w:val="22"/>
        </w:rPr>
        <w:t>, and other applicable rules to strengthen the management of the assets posted as margin collaterals at the Shanghai Futures Exchange (the “Exchange”) and regulate the procedures for the disposal of such marketable securities.</w:t>
      </w:r>
    </w:p>
    <w:p w:rsidR="00564B54" w:rsidRDefault="003B0107">
      <w:pPr>
        <w:adjustRightInd w:val="0"/>
        <w:snapToGrid w:val="0"/>
        <w:spacing w:afterLines="100" w:after="312" w:line="276" w:lineRule="auto"/>
        <w:jc w:val="center"/>
        <w:rPr>
          <w:rFonts w:ascii="Times New Roman" w:hAnsi="Times New Roman"/>
          <w:b/>
          <w:bCs/>
          <w:sz w:val="22"/>
        </w:rPr>
      </w:pPr>
      <w:r>
        <w:rPr>
          <w:rFonts w:ascii="Times New Roman" w:hAnsi="Times New Roman"/>
          <w:b/>
          <w:bCs/>
          <w:sz w:val="22"/>
        </w:rPr>
        <w:t>Chapter II</w:t>
      </w:r>
      <w:r>
        <w:rPr>
          <w:rFonts w:ascii="Times New Roman" w:hAnsi="Times New Roman"/>
          <w:b/>
          <w:bCs/>
          <w:sz w:val="22"/>
        </w:rPr>
        <w:tab/>
        <w:t>Conditions and Methods for Disposal</w:t>
      </w:r>
    </w:p>
    <w:p w:rsidR="00564B54" w:rsidRDefault="003B0107" w:rsidP="00BC5A8B">
      <w:pPr>
        <w:tabs>
          <w:tab w:val="left" w:pos="1276"/>
        </w:tabs>
        <w:adjustRightInd w:val="0"/>
        <w:snapToGrid w:val="0"/>
        <w:spacing w:afterLines="100" w:after="312" w:line="276" w:lineRule="auto"/>
        <w:rPr>
          <w:rFonts w:ascii="Times New Roman" w:hAnsi="Times New Roman"/>
          <w:sz w:val="22"/>
        </w:rPr>
      </w:pPr>
      <w:r>
        <w:rPr>
          <w:rFonts w:ascii="Times New Roman" w:hAnsi="Times New Roman"/>
          <w:b/>
          <w:bCs/>
          <w:sz w:val="22"/>
        </w:rPr>
        <w:t>Article 2</w:t>
      </w:r>
      <w:r>
        <w:rPr>
          <w:rFonts w:ascii="Times New Roman" w:hAnsi="Times New Roman"/>
          <w:sz w:val="22"/>
        </w:rPr>
        <w:tab/>
        <w:t>The Shanghai Futures Exchange may dispose of the assets posted by a Member as margin collaterals, if</w:t>
      </w:r>
      <w:r>
        <w:rPr>
          <w:rFonts w:ascii="Times New Roman" w:hAnsi="Times New Roman"/>
          <w:bCs/>
          <w:sz w:val="22"/>
        </w:rPr>
        <w:t xml:space="preserve"> the Member</w:t>
      </w:r>
      <w:r>
        <w:rPr>
          <w:rFonts w:ascii="Times New Roman" w:hAnsi="Times New Roman"/>
          <w:sz w:val="22"/>
        </w:rPr>
        <w:t>:</w:t>
      </w:r>
    </w:p>
    <w:p w:rsidR="00564B54" w:rsidRDefault="003B0107" w:rsidP="00BC5A8B">
      <w:pPr>
        <w:tabs>
          <w:tab w:val="left" w:pos="567"/>
        </w:tabs>
        <w:adjustRightInd w:val="0"/>
        <w:snapToGrid w:val="0"/>
        <w:spacing w:afterLines="100" w:after="312" w:line="276" w:lineRule="auto"/>
        <w:ind w:left="565" w:hangingChars="257" w:hanging="565"/>
        <w:rPr>
          <w:rFonts w:ascii="Times New Roman" w:hAnsi="Times New Roman"/>
          <w:sz w:val="22"/>
        </w:rPr>
      </w:pPr>
      <w:r>
        <w:rPr>
          <w:rFonts w:ascii="Times New Roman" w:hAnsi="Times New Roman"/>
          <w:bCs/>
          <w:sz w:val="22"/>
        </w:rPr>
        <w:t>(1)</w:t>
      </w:r>
      <w:r>
        <w:rPr>
          <w:rFonts w:ascii="Times New Roman" w:hAnsi="Times New Roman"/>
          <w:bCs/>
          <w:sz w:val="22"/>
        </w:rPr>
        <w:tab/>
        <w:t>fails to pay or cannot fully pay its trading margin and related debts; or</w:t>
      </w:r>
    </w:p>
    <w:p w:rsidR="00564B54" w:rsidRDefault="003B0107" w:rsidP="00BC5A8B">
      <w:pPr>
        <w:tabs>
          <w:tab w:val="left" w:pos="567"/>
        </w:tabs>
        <w:adjustRightInd w:val="0"/>
        <w:snapToGrid w:val="0"/>
        <w:spacing w:afterLines="100" w:after="312" w:line="276" w:lineRule="auto"/>
        <w:ind w:left="565" w:hangingChars="257" w:hanging="565"/>
        <w:rPr>
          <w:rFonts w:ascii="Times New Roman" w:hAnsi="Times New Roman"/>
          <w:sz w:val="22"/>
        </w:rPr>
      </w:pPr>
      <w:r>
        <w:rPr>
          <w:rFonts w:ascii="Times New Roman" w:hAnsi="Times New Roman"/>
          <w:sz w:val="22"/>
        </w:rPr>
        <w:t>(2)</w:t>
      </w:r>
      <w:r>
        <w:rPr>
          <w:rFonts w:ascii="Times New Roman" w:hAnsi="Times New Roman"/>
          <w:sz w:val="22"/>
        </w:rPr>
        <w:tab/>
        <w:t>falls into other circumstances specified by the Exchange.</w:t>
      </w:r>
    </w:p>
    <w:p w:rsidR="00564B54" w:rsidRDefault="003B0107" w:rsidP="00BC5A8B">
      <w:pPr>
        <w:tabs>
          <w:tab w:val="left" w:pos="1276"/>
        </w:tabs>
        <w:adjustRightInd w:val="0"/>
        <w:snapToGrid w:val="0"/>
        <w:spacing w:afterLines="100" w:after="312" w:line="276" w:lineRule="auto"/>
        <w:rPr>
          <w:rFonts w:ascii="Times New Roman" w:hAnsi="Times New Roman"/>
          <w:sz w:val="22"/>
        </w:rPr>
      </w:pPr>
      <w:r>
        <w:rPr>
          <w:rFonts w:ascii="Times New Roman" w:hAnsi="Times New Roman"/>
          <w:b/>
          <w:bCs/>
          <w:sz w:val="22"/>
        </w:rPr>
        <w:t>Article 3</w:t>
      </w:r>
      <w:r>
        <w:rPr>
          <w:rFonts w:ascii="Times New Roman" w:hAnsi="Times New Roman"/>
          <w:sz w:val="22"/>
        </w:rPr>
        <w:tab/>
        <w:t>Foreign currencies posted as margin collaterals shall be disposed of by exchanging them into RMB; the Exchange has the right to make such an exchange with respect to the foreign currencies of a Member.</w:t>
      </w:r>
    </w:p>
    <w:p w:rsidR="00564B54" w:rsidRDefault="003B0107" w:rsidP="00BC5A8B">
      <w:pPr>
        <w:tabs>
          <w:tab w:val="left" w:pos="1276"/>
        </w:tabs>
        <w:adjustRightInd w:val="0"/>
        <w:snapToGrid w:val="0"/>
        <w:spacing w:afterLines="100" w:after="312" w:line="276" w:lineRule="auto"/>
        <w:rPr>
          <w:rFonts w:ascii="Times New Roman" w:hAnsi="Times New Roman"/>
          <w:sz w:val="22"/>
        </w:rPr>
      </w:pPr>
      <w:r>
        <w:rPr>
          <w:rFonts w:ascii="Times New Roman" w:hAnsi="Times New Roman"/>
          <w:sz w:val="22"/>
        </w:rPr>
        <w:t>Marketable securities posted as margin collaterals may be disposed of by auction or sale or as negotiated payment-in-kind, as determined by the Exchange based on the circumstances.</w:t>
      </w:r>
    </w:p>
    <w:p w:rsidR="00564B54" w:rsidRDefault="003B0107">
      <w:pPr>
        <w:adjustRightInd w:val="0"/>
        <w:snapToGrid w:val="0"/>
        <w:spacing w:afterLines="100" w:after="312" w:line="276" w:lineRule="auto"/>
        <w:jc w:val="center"/>
        <w:rPr>
          <w:rFonts w:ascii="Times New Roman" w:hAnsi="Times New Roman"/>
          <w:b/>
          <w:bCs/>
          <w:sz w:val="22"/>
        </w:rPr>
      </w:pPr>
      <w:r>
        <w:rPr>
          <w:rFonts w:ascii="Times New Roman" w:hAnsi="Times New Roman"/>
          <w:b/>
          <w:bCs/>
          <w:sz w:val="22"/>
        </w:rPr>
        <w:t>Chapter III</w:t>
      </w:r>
      <w:r>
        <w:rPr>
          <w:rFonts w:ascii="Times New Roman" w:hAnsi="Times New Roman"/>
          <w:b/>
          <w:bCs/>
          <w:sz w:val="22"/>
        </w:rPr>
        <w:tab/>
        <w:t>Disposal Notice and Selection of Assets</w:t>
      </w:r>
    </w:p>
    <w:p w:rsidR="00564B54" w:rsidRDefault="003B0107" w:rsidP="00BC5A8B">
      <w:pPr>
        <w:adjustRightInd w:val="0"/>
        <w:snapToGrid w:val="0"/>
        <w:spacing w:afterLines="100" w:after="312" w:line="276" w:lineRule="auto"/>
        <w:rPr>
          <w:rFonts w:ascii="Times New Roman" w:hAnsi="Times New Roman"/>
          <w:sz w:val="22"/>
        </w:rPr>
      </w:pPr>
      <w:r>
        <w:rPr>
          <w:rFonts w:ascii="Times New Roman" w:hAnsi="Times New Roman"/>
          <w:b/>
          <w:bCs/>
          <w:sz w:val="22"/>
        </w:rPr>
        <w:t>Article 4</w:t>
      </w:r>
      <w:r>
        <w:rPr>
          <w:rFonts w:ascii="Times New Roman" w:hAnsi="Times New Roman"/>
          <w:sz w:val="22"/>
        </w:rPr>
        <w:tab/>
        <w:t xml:space="preserve">The Exchange will issue a </w:t>
      </w:r>
      <w:r>
        <w:rPr>
          <w:rFonts w:ascii="Times New Roman" w:hAnsi="Times New Roman"/>
          <w:i/>
          <w:iCs/>
          <w:sz w:val="22"/>
        </w:rPr>
        <w:t>Notice on the Disposal of Assets</w:t>
      </w:r>
      <w:r>
        <w:rPr>
          <w:rFonts w:ascii="Times New Roman" w:hAnsi="Times New Roman"/>
          <w:sz w:val="22"/>
        </w:rPr>
        <w:t xml:space="preserve"> </w:t>
      </w:r>
      <w:r>
        <w:rPr>
          <w:rFonts w:ascii="Times New Roman" w:hAnsi="Times New Roman"/>
          <w:i/>
          <w:iCs/>
          <w:sz w:val="22"/>
        </w:rPr>
        <w:t>Posted as Margin Collaterals</w:t>
      </w:r>
      <w:r>
        <w:rPr>
          <w:rFonts w:ascii="Times New Roman" w:hAnsi="Times New Roman"/>
          <w:sz w:val="22"/>
        </w:rPr>
        <w:t xml:space="preserve"> (the “</w:t>
      </w:r>
      <w:r>
        <w:rPr>
          <w:rFonts w:ascii="Times New Roman" w:hAnsi="Times New Roman"/>
          <w:i/>
          <w:iCs/>
          <w:sz w:val="22"/>
        </w:rPr>
        <w:t>Disposal Notice</w:t>
      </w:r>
      <w:r>
        <w:rPr>
          <w:rFonts w:ascii="Times New Roman" w:hAnsi="Times New Roman"/>
          <w:sz w:val="22"/>
        </w:rPr>
        <w:t xml:space="preserve">”) to a Member who is under any of the circumstances specified in </w:t>
      </w:r>
      <w:r>
        <w:rPr>
          <w:rFonts w:ascii="Times New Roman" w:hAnsi="Times New Roman"/>
          <w:i/>
          <w:iCs/>
          <w:sz w:val="22"/>
        </w:rPr>
        <w:t>Article 2</w:t>
      </w:r>
      <w:r>
        <w:rPr>
          <w:rFonts w:ascii="Times New Roman" w:hAnsi="Times New Roman"/>
          <w:sz w:val="22"/>
        </w:rPr>
        <w:t xml:space="preserve">. The date on which the </w:t>
      </w:r>
      <w:r>
        <w:rPr>
          <w:rFonts w:ascii="Times New Roman" w:hAnsi="Times New Roman"/>
          <w:i/>
          <w:iCs/>
          <w:sz w:val="22"/>
        </w:rPr>
        <w:t>Disposal Notice</w:t>
      </w:r>
      <w:r>
        <w:rPr>
          <w:rFonts w:ascii="Times New Roman" w:hAnsi="Times New Roman"/>
          <w:sz w:val="22"/>
        </w:rPr>
        <w:t xml:space="preserve"> is sent is designated “Day T.”</w:t>
      </w:r>
    </w:p>
    <w:p w:rsidR="00564B54" w:rsidRDefault="003B0107" w:rsidP="00BC5A8B">
      <w:pPr>
        <w:tabs>
          <w:tab w:val="left" w:pos="1276"/>
        </w:tabs>
        <w:adjustRightInd w:val="0"/>
        <w:snapToGrid w:val="0"/>
        <w:spacing w:afterLines="100" w:after="312" w:line="276" w:lineRule="auto"/>
        <w:rPr>
          <w:rFonts w:ascii="Times New Roman" w:hAnsi="Times New Roman"/>
          <w:sz w:val="22"/>
        </w:rPr>
      </w:pPr>
      <w:r>
        <w:rPr>
          <w:rFonts w:ascii="Times New Roman" w:hAnsi="Times New Roman"/>
          <w:b/>
          <w:bCs/>
          <w:sz w:val="22"/>
        </w:rPr>
        <w:t>Article 5</w:t>
      </w:r>
      <w:r>
        <w:rPr>
          <w:rFonts w:ascii="Times New Roman" w:hAnsi="Times New Roman"/>
          <w:sz w:val="22"/>
        </w:rPr>
        <w:tab/>
        <w:t>After the daily clearing on Day T, the Exchange will select the</w:t>
      </w:r>
      <w:bookmarkStart w:id="0" w:name="OLE_LINK1"/>
      <w:bookmarkStart w:id="1" w:name="OLE_LINK2"/>
      <w:r>
        <w:t xml:space="preserve"> </w:t>
      </w:r>
      <w:r>
        <w:rPr>
          <w:rFonts w:ascii="Times New Roman" w:hAnsi="Times New Roman"/>
          <w:sz w:val="22"/>
        </w:rPr>
        <w:t>assets</w:t>
      </w:r>
      <w:bookmarkEnd w:id="0"/>
      <w:bookmarkEnd w:id="1"/>
      <w:r>
        <w:rPr>
          <w:rFonts w:ascii="Times New Roman" w:hAnsi="Times New Roman"/>
          <w:sz w:val="22"/>
        </w:rPr>
        <w:t xml:space="preserve"> to be disposed of in the order of foreign currencies, government bonds, and standard warrants,  until the total after-haircut value of the selected assets covers the Member’s trading margin requirement and related debts.</w:t>
      </w:r>
    </w:p>
    <w:p w:rsidR="00564B54" w:rsidRDefault="003B0107" w:rsidP="00BC5A8B">
      <w:pPr>
        <w:tabs>
          <w:tab w:val="left" w:pos="1276"/>
        </w:tabs>
        <w:adjustRightInd w:val="0"/>
        <w:snapToGrid w:val="0"/>
        <w:spacing w:afterLines="100" w:after="312" w:line="276" w:lineRule="auto"/>
        <w:rPr>
          <w:rFonts w:ascii="Times New Roman" w:hAnsi="Times New Roman"/>
          <w:sz w:val="22"/>
        </w:rPr>
      </w:pPr>
      <w:r>
        <w:rPr>
          <w:rFonts w:ascii="Times New Roman" w:hAnsi="Times New Roman"/>
          <w:b/>
          <w:bCs/>
          <w:sz w:val="22"/>
        </w:rPr>
        <w:t>Article 6</w:t>
      </w:r>
      <w:r>
        <w:rPr>
          <w:rFonts w:ascii="Times New Roman" w:hAnsi="Times New Roman"/>
          <w:sz w:val="22"/>
        </w:rPr>
        <w:tab/>
        <w:t>The Exchange will select government bonds to be disposed of based on their term-to-maturity, date of issuance, liquidity, and other relevant factors. Within the same issue of government bonds, selection will be made among all Clients (</w:t>
      </w:r>
      <w:r>
        <w:rPr>
          <w:rFonts w:ascii="Times New Roman" w:hAnsi="Times New Roman" w:hint="eastAsia"/>
          <w:sz w:val="22"/>
        </w:rPr>
        <w:t xml:space="preserve">with their corresponding </w:t>
      </w:r>
      <w:r>
        <w:rPr>
          <w:rFonts w:ascii="Times New Roman" w:hAnsi="Times New Roman" w:hint="eastAsia"/>
          <w:sz w:val="22"/>
        </w:rPr>
        <w:lastRenderedPageBreak/>
        <w:t xml:space="preserve">trading </w:t>
      </w:r>
      <w:r>
        <w:rPr>
          <w:rFonts w:ascii="Times New Roman" w:hAnsi="Times New Roman"/>
          <w:sz w:val="22"/>
        </w:rPr>
        <w:t>code</w:t>
      </w:r>
      <w:r>
        <w:rPr>
          <w:rFonts w:ascii="Times New Roman" w:hAnsi="Times New Roman" w:hint="eastAsia"/>
          <w:sz w:val="22"/>
        </w:rPr>
        <w:t>s as unit</w:t>
      </w:r>
      <w:r>
        <w:rPr>
          <w:rFonts w:ascii="Times New Roman" w:hAnsi="Times New Roman"/>
          <w:sz w:val="22"/>
        </w:rPr>
        <w:t>) of the relevant Member who hold them in descending order of the after-haircut values of their positions in the bond after the daily clearing on Day T.</w:t>
      </w:r>
    </w:p>
    <w:p w:rsidR="00564B54" w:rsidRDefault="003B0107" w:rsidP="00BC5A8B">
      <w:pPr>
        <w:tabs>
          <w:tab w:val="left" w:pos="1276"/>
        </w:tabs>
        <w:adjustRightInd w:val="0"/>
        <w:snapToGrid w:val="0"/>
        <w:spacing w:afterLines="100" w:after="312" w:line="276" w:lineRule="auto"/>
        <w:rPr>
          <w:rFonts w:ascii="Times New Roman" w:hAnsi="Times New Roman"/>
          <w:sz w:val="22"/>
        </w:rPr>
      </w:pPr>
      <w:r>
        <w:rPr>
          <w:rFonts w:ascii="Times New Roman" w:hAnsi="Times New Roman"/>
          <w:b/>
          <w:bCs/>
          <w:sz w:val="22"/>
        </w:rPr>
        <w:t>Article 7</w:t>
      </w:r>
      <w:r>
        <w:rPr>
          <w:rFonts w:ascii="Times New Roman" w:hAnsi="Times New Roman"/>
          <w:sz w:val="22"/>
        </w:rPr>
        <w:tab/>
        <w:t>The Exchange may, in light of market conditions, select the standard warrants to be disposed of based on their liquidity, disposal efficiency, cancellation deadline, and other relevant factors.</w:t>
      </w:r>
    </w:p>
    <w:p w:rsidR="00564B54" w:rsidRDefault="003B0107" w:rsidP="00BC5A8B">
      <w:pPr>
        <w:tabs>
          <w:tab w:val="left" w:pos="1276"/>
        </w:tabs>
        <w:adjustRightInd w:val="0"/>
        <w:snapToGrid w:val="0"/>
        <w:spacing w:afterLines="100" w:after="312" w:line="276" w:lineRule="auto"/>
        <w:rPr>
          <w:rFonts w:ascii="Times New Roman" w:hAnsi="Times New Roman"/>
          <w:sz w:val="22"/>
        </w:rPr>
      </w:pPr>
      <w:r>
        <w:rPr>
          <w:rFonts w:ascii="Times New Roman" w:hAnsi="Times New Roman"/>
          <w:b/>
          <w:bCs/>
          <w:sz w:val="22"/>
        </w:rPr>
        <w:t>Article 8</w:t>
      </w:r>
      <w:r>
        <w:rPr>
          <w:rFonts w:ascii="Times New Roman" w:hAnsi="Times New Roman"/>
          <w:sz w:val="22"/>
        </w:rPr>
        <w:tab/>
        <w:t>When using auction, sale or other public disposal methods, the Exchange may publish all the marketable securities posted by a Member to facilitate the submission of purchase intentions by market participants.</w:t>
      </w:r>
    </w:p>
    <w:p w:rsidR="00564B54" w:rsidRDefault="003B0107" w:rsidP="00BC5A8B">
      <w:pPr>
        <w:tabs>
          <w:tab w:val="left" w:pos="1276"/>
        </w:tabs>
        <w:adjustRightInd w:val="0"/>
        <w:snapToGrid w:val="0"/>
        <w:spacing w:afterLines="100" w:after="312" w:line="276" w:lineRule="auto"/>
        <w:rPr>
          <w:rFonts w:ascii="Times New Roman" w:hAnsi="Times New Roman"/>
          <w:sz w:val="22"/>
        </w:rPr>
      </w:pPr>
      <w:r>
        <w:rPr>
          <w:rFonts w:ascii="Times New Roman" w:hAnsi="Times New Roman"/>
          <w:b/>
          <w:bCs/>
          <w:sz w:val="22"/>
        </w:rPr>
        <w:t>Article 9</w:t>
      </w:r>
      <w:r>
        <w:rPr>
          <w:rFonts w:ascii="Times New Roman" w:hAnsi="Times New Roman"/>
          <w:sz w:val="22"/>
        </w:rPr>
        <w:tab/>
        <w:t>The Exchange may adjust the selection of assets in light of market conditions.</w:t>
      </w:r>
    </w:p>
    <w:p w:rsidR="00564B54" w:rsidRDefault="003B0107">
      <w:pPr>
        <w:adjustRightInd w:val="0"/>
        <w:snapToGrid w:val="0"/>
        <w:spacing w:afterLines="100" w:after="312" w:line="276" w:lineRule="auto"/>
        <w:jc w:val="center"/>
        <w:rPr>
          <w:rFonts w:ascii="Times New Roman" w:hAnsi="Times New Roman"/>
          <w:b/>
          <w:bCs/>
          <w:iCs/>
          <w:sz w:val="22"/>
        </w:rPr>
      </w:pPr>
      <w:r>
        <w:rPr>
          <w:rFonts w:ascii="Times New Roman" w:hAnsi="Times New Roman"/>
          <w:b/>
          <w:bCs/>
          <w:iCs/>
          <w:sz w:val="22"/>
        </w:rPr>
        <w:t>Chapter IV</w:t>
      </w:r>
      <w:r>
        <w:rPr>
          <w:rFonts w:ascii="Times New Roman" w:hAnsi="Times New Roman"/>
          <w:b/>
          <w:bCs/>
          <w:iCs/>
          <w:sz w:val="22"/>
        </w:rPr>
        <w:tab/>
        <w:t>Disposal of Foreign Currencies</w:t>
      </w:r>
    </w:p>
    <w:p w:rsidR="00564B54" w:rsidRDefault="003B0107" w:rsidP="00BC5A8B">
      <w:pPr>
        <w:tabs>
          <w:tab w:val="left" w:pos="1276"/>
        </w:tabs>
        <w:adjustRightInd w:val="0"/>
        <w:snapToGrid w:val="0"/>
        <w:spacing w:afterLines="100" w:after="312" w:line="276" w:lineRule="auto"/>
        <w:rPr>
          <w:rFonts w:ascii="Times New Roman" w:hAnsi="Times New Roman"/>
          <w:i/>
          <w:iCs/>
          <w:sz w:val="22"/>
        </w:rPr>
      </w:pPr>
      <w:r>
        <w:rPr>
          <w:rFonts w:ascii="Times New Roman" w:hAnsi="Times New Roman"/>
          <w:b/>
          <w:bCs/>
          <w:sz w:val="22"/>
        </w:rPr>
        <w:t>Article 10</w:t>
      </w:r>
      <w:r>
        <w:rPr>
          <w:rFonts w:ascii="Times New Roman" w:hAnsi="Times New Roman"/>
          <w:sz w:val="22"/>
        </w:rPr>
        <w:tab/>
        <w:t xml:space="preserve">After the daily clearing on Day T, the Exchange will select a </w:t>
      </w:r>
      <w:r w:rsidR="00037CE2" w:rsidRPr="00037CE2">
        <w:rPr>
          <w:rFonts w:ascii="Times New Roman" w:hAnsi="Times New Roman"/>
          <w:sz w:val="22"/>
        </w:rPr>
        <w:t>Designated Depository Bank</w:t>
      </w:r>
      <w:r>
        <w:rPr>
          <w:rFonts w:ascii="Times New Roman" w:hAnsi="Times New Roman"/>
          <w:sz w:val="22"/>
        </w:rPr>
        <w:t xml:space="preserve"> to exchange all or a part of the relevant Member’s foreign currencies into RMB based on the balance of the Member’s foreign currencies, the real-time exchange rate, and other relevant factors.</w:t>
      </w:r>
    </w:p>
    <w:p w:rsidR="00564B54" w:rsidRDefault="003B0107">
      <w:pPr>
        <w:adjustRightInd w:val="0"/>
        <w:snapToGrid w:val="0"/>
        <w:spacing w:afterLines="100" w:after="312" w:line="276" w:lineRule="auto"/>
        <w:jc w:val="center"/>
        <w:rPr>
          <w:rFonts w:ascii="Times New Roman" w:hAnsi="Times New Roman"/>
          <w:b/>
          <w:bCs/>
          <w:sz w:val="22"/>
        </w:rPr>
      </w:pPr>
      <w:r>
        <w:rPr>
          <w:rFonts w:ascii="Times New Roman" w:hAnsi="Times New Roman"/>
          <w:b/>
          <w:bCs/>
          <w:iCs/>
          <w:sz w:val="22"/>
        </w:rPr>
        <w:t>Chapter V</w:t>
      </w:r>
      <w:r>
        <w:rPr>
          <w:rFonts w:ascii="Times New Roman" w:hAnsi="Times New Roman"/>
          <w:b/>
          <w:bCs/>
          <w:i/>
          <w:sz w:val="22"/>
        </w:rPr>
        <w:tab/>
      </w:r>
      <w:r>
        <w:rPr>
          <w:rFonts w:ascii="Times New Roman" w:hAnsi="Times New Roman"/>
          <w:b/>
          <w:bCs/>
          <w:sz w:val="22"/>
        </w:rPr>
        <w:t>Disposal of Government Bonds</w:t>
      </w:r>
    </w:p>
    <w:p w:rsidR="00564B54" w:rsidRDefault="003B0107" w:rsidP="00BC5A8B">
      <w:pPr>
        <w:tabs>
          <w:tab w:val="left" w:pos="1276"/>
        </w:tabs>
        <w:adjustRightInd w:val="0"/>
        <w:snapToGrid w:val="0"/>
        <w:spacing w:afterLines="100" w:after="312" w:line="276" w:lineRule="auto"/>
        <w:rPr>
          <w:rFonts w:ascii="Times New Roman" w:hAnsi="Times New Roman"/>
          <w:sz w:val="22"/>
        </w:rPr>
      </w:pPr>
      <w:r>
        <w:rPr>
          <w:rFonts w:ascii="Times New Roman" w:hAnsi="Times New Roman"/>
          <w:b/>
          <w:bCs/>
          <w:sz w:val="22"/>
        </w:rPr>
        <w:t>Article 11</w:t>
      </w:r>
      <w:r>
        <w:rPr>
          <w:rFonts w:ascii="Times New Roman" w:hAnsi="Times New Roman"/>
          <w:sz w:val="22"/>
        </w:rPr>
        <w:tab/>
        <w:t>The Exchange will select the government bonds to be disposed of based on the estimated disposal amount. The estimated disposal amount of government bonds equals their after-haircut value after the daily clearing on Day T. The Exchange reserves the right to adjust the estimated disposal amount.</w:t>
      </w:r>
    </w:p>
    <w:p w:rsidR="00564B54" w:rsidRDefault="003B0107" w:rsidP="00BC5A8B">
      <w:pPr>
        <w:tabs>
          <w:tab w:val="left" w:pos="1276"/>
        </w:tabs>
        <w:adjustRightInd w:val="0"/>
        <w:snapToGrid w:val="0"/>
        <w:spacing w:afterLines="100" w:after="312" w:line="276" w:lineRule="auto"/>
        <w:rPr>
          <w:rFonts w:ascii="Times New Roman" w:hAnsi="Times New Roman"/>
          <w:sz w:val="22"/>
        </w:rPr>
      </w:pPr>
      <w:r>
        <w:rPr>
          <w:rFonts w:ascii="Times New Roman" w:hAnsi="Times New Roman"/>
          <w:b/>
          <w:bCs/>
          <w:sz w:val="22"/>
        </w:rPr>
        <w:t>Article 12</w:t>
      </w:r>
      <w:r>
        <w:rPr>
          <w:rFonts w:ascii="Times New Roman" w:hAnsi="Times New Roman"/>
          <w:sz w:val="22"/>
        </w:rPr>
        <w:tab/>
        <w:t>Government bonds shall be auctioned in accordance with the following procedures:</w:t>
      </w:r>
    </w:p>
    <w:p w:rsidR="00564B54" w:rsidRDefault="003B0107" w:rsidP="00BC5A8B">
      <w:pPr>
        <w:tabs>
          <w:tab w:val="left" w:pos="567"/>
        </w:tabs>
        <w:adjustRightInd w:val="0"/>
        <w:snapToGrid w:val="0"/>
        <w:spacing w:afterLines="100" w:after="312" w:line="276" w:lineRule="auto"/>
        <w:ind w:left="565" w:hangingChars="257" w:hanging="565"/>
        <w:rPr>
          <w:rFonts w:ascii="Times New Roman" w:hAnsi="Times New Roman"/>
          <w:sz w:val="22"/>
        </w:rPr>
      </w:pPr>
      <w:r>
        <w:rPr>
          <w:rFonts w:ascii="Times New Roman" w:hAnsi="Times New Roman"/>
          <w:sz w:val="22"/>
        </w:rPr>
        <w:t>(i)</w:t>
      </w:r>
      <w:r>
        <w:rPr>
          <w:rFonts w:ascii="Times New Roman" w:hAnsi="Times New Roman"/>
          <w:sz w:val="22"/>
        </w:rPr>
        <w:tab/>
        <w:t>Application for auction</w:t>
      </w:r>
    </w:p>
    <w:p w:rsidR="00564B54" w:rsidRDefault="003B0107" w:rsidP="00BC5A8B">
      <w:pPr>
        <w:adjustRightInd w:val="0"/>
        <w:snapToGrid w:val="0"/>
        <w:spacing w:afterLines="100" w:after="312" w:line="276" w:lineRule="auto"/>
        <w:ind w:leftChars="269" w:left="567" w:hanging="2"/>
        <w:rPr>
          <w:rFonts w:ascii="Times New Roman" w:hAnsi="Times New Roman"/>
          <w:sz w:val="22"/>
        </w:rPr>
      </w:pPr>
      <w:r>
        <w:rPr>
          <w:rFonts w:ascii="Times New Roman" w:hAnsi="Times New Roman"/>
          <w:sz w:val="22"/>
        </w:rPr>
        <w:t>The Exchange will submit an application for auction to China Central Depository &amp; Clearing Co., Ltd. (“CCDC”) after daily clearing on Day T.</w:t>
      </w:r>
    </w:p>
    <w:p w:rsidR="00564B54" w:rsidRDefault="003B0107" w:rsidP="00BC5A8B">
      <w:pPr>
        <w:tabs>
          <w:tab w:val="left" w:pos="567"/>
        </w:tabs>
        <w:adjustRightInd w:val="0"/>
        <w:snapToGrid w:val="0"/>
        <w:spacing w:afterLines="100" w:after="312" w:line="276" w:lineRule="auto"/>
        <w:ind w:left="565" w:hangingChars="257" w:hanging="565"/>
        <w:rPr>
          <w:rFonts w:ascii="Times New Roman" w:hAnsi="Times New Roman"/>
          <w:sz w:val="22"/>
        </w:rPr>
      </w:pPr>
      <w:r>
        <w:rPr>
          <w:rFonts w:ascii="Times New Roman" w:hAnsi="Times New Roman"/>
          <w:sz w:val="22"/>
        </w:rPr>
        <w:t>(ii)</w:t>
      </w:r>
      <w:r>
        <w:rPr>
          <w:rFonts w:ascii="Times New Roman" w:hAnsi="Times New Roman"/>
          <w:sz w:val="22"/>
        </w:rPr>
        <w:tab/>
        <w:t>Auction</w:t>
      </w:r>
    </w:p>
    <w:p w:rsidR="00564B54" w:rsidRDefault="003B0107" w:rsidP="00BC5A8B">
      <w:pPr>
        <w:adjustRightInd w:val="0"/>
        <w:snapToGrid w:val="0"/>
        <w:spacing w:afterLines="100" w:after="312" w:line="276" w:lineRule="auto"/>
        <w:ind w:leftChars="269" w:left="567" w:hanging="2"/>
        <w:rPr>
          <w:rFonts w:ascii="Times New Roman" w:hAnsi="Times New Roman"/>
          <w:sz w:val="22"/>
        </w:rPr>
      </w:pPr>
      <w:r>
        <w:rPr>
          <w:rFonts w:ascii="Times New Roman" w:hAnsi="Times New Roman"/>
          <w:sz w:val="22"/>
        </w:rPr>
        <w:t>CCDC will hold the auction based on the Exchange’s application and in accordance with applicable rules.</w:t>
      </w:r>
    </w:p>
    <w:p w:rsidR="00564B54" w:rsidRDefault="003B0107" w:rsidP="00BC5A8B">
      <w:pPr>
        <w:tabs>
          <w:tab w:val="left" w:pos="567"/>
        </w:tabs>
        <w:adjustRightInd w:val="0"/>
        <w:snapToGrid w:val="0"/>
        <w:spacing w:afterLines="100" w:after="312" w:line="276" w:lineRule="auto"/>
        <w:ind w:left="565" w:hangingChars="257" w:hanging="565"/>
        <w:rPr>
          <w:rFonts w:ascii="Times New Roman" w:hAnsi="Times New Roman"/>
          <w:sz w:val="22"/>
        </w:rPr>
      </w:pPr>
      <w:r>
        <w:rPr>
          <w:rFonts w:ascii="Times New Roman" w:hAnsi="Times New Roman"/>
          <w:sz w:val="22"/>
        </w:rPr>
        <w:t>(iii)</w:t>
      </w:r>
      <w:r>
        <w:rPr>
          <w:rFonts w:ascii="Times New Roman" w:hAnsi="Times New Roman"/>
          <w:sz w:val="22"/>
        </w:rPr>
        <w:tab/>
        <w:t>Notification of auction results</w:t>
      </w:r>
    </w:p>
    <w:p w:rsidR="00564B54" w:rsidRDefault="003B0107" w:rsidP="00BC5A8B">
      <w:pPr>
        <w:adjustRightInd w:val="0"/>
        <w:snapToGrid w:val="0"/>
        <w:spacing w:afterLines="100" w:after="312" w:line="276" w:lineRule="auto"/>
        <w:ind w:leftChars="269" w:left="567" w:hanging="2"/>
        <w:rPr>
          <w:rFonts w:ascii="Times New Roman" w:hAnsi="Times New Roman"/>
          <w:sz w:val="22"/>
        </w:rPr>
      </w:pPr>
      <w:r>
        <w:rPr>
          <w:rFonts w:ascii="Times New Roman" w:hAnsi="Times New Roman"/>
          <w:sz w:val="22"/>
        </w:rPr>
        <w:t>CCDC will inform the Exchange of the auction results, which will be then forwarded by the Exchange to the Member.</w:t>
      </w:r>
    </w:p>
    <w:p w:rsidR="00564B54" w:rsidRDefault="003B0107" w:rsidP="00BC5A8B">
      <w:pPr>
        <w:tabs>
          <w:tab w:val="left" w:pos="1276"/>
        </w:tabs>
        <w:adjustRightInd w:val="0"/>
        <w:snapToGrid w:val="0"/>
        <w:spacing w:afterLines="100" w:after="312" w:line="276" w:lineRule="auto"/>
        <w:rPr>
          <w:rFonts w:ascii="Times New Roman" w:hAnsi="Times New Roman"/>
          <w:sz w:val="22"/>
        </w:rPr>
      </w:pPr>
      <w:r>
        <w:rPr>
          <w:rFonts w:ascii="Times New Roman" w:hAnsi="Times New Roman"/>
          <w:b/>
          <w:bCs/>
          <w:sz w:val="22"/>
        </w:rPr>
        <w:t>Article 13</w:t>
      </w:r>
      <w:r>
        <w:rPr>
          <w:rFonts w:ascii="Times New Roman" w:hAnsi="Times New Roman"/>
          <w:b/>
          <w:bCs/>
          <w:sz w:val="22"/>
        </w:rPr>
        <w:tab/>
      </w:r>
      <w:r>
        <w:rPr>
          <w:rFonts w:ascii="Times New Roman" w:hAnsi="Times New Roman"/>
          <w:sz w:val="22"/>
        </w:rPr>
        <w:t xml:space="preserve">If government bonds posted as margin collaterals are to be disposed of by sale, the Exchange will submit an application to CCDC. The specific requirements and procedures </w:t>
      </w:r>
      <w:r>
        <w:rPr>
          <w:rFonts w:ascii="Times New Roman" w:hAnsi="Times New Roman"/>
          <w:sz w:val="22"/>
        </w:rPr>
        <w:lastRenderedPageBreak/>
        <w:t>are governed by the applicable rules of CCDC.</w:t>
      </w:r>
    </w:p>
    <w:p w:rsidR="00564B54" w:rsidRDefault="003B0107" w:rsidP="00BC5A8B">
      <w:pPr>
        <w:tabs>
          <w:tab w:val="left" w:pos="1276"/>
        </w:tabs>
        <w:adjustRightInd w:val="0"/>
        <w:snapToGrid w:val="0"/>
        <w:spacing w:afterLines="100" w:after="312" w:line="276" w:lineRule="auto"/>
        <w:rPr>
          <w:rFonts w:ascii="Times New Roman" w:hAnsi="Times New Roman"/>
          <w:sz w:val="22"/>
        </w:rPr>
      </w:pPr>
      <w:r>
        <w:rPr>
          <w:rFonts w:ascii="Times New Roman" w:hAnsi="Times New Roman"/>
          <w:b/>
          <w:bCs/>
          <w:sz w:val="22"/>
        </w:rPr>
        <w:t>Article 14</w:t>
      </w:r>
      <w:r>
        <w:rPr>
          <w:rFonts w:ascii="Times New Roman" w:hAnsi="Times New Roman"/>
          <w:sz w:val="22"/>
        </w:rPr>
        <w:tab/>
        <w:t>If government bonds posted as margin collaterals are to be disposed of as negotiated payment-in-kind, the Exchange and the Member shall jointly submit an application to CCDC once the Exchange reaches an agreement with the Member and bondholders. The specific requirements and procedures are governed by the applicable rules of CCDC.</w:t>
      </w:r>
    </w:p>
    <w:p w:rsidR="00564B54" w:rsidRDefault="003B0107">
      <w:pPr>
        <w:adjustRightInd w:val="0"/>
        <w:snapToGrid w:val="0"/>
        <w:spacing w:afterLines="100" w:after="312" w:line="276" w:lineRule="auto"/>
        <w:jc w:val="center"/>
        <w:rPr>
          <w:rFonts w:ascii="Times New Roman" w:hAnsi="Times New Roman"/>
          <w:b/>
          <w:bCs/>
          <w:sz w:val="22"/>
        </w:rPr>
      </w:pPr>
      <w:r>
        <w:rPr>
          <w:rFonts w:ascii="Times New Roman" w:hAnsi="Times New Roman"/>
          <w:b/>
          <w:bCs/>
          <w:sz w:val="22"/>
        </w:rPr>
        <w:t>Chapter VI</w:t>
      </w:r>
      <w:r>
        <w:rPr>
          <w:rFonts w:ascii="Times New Roman" w:hAnsi="Times New Roman"/>
          <w:b/>
          <w:bCs/>
          <w:sz w:val="22"/>
        </w:rPr>
        <w:tab/>
        <w:t>Disposal of Standard Warrants</w:t>
      </w:r>
    </w:p>
    <w:p w:rsidR="00564B54" w:rsidRDefault="003B0107" w:rsidP="00BC5A8B">
      <w:pPr>
        <w:tabs>
          <w:tab w:val="left" w:pos="1276"/>
        </w:tabs>
        <w:adjustRightInd w:val="0"/>
        <w:snapToGrid w:val="0"/>
        <w:spacing w:afterLines="100" w:after="312" w:line="276" w:lineRule="auto"/>
        <w:rPr>
          <w:rFonts w:ascii="Times New Roman" w:hAnsi="Times New Roman"/>
          <w:sz w:val="22"/>
        </w:rPr>
      </w:pPr>
      <w:r>
        <w:rPr>
          <w:rFonts w:ascii="Times New Roman" w:hAnsi="Times New Roman"/>
          <w:b/>
          <w:bCs/>
          <w:sz w:val="22"/>
        </w:rPr>
        <w:t>Article 15</w:t>
      </w:r>
      <w:r>
        <w:rPr>
          <w:rFonts w:ascii="Times New Roman" w:hAnsi="Times New Roman"/>
          <w:sz w:val="22"/>
        </w:rPr>
        <w:tab/>
        <w:t>Standard warrants to be sold through a public bidding process shall be handled in accordance with the following procedures:</w:t>
      </w:r>
    </w:p>
    <w:p w:rsidR="00564B54" w:rsidRDefault="003B0107" w:rsidP="00BC5A8B">
      <w:pPr>
        <w:tabs>
          <w:tab w:val="left" w:pos="567"/>
        </w:tabs>
        <w:adjustRightInd w:val="0"/>
        <w:snapToGrid w:val="0"/>
        <w:spacing w:afterLines="100" w:after="312" w:line="276" w:lineRule="auto"/>
        <w:ind w:left="565" w:hangingChars="257" w:hanging="565"/>
        <w:rPr>
          <w:rFonts w:ascii="Times New Roman" w:hAnsi="Times New Roman"/>
          <w:sz w:val="22"/>
        </w:rPr>
      </w:pPr>
      <w:r>
        <w:rPr>
          <w:rFonts w:ascii="Times New Roman" w:hAnsi="Times New Roman"/>
          <w:sz w:val="22"/>
        </w:rPr>
        <w:t>(i)</w:t>
      </w:r>
      <w:r>
        <w:rPr>
          <w:rFonts w:ascii="Times New Roman" w:hAnsi="Times New Roman"/>
          <w:sz w:val="22"/>
        </w:rPr>
        <w:tab/>
        <w:t>Sale notice</w:t>
      </w:r>
    </w:p>
    <w:p w:rsidR="00564B54" w:rsidRDefault="003B0107" w:rsidP="00BC5A8B">
      <w:pPr>
        <w:adjustRightInd w:val="0"/>
        <w:snapToGrid w:val="0"/>
        <w:spacing w:afterLines="100" w:after="312" w:line="276" w:lineRule="auto"/>
        <w:ind w:leftChars="269" w:left="567" w:hanging="2"/>
        <w:rPr>
          <w:rFonts w:ascii="Times New Roman" w:hAnsi="Times New Roman"/>
          <w:sz w:val="22"/>
        </w:rPr>
      </w:pPr>
      <w:r>
        <w:rPr>
          <w:rFonts w:ascii="Times New Roman" w:hAnsi="Times New Roman"/>
          <w:sz w:val="22"/>
        </w:rPr>
        <w:t>After the daily clearing on Day T, the Exchange will publish a notice on sale of standard warrants on its official website, covering the particulars of the standard warrants to be disposed of, the time of sale, and the methods for participation and payment, among other relevant information.</w:t>
      </w:r>
    </w:p>
    <w:p w:rsidR="00564B54" w:rsidRDefault="003B0107" w:rsidP="00BC5A8B">
      <w:pPr>
        <w:tabs>
          <w:tab w:val="left" w:pos="567"/>
        </w:tabs>
        <w:adjustRightInd w:val="0"/>
        <w:snapToGrid w:val="0"/>
        <w:spacing w:afterLines="100" w:after="312" w:line="276" w:lineRule="auto"/>
        <w:ind w:left="565" w:hangingChars="257" w:hanging="565"/>
        <w:rPr>
          <w:rFonts w:ascii="Times New Roman" w:hAnsi="Times New Roman"/>
          <w:sz w:val="22"/>
        </w:rPr>
      </w:pPr>
      <w:r>
        <w:rPr>
          <w:rFonts w:ascii="Times New Roman" w:hAnsi="Times New Roman"/>
          <w:sz w:val="22"/>
        </w:rPr>
        <w:t>(ii)</w:t>
      </w:r>
      <w:r>
        <w:rPr>
          <w:rFonts w:ascii="Times New Roman" w:hAnsi="Times New Roman"/>
          <w:sz w:val="22"/>
        </w:rPr>
        <w:tab/>
        <w:t>Sale reservation price</w:t>
      </w:r>
    </w:p>
    <w:p w:rsidR="00564B54" w:rsidRDefault="003B0107" w:rsidP="00BC5A8B">
      <w:pPr>
        <w:adjustRightInd w:val="0"/>
        <w:snapToGrid w:val="0"/>
        <w:spacing w:afterLines="100" w:after="312" w:line="276" w:lineRule="auto"/>
        <w:ind w:leftChars="269" w:left="567" w:hanging="2"/>
        <w:rPr>
          <w:rFonts w:ascii="Times New Roman" w:hAnsi="Times New Roman"/>
          <w:sz w:val="22"/>
        </w:rPr>
      </w:pPr>
      <w:r>
        <w:rPr>
          <w:rFonts w:ascii="Times New Roman" w:hAnsi="Times New Roman"/>
          <w:sz w:val="22"/>
        </w:rPr>
        <w:t xml:space="preserve">Sale reservation price = the settlement price of the nearby futures contract for the product underlying the standard warrants on Day T </w:t>
      </w:r>
      <w:bookmarkStart w:id="2" w:name="_Hlk137049564"/>
      <w:r>
        <w:rPr>
          <w:rFonts w:ascii="Times New Roman" w:hAnsi="Times New Roman"/>
          <w:sz w:val="22"/>
        </w:rPr>
        <w:t>×</w:t>
      </w:r>
      <w:bookmarkEnd w:id="2"/>
      <w:r>
        <w:rPr>
          <w:rFonts w:ascii="Times New Roman" w:hAnsi="Times New Roman"/>
          <w:sz w:val="22"/>
        </w:rPr>
        <w:t xml:space="preserve"> discount ratio.</w:t>
      </w:r>
    </w:p>
    <w:p w:rsidR="00564B54" w:rsidRDefault="003B0107" w:rsidP="00BC5A8B">
      <w:pPr>
        <w:adjustRightInd w:val="0"/>
        <w:snapToGrid w:val="0"/>
        <w:spacing w:afterLines="100" w:after="312" w:line="276" w:lineRule="auto"/>
        <w:ind w:leftChars="269" w:left="567" w:hanging="2"/>
        <w:rPr>
          <w:rFonts w:ascii="Times New Roman" w:hAnsi="Times New Roman"/>
          <w:sz w:val="22"/>
        </w:rPr>
      </w:pPr>
      <w:r>
        <w:rPr>
          <w:rFonts w:ascii="Times New Roman" w:hAnsi="Times New Roman"/>
          <w:sz w:val="22"/>
        </w:rPr>
        <w:t>The Exchange reserves the right to adjust the discount ratio of the sale reservation price in light of market conditions.</w:t>
      </w:r>
    </w:p>
    <w:p w:rsidR="00564B54" w:rsidRDefault="003B0107" w:rsidP="00BC5A8B">
      <w:pPr>
        <w:tabs>
          <w:tab w:val="left" w:pos="567"/>
        </w:tabs>
        <w:adjustRightInd w:val="0"/>
        <w:snapToGrid w:val="0"/>
        <w:spacing w:afterLines="100" w:after="312" w:line="276" w:lineRule="auto"/>
        <w:ind w:left="565" w:hangingChars="257" w:hanging="565"/>
        <w:rPr>
          <w:rFonts w:ascii="Times New Roman" w:hAnsi="Times New Roman"/>
          <w:sz w:val="22"/>
        </w:rPr>
      </w:pPr>
      <w:r>
        <w:rPr>
          <w:rFonts w:ascii="Times New Roman" w:hAnsi="Times New Roman"/>
          <w:sz w:val="22"/>
        </w:rPr>
        <w:t>(iii)</w:t>
      </w:r>
      <w:r>
        <w:rPr>
          <w:rFonts w:ascii="Times New Roman" w:hAnsi="Times New Roman"/>
          <w:sz w:val="22"/>
        </w:rPr>
        <w:tab/>
        <w:t xml:space="preserve">Criteria </w:t>
      </w:r>
      <w:r>
        <w:rPr>
          <w:rFonts w:ascii="Times New Roman" w:eastAsia="Songti SC" w:hAnsi="Times New Roman"/>
          <w:sz w:val="22"/>
          <w:lang w:eastAsia="zh-Hans"/>
        </w:rPr>
        <w:t>for participation</w:t>
      </w:r>
    </w:p>
    <w:p w:rsidR="00564B54" w:rsidRDefault="003B0107" w:rsidP="00BC5A8B">
      <w:pPr>
        <w:adjustRightInd w:val="0"/>
        <w:snapToGrid w:val="0"/>
        <w:spacing w:afterLines="100" w:after="312" w:line="276" w:lineRule="auto"/>
        <w:ind w:leftChars="269" w:left="567" w:hanging="2"/>
        <w:rPr>
          <w:rFonts w:ascii="Times New Roman" w:hAnsi="Times New Roman"/>
          <w:sz w:val="22"/>
        </w:rPr>
      </w:pPr>
      <w:r>
        <w:rPr>
          <w:rFonts w:ascii="Times New Roman" w:hAnsi="Times New Roman"/>
          <w:sz w:val="22"/>
        </w:rPr>
        <w:t>To participate in the bid, bidders are required to prepay a deposit equaling a certain percentage of the value of the standard warrants. The specific percentage required is governed by the sale notice.</w:t>
      </w:r>
    </w:p>
    <w:p w:rsidR="00564B54" w:rsidRDefault="003B0107" w:rsidP="00BC5A8B">
      <w:pPr>
        <w:adjustRightInd w:val="0"/>
        <w:snapToGrid w:val="0"/>
        <w:spacing w:afterLines="100" w:after="312" w:line="276" w:lineRule="auto"/>
        <w:ind w:leftChars="269" w:left="567" w:hanging="2"/>
        <w:rPr>
          <w:rFonts w:ascii="Times New Roman" w:hAnsi="Times New Roman"/>
          <w:sz w:val="22"/>
        </w:rPr>
      </w:pPr>
      <w:r>
        <w:rPr>
          <w:rFonts w:ascii="Times New Roman" w:hAnsi="Times New Roman"/>
          <w:sz w:val="22"/>
        </w:rPr>
        <w:t>The value of the standard warrants shall be calculated based on the settlement price of the nearby futures contract for the product underlying the standard warrants on Day T.</w:t>
      </w:r>
    </w:p>
    <w:p w:rsidR="00564B54" w:rsidRDefault="003B0107" w:rsidP="00BC5A8B">
      <w:pPr>
        <w:tabs>
          <w:tab w:val="left" w:pos="567"/>
        </w:tabs>
        <w:adjustRightInd w:val="0"/>
        <w:snapToGrid w:val="0"/>
        <w:spacing w:afterLines="100" w:after="312" w:line="276" w:lineRule="auto"/>
        <w:ind w:left="565" w:hangingChars="257" w:hanging="565"/>
        <w:rPr>
          <w:rFonts w:ascii="Times New Roman" w:hAnsi="Times New Roman"/>
          <w:sz w:val="22"/>
        </w:rPr>
      </w:pPr>
      <w:r>
        <w:rPr>
          <w:rFonts w:ascii="Times New Roman" w:hAnsi="Times New Roman"/>
          <w:sz w:val="22"/>
        </w:rPr>
        <w:t>(iv)</w:t>
      </w:r>
      <w:r>
        <w:rPr>
          <w:rFonts w:ascii="Times New Roman" w:hAnsi="Times New Roman"/>
          <w:sz w:val="22"/>
        </w:rPr>
        <w:tab/>
        <w:t>Procedures</w:t>
      </w:r>
    </w:p>
    <w:p w:rsidR="00564B54" w:rsidRDefault="003B0107" w:rsidP="00BC5A8B">
      <w:pPr>
        <w:adjustRightInd w:val="0"/>
        <w:snapToGrid w:val="0"/>
        <w:spacing w:afterLines="100" w:after="312" w:line="276" w:lineRule="auto"/>
        <w:ind w:leftChars="269" w:left="567" w:hanging="2"/>
        <w:rPr>
          <w:rFonts w:ascii="Times New Roman" w:hAnsi="Times New Roman"/>
          <w:sz w:val="22"/>
        </w:rPr>
      </w:pPr>
      <w:r>
        <w:rPr>
          <w:rFonts w:ascii="Times New Roman" w:hAnsi="Times New Roman"/>
          <w:sz w:val="22"/>
        </w:rPr>
        <w:t>1. Application: Each bidder shall submit an application to the Exchange as required by the sale notice and within the specified time of sale.</w:t>
      </w:r>
    </w:p>
    <w:p w:rsidR="00564B54" w:rsidRDefault="003B0107" w:rsidP="00BC5A8B">
      <w:pPr>
        <w:adjustRightInd w:val="0"/>
        <w:snapToGrid w:val="0"/>
        <w:spacing w:afterLines="100" w:after="312" w:line="276" w:lineRule="auto"/>
        <w:ind w:leftChars="269" w:left="567" w:hanging="2"/>
        <w:rPr>
          <w:rFonts w:ascii="Times New Roman" w:hAnsi="Times New Roman"/>
          <w:sz w:val="22"/>
        </w:rPr>
      </w:pPr>
      <w:r>
        <w:rPr>
          <w:rFonts w:ascii="Times New Roman" w:hAnsi="Times New Roman"/>
          <w:sz w:val="22"/>
        </w:rPr>
        <w:t xml:space="preserve">2. Determination of sale results: Upon the conclusion of the bidding session, if the total bid quantity is equal to or less than the Member’s related debts, all bids will be deemed successful; if it is greater than the Member’s related debts, the successful bids will be selected in accordance with price-time priority. </w:t>
      </w:r>
      <w:bookmarkStart w:id="3" w:name="_Hlk137050117"/>
      <w:r>
        <w:rPr>
          <w:rFonts w:ascii="Times New Roman" w:hAnsi="Times New Roman"/>
          <w:sz w:val="22"/>
        </w:rPr>
        <w:t>Any bid below the minimum single-bid quantity or the sale reservation price is deemed invalid</w:t>
      </w:r>
      <w:bookmarkEnd w:id="3"/>
      <w:r>
        <w:rPr>
          <w:rFonts w:ascii="Times New Roman" w:hAnsi="Times New Roman"/>
          <w:sz w:val="22"/>
        </w:rPr>
        <w:t>.</w:t>
      </w:r>
    </w:p>
    <w:p w:rsidR="00564B54" w:rsidRDefault="003B0107" w:rsidP="00BC5A8B">
      <w:pPr>
        <w:adjustRightInd w:val="0"/>
        <w:snapToGrid w:val="0"/>
        <w:spacing w:afterLines="100" w:after="312" w:line="276" w:lineRule="auto"/>
        <w:ind w:leftChars="269" w:left="567" w:hanging="2"/>
        <w:rPr>
          <w:rFonts w:ascii="Times New Roman" w:hAnsi="Times New Roman"/>
          <w:sz w:val="22"/>
        </w:rPr>
      </w:pPr>
      <w:r>
        <w:rPr>
          <w:rFonts w:ascii="Times New Roman" w:hAnsi="Times New Roman"/>
          <w:sz w:val="22"/>
        </w:rPr>
        <w:lastRenderedPageBreak/>
        <w:t>3. Notification of sale results: Upon confirmation of the sale results, the Exchange will send a notice to the winning bidders and return the deposit to the losing bidders.</w:t>
      </w:r>
    </w:p>
    <w:p w:rsidR="00564B54" w:rsidRDefault="003B0107" w:rsidP="00BC5A8B">
      <w:pPr>
        <w:tabs>
          <w:tab w:val="left" w:pos="567"/>
        </w:tabs>
        <w:adjustRightInd w:val="0"/>
        <w:snapToGrid w:val="0"/>
        <w:spacing w:afterLines="100" w:after="312" w:line="276" w:lineRule="auto"/>
        <w:ind w:left="565" w:hangingChars="257" w:hanging="565"/>
        <w:rPr>
          <w:rFonts w:ascii="Times New Roman" w:hAnsi="Times New Roman"/>
          <w:sz w:val="22"/>
        </w:rPr>
      </w:pPr>
      <w:r>
        <w:rPr>
          <w:rFonts w:ascii="Times New Roman" w:hAnsi="Times New Roman"/>
          <w:sz w:val="22"/>
        </w:rPr>
        <w:t>(v)</w:t>
      </w:r>
      <w:r>
        <w:rPr>
          <w:rFonts w:ascii="Times New Roman" w:hAnsi="Times New Roman"/>
          <w:sz w:val="22"/>
        </w:rPr>
        <w:tab/>
        <w:t>Payment</w:t>
      </w:r>
    </w:p>
    <w:p w:rsidR="00564B54" w:rsidRDefault="003B0107" w:rsidP="00BC5A8B">
      <w:pPr>
        <w:adjustRightInd w:val="0"/>
        <w:snapToGrid w:val="0"/>
        <w:spacing w:afterLines="100" w:after="312" w:line="276" w:lineRule="auto"/>
        <w:ind w:leftChars="269" w:left="567" w:hanging="2"/>
        <w:rPr>
          <w:rFonts w:ascii="Times New Roman" w:hAnsi="Times New Roman"/>
          <w:sz w:val="22"/>
        </w:rPr>
      </w:pPr>
      <w:r>
        <w:rPr>
          <w:rFonts w:ascii="Times New Roman" w:hAnsi="Times New Roman"/>
          <w:sz w:val="22"/>
        </w:rPr>
        <w:t xml:space="preserve">Any bidder who receives the winning notice shall transfer the difference between the value of the standard warrants and the prepaid deposit to the Exchange-designated funds account within the time specified by the Exchange. </w:t>
      </w:r>
      <w:r>
        <w:rPr>
          <w:rFonts w:ascii="Times New Roman" w:eastAsia="Songti SC" w:hAnsi="Times New Roman"/>
          <w:sz w:val="22"/>
          <w:lang w:eastAsia="zh-Hans"/>
        </w:rPr>
        <w:t>The deposit will not be returned if such bidder fails to make full payment on time</w:t>
      </w:r>
      <w:r>
        <w:rPr>
          <w:rFonts w:ascii="Times New Roman" w:hAnsi="Times New Roman"/>
          <w:sz w:val="22"/>
        </w:rPr>
        <w:t>.</w:t>
      </w:r>
    </w:p>
    <w:p w:rsidR="00564B54" w:rsidRDefault="003B0107" w:rsidP="00BC5A8B">
      <w:pPr>
        <w:tabs>
          <w:tab w:val="left" w:pos="567"/>
        </w:tabs>
        <w:adjustRightInd w:val="0"/>
        <w:snapToGrid w:val="0"/>
        <w:spacing w:afterLines="100" w:after="312" w:line="276" w:lineRule="auto"/>
        <w:ind w:left="565" w:hangingChars="257" w:hanging="565"/>
        <w:rPr>
          <w:rFonts w:ascii="Times New Roman" w:hAnsi="Times New Roman"/>
          <w:sz w:val="22"/>
        </w:rPr>
      </w:pPr>
      <w:r>
        <w:rPr>
          <w:rFonts w:ascii="Times New Roman" w:hAnsi="Times New Roman"/>
          <w:sz w:val="22"/>
        </w:rPr>
        <w:t>(vi)</w:t>
      </w:r>
      <w:r>
        <w:rPr>
          <w:rFonts w:ascii="Times New Roman" w:hAnsi="Times New Roman"/>
          <w:sz w:val="22"/>
        </w:rPr>
        <w:tab/>
        <w:t>Transfer of standard warrants</w:t>
      </w:r>
    </w:p>
    <w:p w:rsidR="00564B54" w:rsidRDefault="003B0107" w:rsidP="00BC5A8B">
      <w:pPr>
        <w:adjustRightInd w:val="0"/>
        <w:snapToGrid w:val="0"/>
        <w:spacing w:afterLines="100" w:after="312" w:line="276" w:lineRule="auto"/>
        <w:ind w:leftChars="268" w:left="563"/>
        <w:rPr>
          <w:rFonts w:ascii="Times New Roman" w:hAnsi="Times New Roman"/>
          <w:sz w:val="22"/>
        </w:rPr>
      </w:pPr>
      <w:r>
        <w:rPr>
          <w:rFonts w:ascii="Times New Roman" w:hAnsi="Times New Roman"/>
          <w:sz w:val="22"/>
        </w:rPr>
        <w:t>The Exchange will register the standard warrants under the winning bidder’s name after receiving the payment in full.</w:t>
      </w:r>
    </w:p>
    <w:p w:rsidR="00564B54" w:rsidRDefault="003B0107" w:rsidP="00BC5A8B">
      <w:pPr>
        <w:tabs>
          <w:tab w:val="left" w:pos="567"/>
        </w:tabs>
        <w:adjustRightInd w:val="0"/>
        <w:snapToGrid w:val="0"/>
        <w:spacing w:afterLines="100" w:after="312" w:line="276" w:lineRule="auto"/>
        <w:ind w:left="565" w:hangingChars="257" w:hanging="565"/>
        <w:rPr>
          <w:rFonts w:ascii="Times New Roman" w:hAnsi="Times New Roman"/>
          <w:sz w:val="22"/>
        </w:rPr>
      </w:pPr>
      <w:r>
        <w:rPr>
          <w:rFonts w:ascii="Times New Roman" w:hAnsi="Times New Roman" w:hint="eastAsia"/>
          <w:sz w:val="22"/>
        </w:rPr>
        <w:t>(</w:t>
      </w:r>
      <w:r>
        <w:rPr>
          <w:rFonts w:ascii="Times New Roman" w:hAnsi="Times New Roman"/>
          <w:sz w:val="22"/>
        </w:rPr>
        <w:t>vii)</w:t>
      </w:r>
      <w:r>
        <w:rPr>
          <w:rFonts w:ascii="Times New Roman" w:hAnsi="Times New Roman"/>
          <w:sz w:val="22"/>
        </w:rPr>
        <w:tab/>
        <w:t>Re-bidding</w:t>
      </w:r>
    </w:p>
    <w:p w:rsidR="00564B54" w:rsidRDefault="003B0107" w:rsidP="00BC5A8B">
      <w:pPr>
        <w:adjustRightInd w:val="0"/>
        <w:snapToGrid w:val="0"/>
        <w:spacing w:afterLines="100" w:after="312" w:line="276" w:lineRule="auto"/>
        <w:ind w:leftChars="256" w:left="540" w:hanging="2"/>
        <w:rPr>
          <w:rFonts w:ascii="Times New Roman" w:hAnsi="Times New Roman"/>
          <w:sz w:val="22"/>
        </w:rPr>
      </w:pPr>
      <w:bookmarkStart w:id="4" w:name="_Hlk137050405"/>
      <w:r>
        <w:rPr>
          <w:rFonts w:ascii="Times New Roman" w:hAnsi="Times New Roman" w:hint="eastAsia"/>
          <w:sz w:val="22"/>
        </w:rPr>
        <w:t>I</w:t>
      </w:r>
      <w:r>
        <w:rPr>
          <w:rFonts w:ascii="Times New Roman" w:hAnsi="Times New Roman"/>
          <w:sz w:val="22"/>
        </w:rPr>
        <w:t>f no buyer participates in the bidding process or if the total bid quantity is less than the Member’s related debts, the Exchange may extend the bidding time or, after adjusting the sale reservation price in light of the market conditions, organize a re-bidding round</w:t>
      </w:r>
      <w:bookmarkEnd w:id="4"/>
      <w:r>
        <w:rPr>
          <w:rFonts w:ascii="Times New Roman" w:hAnsi="Times New Roman"/>
          <w:sz w:val="22"/>
        </w:rPr>
        <w:t>.</w:t>
      </w:r>
    </w:p>
    <w:p w:rsidR="00564B54" w:rsidRDefault="003B0107" w:rsidP="00BC5A8B">
      <w:pPr>
        <w:tabs>
          <w:tab w:val="left" w:pos="1276"/>
        </w:tabs>
        <w:adjustRightInd w:val="0"/>
        <w:snapToGrid w:val="0"/>
        <w:spacing w:afterLines="100" w:after="312" w:line="276" w:lineRule="auto"/>
        <w:rPr>
          <w:rFonts w:ascii="Times New Roman" w:hAnsi="Times New Roman"/>
          <w:sz w:val="22"/>
        </w:rPr>
      </w:pPr>
      <w:r>
        <w:rPr>
          <w:rFonts w:ascii="Times New Roman" w:hAnsi="Times New Roman"/>
          <w:b/>
          <w:bCs/>
          <w:sz w:val="22"/>
        </w:rPr>
        <w:t>Article 16</w:t>
      </w:r>
      <w:r>
        <w:rPr>
          <w:rFonts w:ascii="Times New Roman" w:hAnsi="Times New Roman"/>
          <w:sz w:val="22"/>
        </w:rPr>
        <w:tab/>
        <w:t>If the standard warrants posted as margin collaterals are to be disposed of by auction, the Exchange will</w:t>
      </w:r>
      <w:bookmarkStart w:id="5" w:name="_Hlk137050504"/>
      <w:r>
        <w:rPr>
          <w:rFonts w:ascii="Times New Roman" w:hAnsi="Times New Roman"/>
          <w:sz w:val="22"/>
        </w:rPr>
        <w:t xml:space="preserve">, in accordance with the </w:t>
      </w:r>
      <w:r>
        <w:rPr>
          <w:rFonts w:ascii="Times New Roman" w:hAnsi="Times New Roman"/>
          <w:i/>
          <w:iCs/>
          <w:sz w:val="22"/>
        </w:rPr>
        <w:t>Auction Law of the People’s Republic of China</w:t>
      </w:r>
      <w:r>
        <w:rPr>
          <w:rFonts w:ascii="Times New Roman" w:hAnsi="Times New Roman"/>
          <w:sz w:val="22"/>
        </w:rPr>
        <w:t>, engage an enterprise with the auction license to hold the auction. The auction reservation price is calculated similarly to the sale reservation price</w:t>
      </w:r>
      <w:bookmarkEnd w:id="5"/>
      <w:r>
        <w:rPr>
          <w:rFonts w:ascii="Times New Roman" w:hAnsi="Times New Roman"/>
          <w:sz w:val="22"/>
        </w:rPr>
        <w:t>.</w:t>
      </w:r>
    </w:p>
    <w:p w:rsidR="00564B54" w:rsidRDefault="003B0107" w:rsidP="00BC5A8B">
      <w:pPr>
        <w:tabs>
          <w:tab w:val="left" w:pos="1276"/>
        </w:tabs>
        <w:adjustRightInd w:val="0"/>
        <w:snapToGrid w:val="0"/>
        <w:spacing w:afterLines="100" w:after="312" w:line="276" w:lineRule="auto"/>
        <w:rPr>
          <w:rFonts w:ascii="Times New Roman" w:hAnsi="Times New Roman"/>
          <w:sz w:val="22"/>
        </w:rPr>
      </w:pPr>
      <w:r>
        <w:rPr>
          <w:rFonts w:ascii="Times New Roman" w:hAnsi="Times New Roman"/>
          <w:b/>
          <w:bCs/>
          <w:sz w:val="22"/>
        </w:rPr>
        <w:t>Article 17</w:t>
      </w:r>
      <w:r>
        <w:rPr>
          <w:rFonts w:ascii="Times New Roman" w:hAnsi="Times New Roman"/>
          <w:sz w:val="22"/>
        </w:rPr>
        <w:tab/>
        <w:t xml:space="preserve">If the standard warrants posted as margin collaterals are to be disposed of as negotiated payment-in-kind, the Exchange will </w:t>
      </w:r>
      <w:bookmarkStart w:id="6" w:name="_Hlk137050559"/>
      <w:r>
        <w:rPr>
          <w:rFonts w:ascii="Times New Roman" w:hAnsi="Times New Roman"/>
          <w:sz w:val="22"/>
        </w:rPr>
        <w:t>first reach an agreement with the Member and standard warrant holder and then transfer the standard warrants in reference to its standard warrant transfer rules</w:t>
      </w:r>
      <w:bookmarkEnd w:id="6"/>
      <w:r>
        <w:rPr>
          <w:rFonts w:ascii="Times New Roman" w:hAnsi="Times New Roman"/>
          <w:sz w:val="22"/>
        </w:rPr>
        <w:t>.</w:t>
      </w:r>
    </w:p>
    <w:p w:rsidR="00564B54" w:rsidRDefault="003B0107" w:rsidP="00BC5A8B">
      <w:pPr>
        <w:tabs>
          <w:tab w:val="left" w:pos="1276"/>
        </w:tabs>
        <w:adjustRightInd w:val="0"/>
        <w:snapToGrid w:val="0"/>
        <w:spacing w:afterLines="100" w:after="312" w:line="276" w:lineRule="auto"/>
        <w:rPr>
          <w:rFonts w:ascii="Times New Roman" w:hAnsi="Times New Roman"/>
          <w:sz w:val="22"/>
        </w:rPr>
      </w:pPr>
      <w:r>
        <w:rPr>
          <w:rFonts w:ascii="Times New Roman" w:hAnsi="Times New Roman"/>
          <w:b/>
          <w:bCs/>
          <w:sz w:val="22"/>
        </w:rPr>
        <w:t>Article 18</w:t>
      </w:r>
      <w:r>
        <w:rPr>
          <w:rFonts w:ascii="Times New Roman" w:hAnsi="Times New Roman"/>
          <w:sz w:val="22"/>
        </w:rPr>
        <w:tab/>
        <w:t xml:space="preserve">A buyer shall, within one (1) </w:t>
      </w:r>
      <w:r>
        <w:rPr>
          <w:rFonts w:ascii="Times New Roman" w:hAnsi="Times New Roman" w:hint="eastAsia"/>
          <w:sz w:val="22"/>
        </w:rPr>
        <w:t>business</w:t>
      </w:r>
      <w:r>
        <w:rPr>
          <w:rFonts w:ascii="Times New Roman" w:hAnsi="Times New Roman"/>
          <w:sz w:val="22"/>
        </w:rPr>
        <w:t xml:space="preserve"> day after making the payment for the standard warrants and as required by the competent tax authority, notify the original holder of the detailed information needed for the issuance of the tax invoice including the buyer’s name, address, tax invoice amount, and taxpayer registration number, among others. The original holder shall issue a tax invoice to the buyer within five (5) business days after the standard warrants are transferred, failing which, the Exchange will calculate the amount of value-added tax that the holder shall compensate the buyer at the tax rate announced by the state taxation authority. The Exchange may proceed to dispose of the remaining standard warrants of the Member in accordance with the calculated tax amount.</w:t>
      </w:r>
    </w:p>
    <w:p w:rsidR="00564B54" w:rsidRDefault="003B0107" w:rsidP="00BC5A8B">
      <w:pPr>
        <w:tabs>
          <w:tab w:val="left" w:pos="1276"/>
        </w:tabs>
        <w:adjustRightInd w:val="0"/>
        <w:snapToGrid w:val="0"/>
        <w:spacing w:afterLines="100" w:after="312" w:line="276" w:lineRule="auto"/>
        <w:rPr>
          <w:rFonts w:ascii="Times New Roman" w:hAnsi="Times New Roman"/>
          <w:sz w:val="22"/>
        </w:rPr>
      </w:pPr>
      <w:r>
        <w:rPr>
          <w:rFonts w:ascii="Times New Roman" w:hAnsi="Times New Roman"/>
          <w:b/>
          <w:bCs/>
          <w:sz w:val="22"/>
        </w:rPr>
        <w:t>Article 19</w:t>
      </w:r>
      <w:r>
        <w:rPr>
          <w:rFonts w:ascii="Times New Roman" w:hAnsi="Times New Roman"/>
          <w:sz w:val="22"/>
        </w:rPr>
        <w:tab/>
        <w:t>During the disposal proceedings, the standard warrants concerned are frozen and may not be canceled, delivered, exchanged for physicals, transferred, traded, or used in other transactions.</w:t>
      </w:r>
    </w:p>
    <w:p w:rsidR="00564B54" w:rsidRDefault="003B0107">
      <w:pPr>
        <w:tabs>
          <w:tab w:val="left" w:pos="1560"/>
        </w:tabs>
        <w:adjustRightInd w:val="0"/>
        <w:snapToGrid w:val="0"/>
        <w:spacing w:afterLines="100" w:after="312" w:line="276" w:lineRule="auto"/>
        <w:jc w:val="center"/>
        <w:rPr>
          <w:rFonts w:ascii="Times New Roman" w:hAnsi="Times New Roman"/>
          <w:b/>
          <w:bCs/>
          <w:sz w:val="22"/>
        </w:rPr>
      </w:pPr>
      <w:r>
        <w:rPr>
          <w:rFonts w:ascii="Times New Roman" w:hAnsi="Times New Roman"/>
          <w:b/>
          <w:bCs/>
          <w:sz w:val="22"/>
        </w:rPr>
        <w:t>Chapter VII</w:t>
      </w:r>
      <w:r>
        <w:rPr>
          <w:rFonts w:ascii="Times New Roman" w:hAnsi="Times New Roman"/>
          <w:b/>
          <w:bCs/>
          <w:sz w:val="22"/>
        </w:rPr>
        <w:tab/>
        <w:t>Miscellaneous</w:t>
      </w:r>
    </w:p>
    <w:p w:rsidR="00564B54" w:rsidRDefault="003B0107" w:rsidP="00BC5A8B">
      <w:pPr>
        <w:tabs>
          <w:tab w:val="left" w:pos="1276"/>
        </w:tabs>
        <w:adjustRightInd w:val="0"/>
        <w:snapToGrid w:val="0"/>
        <w:spacing w:afterLines="100" w:after="312" w:line="276" w:lineRule="auto"/>
        <w:rPr>
          <w:rFonts w:ascii="Times New Roman" w:hAnsi="Times New Roman"/>
          <w:sz w:val="22"/>
        </w:rPr>
      </w:pPr>
      <w:r>
        <w:rPr>
          <w:rFonts w:ascii="Times New Roman" w:hAnsi="Times New Roman"/>
          <w:b/>
          <w:bCs/>
          <w:sz w:val="22"/>
        </w:rPr>
        <w:lastRenderedPageBreak/>
        <w:t>Article 20</w:t>
      </w:r>
      <w:r>
        <w:rPr>
          <w:rFonts w:ascii="Times New Roman" w:hAnsi="Times New Roman"/>
          <w:sz w:val="22"/>
        </w:rPr>
        <w:tab/>
        <w:t>The Exchange may suspend the disposal of assets posted as margin collaterals if:</w:t>
      </w:r>
    </w:p>
    <w:p w:rsidR="00564B54" w:rsidRDefault="003B0107" w:rsidP="00BC5A8B">
      <w:pPr>
        <w:tabs>
          <w:tab w:val="left" w:pos="567"/>
        </w:tabs>
        <w:adjustRightInd w:val="0"/>
        <w:snapToGrid w:val="0"/>
        <w:spacing w:afterLines="100" w:after="312" w:line="276" w:lineRule="auto"/>
        <w:ind w:left="565" w:hangingChars="257" w:hanging="565"/>
        <w:rPr>
          <w:rFonts w:ascii="Times New Roman" w:hAnsi="Times New Roman"/>
          <w:sz w:val="22"/>
        </w:rPr>
      </w:pPr>
      <w:r>
        <w:rPr>
          <w:rFonts w:ascii="Times New Roman" w:hAnsi="Times New Roman"/>
          <w:sz w:val="22"/>
        </w:rPr>
        <w:t>(i)</w:t>
      </w:r>
      <w:r>
        <w:rPr>
          <w:rFonts w:ascii="Times New Roman" w:hAnsi="Times New Roman"/>
          <w:sz w:val="22"/>
        </w:rPr>
        <w:tab/>
        <w:t>a circumstance such as policy adjustment or significant market fluctuation arises; or</w:t>
      </w:r>
    </w:p>
    <w:p w:rsidR="00564B54" w:rsidRDefault="003B0107" w:rsidP="00BC5A8B">
      <w:pPr>
        <w:tabs>
          <w:tab w:val="left" w:pos="567"/>
        </w:tabs>
        <w:adjustRightInd w:val="0"/>
        <w:snapToGrid w:val="0"/>
        <w:spacing w:afterLines="100" w:after="312" w:line="276" w:lineRule="auto"/>
        <w:ind w:left="565" w:hangingChars="257" w:hanging="565"/>
        <w:rPr>
          <w:rFonts w:ascii="Times New Roman" w:hAnsi="Times New Roman"/>
          <w:sz w:val="22"/>
        </w:rPr>
      </w:pPr>
      <w:r>
        <w:rPr>
          <w:rFonts w:ascii="Times New Roman" w:hAnsi="Times New Roman"/>
          <w:sz w:val="22"/>
        </w:rPr>
        <w:t>(ii)</w:t>
      </w:r>
      <w:r>
        <w:rPr>
          <w:rFonts w:ascii="Times New Roman" w:hAnsi="Times New Roman"/>
          <w:sz w:val="22"/>
        </w:rPr>
        <w:tab/>
        <w:t>there is any other circumstance that, in the Exchange’s opinion, requires the suspension.</w:t>
      </w:r>
    </w:p>
    <w:p w:rsidR="00564B54" w:rsidRDefault="003B0107" w:rsidP="00BC5A8B">
      <w:pPr>
        <w:tabs>
          <w:tab w:val="left" w:pos="1276"/>
        </w:tabs>
        <w:adjustRightInd w:val="0"/>
        <w:snapToGrid w:val="0"/>
        <w:spacing w:afterLines="100" w:after="312" w:line="276" w:lineRule="auto"/>
        <w:rPr>
          <w:rFonts w:ascii="Times New Roman" w:hAnsi="Times New Roman"/>
          <w:sz w:val="22"/>
        </w:rPr>
      </w:pPr>
      <w:r>
        <w:rPr>
          <w:rFonts w:ascii="Times New Roman" w:hAnsi="Times New Roman"/>
          <w:b/>
          <w:bCs/>
          <w:sz w:val="22"/>
        </w:rPr>
        <w:t>Article 21</w:t>
      </w:r>
      <w:r>
        <w:rPr>
          <w:rFonts w:ascii="Times New Roman" w:hAnsi="Times New Roman"/>
          <w:sz w:val="22"/>
        </w:rPr>
        <w:tab/>
        <w:t>The Exchange will treat the proceeds from the disposal of a Member’s assets as funds deposits by the Member and apply them toward meeting the Member’s trading margin requirement and related debts. After such requirements and debts are met, the Member may apply to the Exchange for withdrawing the remaining funds.</w:t>
      </w:r>
    </w:p>
    <w:p w:rsidR="00564B54" w:rsidRDefault="003B0107" w:rsidP="00BC5A8B">
      <w:pPr>
        <w:tabs>
          <w:tab w:val="left" w:pos="1276"/>
        </w:tabs>
        <w:adjustRightInd w:val="0"/>
        <w:snapToGrid w:val="0"/>
        <w:spacing w:afterLines="100" w:after="312" w:line="276" w:lineRule="auto"/>
        <w:rPr>
          <w:rFonts w:ascii="Times New Roman" w:hAnsi="Times New Roman"/>
          <w:sz w:val="22"/>
        </w:rPr>
      </w:pPr>
      <w:r>
        <w:rPr>
          <w:rFonts w:ascii="Times New Roman" w:hAnsi="Times New Roman"/>
          <w:b/>
          <w:bCs/>
          <w:sz w:val="22"/>
        </w:rPr>
        <w:t>Article 22</w:t>
      </w:r>
      <w:r>
        <w:rPr>
          <w:rFonts w:ascii="Times New Roman" w:hAnsi="Times New Roman"/>
          <w:sz w:val="22"/>
        </w:rPr>
        <w:tab/>
        <w:t>If the proceeds from disposal are insufficient to cover the Member’s related debts, the Exchange may proceed to dispose of its remaining assets in accordance with the foregoing provisions.</w:t>
      </w:r>
    </w:p>
    <w:p w:rsidR="00564B54" w:rsidRDefault="003B0107">
      <w:pPr>
        <w:tabs>
          <w:tab w:val="left" w:pos="1560"/>
        </w:tabs>
        <w:adjustRightInd w:val="0"/>
        <w:snapToGrid w:val="0"/>
        <w:spacing w:afterLines="100" w:after="312" w:line="276" w:lineRule="auto"/>
        <w:jc w:val="center"/>
        <w:rPr>
          <w:rFonts w:ascii="Times New Roman" w:hAnsi="Times New Roman"/>
          <w:b/>
          <w:bCs/>
          <w:sz w:val="22"/>
        </w:rPr>
      </w:pPr>
      <w:r>
        <w:rPr>
          <w:rFonts w:ascii="Times New Roman" w:hAnsi="Times New Roman"/>
          <w:b/>
          <w:bCs/>
          <w:sz w:val="22"/>
        </w:rPr>
        <w:t>Chapter VIII</w:t>
      </w:r>
      <w:r>
        <w:rPr>
          <w:rFonts w:ascii="Times New Roman" w:hAnsi="Times New Roman"/>
          <w:b/>
          <w:bCs/>
          <w:sz w:val="22"/>
        </w:rPr>
        <w:tab/>
        <w:t>Ancillary Provisions</w:t>
      </w:r>
    </w:p>
    <w:p w:rsidR="00564B54" w:rsidRDefault="003B0107" w:rsidP="00BC5A8B">
      <w:pPr>
        <w:tabs>
          <w:tab w:val="left" w:pos="1276"/>
        </w:tabs>
        <w:adjustRightInd w:val="0"/>
        <w:snapToGrid w:val="0"/>
        <w:spacing w:afterLines="100" w:after="312" w:line="276" w:lineRule="auto"/>
        <w:rPr>
          <w:rFonts w:ascii="Times New Roman" w:hAnsi="Times New Roman"/>
          <w:sz w:val="22"/>
        </w:rPr>
      </w:pPr>
      <w:r>
        <w:rPr>
          <w:rFonts w:ascii="Times New Roman" w:hAnsi="Times New Roman"/>
          <w:b/>
          <w:bCs/>
          <w:sz w:val="22"/>
        </w:rPr>
        <w:t>Article 23</w:t>
      </w:r>
      <w:r>
        <w:rPr>
          <w:rFonts w:ascii="Times New Roman" w:hAnsi="Times New Roman"/>
          <w:sz w:val="22"/>
        </w:rPr>
        <w:tab/>
        <w:t xml:space="preserve">These </w:t>
      </w:r>
      <w:r>
        <w:rPr>
          <w:rFonts w:ascii="Times New Roman" w:hAnsi="Times New Roman"/>
          <w:i/>
          <w:iCs/>
          <w:sz w:val="22"/>
        </w:rPr>
        <w:t>Guidelines</w:t>
      </w:r>
      <w:r>
        <w:rPr>
          <w:rFonts w:ascii="Times New Roman" w:hAnsi="Times New Roman"/>
          <w:sz w:val="22"/>
        </w:rPr>
        <w:t xml:space="preserve"> shall be interpreted by the Exchange and take effect on </w:t>
      </w:r>
      <w:r w:rsidR="00197DB1">
        <w:rPr>
          <w:rFonts w:ascii="Times New Roman" w:hAnsi="Times New Roman"/>
          <w:sz w:val="22"/>
        </w:rPr>
        <w:t>March</w:t>
      </w:r>
      <w:r w:rsidR="00197DB1">
        <w:rPr>
          <w:rFonts w:ascii="Times New Roman" w:hAnsi="Times New Roman" w:hint="eastAsia"/>
          <w:sz w:val="22"/>
        </w:rPr>
        <w:t xml:space="preserve"> </w:t>
      </w:r>
      <w:r w:rsidR="00197DB1">
        <w:rPr>
          <w:rFonts w:ascii="Times New Roman" w:hAnsi="Times New Roman"/>
          <w:sz w:val="22"/>
        </w:rPr>
        <w:t>20</w:t>
      </w:r>
      <w:bookmarkStart w:id="7" w:name="_GoBack"/>
      <w:bookmarkEnd w:id="7"/>
      <w:r>
        <w:rPr>
          <w:rFonts w:ascii="Times New Roman" w:hAnsi="Times New Roman" w:hint="eastAsia"/>
          <w:sz w:val="22"/>
        </w:rPr>
        <w:t>,</w:t>
      </w:r>
      <w:r>
        <w:rPr>
          <w:rFonts w:ascii="Times New Roman" w:hAnsi="Times New Roman"/>
          <w:sz w:val="22"/>
        </w:rPr>
        <w:t xml:space="preserve"> 2026</w:t>
      </w:r>
    </w:p>
    <w:sectPr w:rsidR="00564B54">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180" w:rsidRDefault="00373180">
      <w:r>
        <w:separator/>
      </w:r>
    </w:p>
  </w:endnote>
  <w:endnote w:type="continuationSeparator" w:id="0">
    <w:p w:rsidR="00373180" w:rsidRDefault="0037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ongti SC">
    <w:altName w:val="华文中宋"/>
    <w:charset w:val="86"/>
    <w:family w:val="auto"/>
    <w:pitch w:val="default"/>
    <w:sig w:usb0="00000000" w:usb1="00000000" w:usb2="00000000" w:usb3="00000000" w:csb0="0016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B54" w:rsidRDefault="003B0107">
    <w:pPr>
      <w:pStyle w:val="a7"/>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PAGE   \* MERGEFORMAT</w:instrText>
    </w:r>
    <w:r>
      <w:rPr>
        <w:rFonts w:ascii="Times New Roman" w:hAnsi="Times New Roman"/>
        <w:sz w:val="20"/>
        <w:szCs w:val="20"/>
      </w:rPr>
      <w:fldChar w:fldCharType="separate"/>
    </w:r>
    <w:r w:rsidR="00197DB1">
      <w:rPr>
        <w:rFonts w:ascii="Times New Roman" w:hAnsi="Times New Roman"/>
        <w:noProof/>
        <w:sz w:val="20"/>
        <w:szCs w:val="20"/>
      </w:rPr>
      <w:t>4</w:t>
    </w:r>
    <w:r>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180" w:rsidRDefault="00373180">
      <w:r>
        <w:separator/>
      </w:r>
    </w:p>
  </w:footnote>
  <w:footnote w:type="continuationSeparator" w:id="0">
    <w:p w:rsidR="00373180" w:rsidRDefault="00373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2F7"/>
    <w:rsid w:val="9BF3AEBF"/>
    <w:rsid w:val="DFBF5930"/>
    <w:rsid w:val="00001B5E"/>
    <w:rsid w:val="00005AC5"/>
    <w:rsid w:val="000157C2"/>
    <w:rsid w:val="00025215"/>
    <w:rsid w:val="00035387"/>
    <w:rsid w:val="00035DBC"/>
    <w:rsid w:val="00037CE2"/>
    <w:rsid w:val="00047BDE"/>
    <w:rsid w:val="00051765"/>
    <w:rsid w:val="00056D8B"/>
    <w:rsid w:val="00064666"/>
    <w:rsid w:val="00090A64"/>
    <w:rsid w:val="000936C2"/>
    <w:rsid w:val="000B4808"/>
    <w:rsid w:val="000B72BD"/>
    <w:rsid w:val="000B7A40"/>
    <w:rsid w:val="000C0252"/>
    <w:rsid w:val="000C60D8"/>
    <w:rsid w:val="000D0BFD"/>
    <w:rsid w:val="000E05DF"/>
    <w:rsid w:val="000E07F3"/>
    <w:rsid w:val="000F768E"/>
    <w:rsid w:val="00101EE4"/>
    <w:rsid w:val="00103001"/>
    <w:rsid w:val="001043AC"/>
    <w:rsid w:val="001161E4"/>
    <w:rsid w:val="0013695D"/>
    <w:rsid w:val="00142131"/>
    <w:rsid w:val="00154078"/>
    <w:rsid w:val="001623F7"/>
    <w:rsid w:val="00165AC8"/>
    <w:rsid w:val="0017271A"/>
    <w:rsid w:val="00172F7A"/>
    <w:rsid w:val="001732BA"/>
    <w:rsid w:val="0018513A"/>
    <w:rsid w:val="00197DB1"/>
    <w:rsid w:val="001A1C31"/>
    <w:rsid w:val="001A2145"/>
    <w:rsid w:val="001A5DA4"/>
    <w:rsid w:val="001A62EB"/>
    <w:rsid w:val="001B683D"/>
    <w:rsid w:val="001D577B"/>
    <w:rsid w:val="001D7E3E"/>
    <w:rsid w:val="001E3591"/>
    <w:rsid w:val="001F09A0"/>
    <w:rsid w:val="001F1D37"/>
    <w:rsid w:val="001F2420"/>
    <w:rsid w:val="002016B6"/>
    <w:rsid w:val="002100DF"/>
    <w:rsid w:val="00212846"/>
    <w:rsid w:val="00225B4C"/>
    <w:rsid w:val="00235730"/>
    <w:rsid w:val="00244B6E"/>
    <w:rsid w:val="00244EE9"/>
    <w:rsid w:val="00247441"/>
    <w:rsid w:val="00250026"/>
    <w:rsid w:val="00261ED0"/>
    <w:rsid w:val="00273B1A"/>
    <w:rsid w:val="00285431"/>
    <w:rsid w:val="0029708C"/>
    <w:rsid w:val="00297456"/>
    <w:rsid w:val="002A44DC"/>
    <w:rsid w:val="002A7ADD"/>
    <w:rsid w:val="002A7F68"/>
    <w:rsid w:val="002B6A8F"/>
    <w:rsid w:val="002C47A2"/>
    <w:rsid w:val="002D4FCB"/>
    <w:rsid w:val="002D7423"/>
    <w:rsid w:val="002E4996"/>
    <w:rsid w:val="002F54AE"/>
    <w:rsid w:val="002F682C"/>
    <w:rsid w:val="00320D4B"/>
    <w:rsid w:val="00331EED"/>
    <w:rsid w:val="003326C8"/>
    <w:rsid w:val="003351AE"/>
    <w:rsid w:val="00336F15"/>
    <w:rsid w:val="003375A4"/>
    <w:rsid w:val="00341B77"/>
    <w:rsid w:val="00347652"/>
    <w:rsid w:val="00350AE6"/>
    <w:rsid w:val="00362118"/>
    <w:rsid w:val="00370BB3"/>
    <w:rsid w:val="00373180"/>
    <w:rsid w:val="003774AA"/>
    <w:rsid w:val="00382570"/>
    <w:rsid w:val="00386C64"/>
    <w:rsid w:val="00393EEA"/>
    <w:rsid w:val="003965B6"/>
    <w:rsid w:val="003A664A"/>
    <w:rsid w:val="003B0107"/>
    <w:rsid w:val="003D5388"/>
    <w:rsid w:val="003D66AE"/>
    <w:rsid w:val="003F617A"/>
    <w:rsid w:val="003F6302"/>
    <w:rsid w:val="00414FD5"/>
    <w:rsid w:val="00420EAA"/>
    <w:rsid w:val="00424A0A"/>
    <w:rsid w:val="004273F7"/>
    <w:rsid w:val="004468BA"/>
    <w:rsid w:val="00450588"/>
    <w:rsid w:val="00463212"/>
    <w:rsid w:val="0048360B"/>
    <w:rsid w:val="004859F1"/>
    <w:rsid w:val="0049532A"/>
    <w:rsid w:val="004A41E1"/>
    <w:rsid w:val="004A4371"/>
    <w:rsid w:val="004A5A51"/>
    <w:rsid w:val="004B42B0"/>
    <w:rsid w:val="004B549F"/>
    <w:rsid w:val="004B6C8D"/>
    <w:rsid w:val="004B7565"/>
    <w:rsid w:val="004C48EC"/>
    <w:rsid w:val="004D1FCC"/>
    <w:rsid w:val="004F3C55"/>
    <w:rsid w:val="00516C4C"/>
    <w:rsid w:val="005233C3"/>
    <w:rsid w:val="0054036F"/>
    <w:rsid w:val="00552FC6"/>
    <w:rsid w:val="00564B54"/>
    <w:rsid w:val="0057038C"/>
    <w:rsid w:val="00571054"/>
    <w:rsid w:val="005732B3"/>
    <w:rsid w:val="00580DC5"/>
    <w:rsid w:val="00590768"/>
    <w:rsid w:val="005A114A"/>
    <w:rsid w:val="005B7184"/>
    <w:rsid w:val="005C44C5"/>
    <w:rsid w:val="005C7177"/>
    <w:rsid w:val="005D0ABC"/>
    <w:rsid w:val="005F35DD"/>
    <w:rsid w:val="005F7E79"/>
    <w:rsid w:val="00600DA4"/>
    <w:rsid w:val="00602B80"/>
    <w:rsid w:val="006034DD"/>
    <w:rsid w:val="00614BAC"/>
    <w:rsid w:val="00614CD2"/>
    <w:rsid w:val="006308B4"/>
    <w:rsid w:val="00635BD7"/>
    <w:rsid w:val="00655106"/>
    <w:rsid w:val="00662ECB"/>
    <w:rsid w:val="00664CA4"/>
    <w:rsid w:val="0066677E"/>
    <w:rsid w:val="006671F2"/>
    <w:rsid w:val="00681DDD"/>
    <w:rsid w:val="00683DE0"/>
    <w:rsid w:val="00694236"/>
    <w:rsid w:val="006A58FA"/>
    <w:rsid w:val="006B204F"/>
    <w:rsid w:val="006B74E2"/>
    <w:rsid w:val="006D188E"/>
    <w:rsid w:val="006E75E0"/>
    <w:rsid w:val="006F3B17"/>
    <w:rsid w:val="00701C35"/>
    <w:rsid w:val="00703A3E"/>
    <w:rsid w:val="00710920"/>
    <w:rsid w:val="007114EA"/>
    <w:rsid w:val="00714379"/>
    <w:rsid w:val="00725C17"/>
    <w:rsid w:val="007264C8"/>
    <w:rsid w:val="00744566"/>
    <w:rsid w:val="00746CC2"/>
    <w:rsid w:val="00754D13"/>
    <w:rsid w:val="00757EE4"/>
    <w:rsid w:val="00762888"/>
    <w:rsid w:val="00767E72"/>
    <w:rsid w:val="00770E60"/>
    <w:rsid w:val="007740B0"/>
    <w:rsid w:val="00783880"/>
    <w:rsid w:val="00786208"/>
    <w:rsid w:val="007A05FE"/>
    <w:rsid w:val="007A3B8A"/>
    <w:rsid w:val="007B37E3"/>
    <w:rsid w:val="007B6534"/>
    <w:rsid w:val="007C75E3"/>
    <w:rsid w:val="007D5115"/>
    <w:rsid w:val="007E25B3"/>
    <w:rsid w:val="007E7CA4"/>
    <w:rsid w:val="007F066A"/>
    <w:rsid w:val="00816354"/>
    <w:rsid w:val="00822503"/>
    <w:rsid w:val="00822828"/>
    <w:rsid w:val="008301F6"/>
    <w:rsid w:val="008531E8"/>
    <w:rsid w:val="008827B8"/>
    <w:rsid w:val="008836BD"/>
    <w:rsid w:val="00884F82"/>
    <w:rsid w:val="008A47AE"/>
    <w:rsid w:val="008A6D2D"/>
    <w:rsid w:val="008B2BCD"/>
    <w:rsid w:val="008B58F7"/>
    <w:rsid w:val="008D4CBA"/>
    <w:rsid w:val="008E2022"/>
    <w:rsid w:val="008E474C"/>
    <w:rsid w:val="008E48C1"/>
    <w:rsid w:val="008E5A6A"/>
    <w:rsid w:val="008F5F16"/>
    <w:rsid w:val="009010DC"/>
    <w:rsid w:val="009027CC"/>
    <w:rsid w:val="00911318"/>
    <w:rsid w:val="00911859"/>
    <w:rsid w:val="009165B4"/>
    <w:rsid w:val="00933542"/>
    <w:rsid w:val="00937F12"/>
    <w:rsid w:val="0094163E"/>
    <w:rsid w:val="00942198"/>
    <w:rsid w:val="0094733F"/>
    <w:rsid w:val="009555F2"/>
    <w:rsid w:val="009639E6"/>
    <w:rsid w:val="00967DF2"/>
    <w:rsid w:val="009904BD"/>
    <w:rsid w:val="009942D3"/>
    <w:rsid w:val="009A459E"/>
    <w:rsid w:val="009A7FF4"/>
    <w:rsid w:val="009F321E"/>
    <w:rsid w:val="00A07E03"/>
    <w:rsid w:val="00A3040A"/>
    <w:rsid w:val="00A40CA1"/>
    <w:rsid w:val="00A45CB6"/>
    <w:rsid w:val="00A4614F"/>
    <w:rsid w:val="00A564A1"/>
    <w:rsid w:val="00A67611"/>
    <w:rsid w:val="00A76E16"/>
    <w:rsid w:val="00A8206D"/>
    <w:rsid w:val="00A907B2"/>
    <w:rsid w:val="00A968EF"/>
    <w:rsid w:val="00AA2104"/>
    <w:rsid w:val="00AB1822"/>
    <w:rsid w:val="00AC0BE4"/>
    <w:rsid w:val="00AC37D0"/>
    <w:rsid w:val="00AD43DC"/>
    <w:rsid w:val="00AF519B"/>
    <w:rsid w:val="00AF7E7A"/>
    <w:rsid w:val="00B04DEC"/>
    <w:rsid w:val="00B0537E"/>
    <w:rsid w:val="00B178C3"/>
    <w:rsid w:val="00B31523"/>
    <w:rsid w:val="00B31FDC"/>
    <w:rsid w:val="00B34253"/>
    <w:rsid w:val="00B61594"/>
    <w:rsid w:val="00B6673D"/>
    <w:rsid w:val="00B7773C"/>
    <w:rsid w:val="00B92192"/>
    <w:rsid w:val="00B967FA"/>
    <w:rsid w:val="00BA7A4B"/>
    <w:rsid w:val="00BB7C93"/>
    <w:rsid w:val="00BC5A8B"/>
    <w:rsid w:val="00BC74DA"/>
    <w:rsid w:val="00BD05C4"/>
    <w:rsid w:val="00C05C4F"/>
    <w:rsid w:val="00C14946"/>
    <w:rsid w:val="00C263F9"/>
    <w:rsid w:val="00C27461"/>
    <w:rsid w:val="00C30212"/>
    <w:rsid w:val="00C4132A"/>
    <w:rsid w:val="00C50E03"/>
    <w:rsid w:val="00C76945"/>
    <w:rsid w:val="00C819D9"/>
    <w:rsid w:val="00C87D0C"/>
    <w:rsid w:val="00C93C88"/>
    <w:rsid w:val="00CA1494"/>
    <w:rsid w:val="00CA16D7"/>
    <w:rsid w:val="00CA718F"/>
    <w:rsid w:val="00CB2A9F"/>
    <w:rsid w:val="00CB45FA"/>
    <w:rsid w:val="00CD2FD3"/>
    <w:rsid w:val="00D12787"/>
    <w:rsid w:val="00D12A7A"/>
    <w:rsid w:val="00D13DC0"/>
    <w:rsid w:val="00D16D61"/>
    <w:rsid w:val="00D32FA1"/>
    <w:rsid w:val="00D341FB"/>
    <w:rsid w:val="00D411E3"/>
    <w:rsid w:val="00D46F62"/>
    <w:rsid w:val="00D72B7F"/>
    <w:rsid w:val="00D85921"/>
    <w:rsid w:val="00D91F63"/>
    <w:rsid w:val="00D95DD6"/>
    <w:rsid w:val="00D96DA5"/>
    <w:rsid w:val="00D97285"/>
    <w:rsid w:val="00DA0377"/>
    <w:rsid w:val="00DA05BF"/>
    <w:rsid w:val="00DA6D2B"/>
    <w:rsid w:val="00DB0635"/>
    <w:rsid w:val="00DB2207"/>
    <w:rsid w:val="00DB6FAF"/>
    <w:rsid w:val="00DC7369"/>
    <w:rsid w:val="00DF07DC"/>
    <w:rsid w:val="00DF357E"/>
    <w:rsid w:val="00DF3A98"/>
    <w:rsid w:val="00DF6ACA"/>
    <w:rsid w:val="00E07C98"/>
    <w:rsid w:val="00E07EAB"/>
    <w:rsid w:val="00E13DFA"/>
    <w:rsid w:val="00E20F83"/>
    <w:rsid w:val="00E21692"/>
    <w:rsid w:val="00E2208C"/>
    <w:rsid w:val="00E22742"/>
    <w:rsid w:val="00E26E22"/>
    <w:rsid w:val="00E51DF7"/>
    <w:rsid w:val="00E57EB1"/>
    <w:rsid w:val="00E61E7B"/>
    <w:rsid w:val="00E63D5C"/>
    <w:rsid w:val="00E90F46"/>
    <w:rsid w:val="00E91FF5"/>
    <w:rsid w:val="00E93A78"/>
    <w:rsid w:val="00E94EAE"/>
    <w:rsid w:val="00EB355B"/>
    <w:rsid w:val="00EC02C7"/>
    <w:rsid w:val="00EC5F3F"/>
    <w:rsid w:val="00EC7C73"/>
    <w:rsid w:val="00ED2AEC"/>
    <w:rsid w:val="00ED6E50"/>
    <w:rsid w:val="00ED7FB9"/>
    <w:rsid w:val="00F018EB"/>
    <w:rsid w:val="00F10AA4"/>
    <w:rsid w:val="00F35713"/>
    <w:rsid w:val="00F41EB4"/>
    <w:rsid w:val="00F574C4"/>
    <w:rsid w:val="00F8184B"/>
    <w:rsid w:val="00F822F7"/>
    <w:rsid w:val="00F8261C"/>
    <w:rsid w:val="00FB3F10"/>
    <w:rsid w:val="00FC3389"/>
    <w:rsid w:val="00FE0258"/>
    <w:rsid w:val="00FE2FCD"/>
    <w:rsid w:val="00FE2FFB"/>
    <w:rsid w:val="00FF46A5"/>
    <w:rsid w:val="00FF5576"/>
    <w:rsid w:val="00FF5FCE"/>
    <w:rsid w:val="00FF6059"/>
    <w:rsid w:val="5CDE3B30"/>
    <w:rsid w:val="66EFD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9D186"/>
  <w15:docId w15:val="{84F85E33-65E5-41BB-9686-B50FFC85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kern w:val="0"/>
      <w:sz w:val="18"/>
      <w:szCs w:val="18"/>
      <w:lang w:val="zh-CN"/>
    </w:rPr>
  </w:style>
  <w:style w:type="paragraph" w:styleId="a7">
    <w:name w:val="footer"/>
    <w:basedOn w:val="a"/>
    <w:link w:val="a8"/>
    <w:uiPriority w:val="99"/>
    <w:unhideWhenUsed/>
    <w:qFormat/>
    <w:pPr>
      <w:tabs>
        <w:tab w:val="center" w:pos="4153"/>
        <w:tab w:val="right" w:pos="8306"/>
      </w:tabs>
      <w:snapToGrid w:val="0"/>
      <w:jc w:val="left"/>
    </w:pPr>
    <w:rPr>
      <w:kern w:val="0"/>
      <w:sz w:val="18"/>
      <w:szCs w:val="18"/>
      <w:lang w:val="zh-CN"/>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kern w:val="0"/>
      <w:sz w:val="18"/>
      <w:szCs w:val="18"/>
      <w:lang w:val="zh-CN"/>
    </w:rPr>
  </w:style>
  <w:style w:type="paragraph" w:styleId="ab">
    <w:name w:val="annotation subject"/>
    <w:basedOn w:val="a3"/>
    <w:next w:val="a3"/>
    <w:link w:val="ac"/>
    <w:uiPriority w:val="99"/>
    <w:unhideWhenUsed/>
    <w:qFormat/>
    <w:rPr>
      <w:b/>
      <w:bCs/>
      <w:kern w:val="0"/>
      <w:sz w:val="20"/>
      <w:szCs w:val="20"/>
      <w:lang w:val="zh-CN"/>
    </w:rPr>
  </w:style>
  <w:style w:type="character" w:styleId="ad">
    <w:name w:val="annotation reference"/>
    <w:uiPriority w:val="99"/>
    <w:unhideWhenUsed/>
    <w:qFormat/>
    <w:rPr>
      <w:sz w:val="21"/>
      <w:szCs w:val="21"/>
    </w:rPr>
  </w:style>
  <w:style w:type="character" w:customStyle="1" w:styleId="a4">
    <w:name w:val="批注文字 字符"/>
    <w:link w:val="a3"/>
    <w:uiPriority w:val="99"/>
    <w:qFormat/>
  </w:style>
  <w:style w:type="character" w:customStyle="1" w:styleId="a6">
    <w:name w:val="批注框文本 字符"/>
    <w:link w:val="a5"/>
    <w:uiPriority w:val="99"/>
    <w:semiHidden/>
    <w:qFormat/>
    <w:rPr>
      <w:sz w:val="18"/>
      <w:szCs w:val="18"/>
    </w:rPr>
  </w:style>
  <w:style w:type="character" w:customStyle="1" w:styleId="a8">
    <w:name w:val="页脚 字符"/>
    <w:link w:val="a7"/>
    <w:uiPriority w:val="99"/>
    <w:qFormat/>
    <w:rPr>
      <w:sz w:val="18"/>
      <w:szCs w:val="18"/>
    </w:rPr>
  </w:style>
  <w:style w:type="character" w:customStyle="1" w:styleId="aa">
    <w:name w:val="页眉 字符"/>
    <w:link w:val="a9"/>
    <w:uiPriority w:val="99"/>
    <w:qFormat/>
    <w:rPr>
      <w:sz w:val="18"/>
      <w:szCs w:val="18"/>
    </w:rPr>
  </w:style>
  <w:style w:type="character" w:customStyle="1" w:styleId="ac">
    <w:name w:val="批注主题 字符"/>
    <w:link w:val="ab"/>
    <w:uiPriority w:val="99"/>
    <w:semiHidden/>
    <w:qFormat/>
    <w:rPr>
      <w:b/>
      <w:bCs/>
    </w:rPr>
  </w:style>
  <w:style w:type="paragraph" w:customStyle="1" w:styleId="1">
    <w:name w:val="修订1"/>
    <w:uiPriority w:val="99"/>
    <w:semiHidden/>
    <w:qFormat/>
    <w:rPr>
      <w:kern w:val="2"/>
      <w:sz w:val="21"/>
      <w:szCs w:val="22"/>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1491</Words>
  <Characters>8503</Characters>
  <Application>Microsoft Office Word</Application>
  <DocSecurity>0</DocSecurity>
  <Lines>70</Lines>
  <Paragraphs>19</Paragraphs>
  <ScaleCrop>false</ScaleCrop>
  <Company>SHFE</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Ubica</dc:creator>
  <cp:lastModifiedBy>曾致进</cp:lastModifiedBy>
  <cp:revision>6</cp:revision>
  <cp:lastPrinted>2026-03-18T09:37:00Z</cp:lastPrinted>
  <dcterms:created xsi:type="dcterms:W3CDTF">2026-01-27T11:21:00Z</dcterms:created>
  <dcterms:modified xsi:type="dcterms:W3CDTF">2026-03-20T06:17:00Z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280cabf7545adaed5e8e1c138b37ab0e7ec0876252492ffe3402a821e36f6ab8</vt:lpwstr>
  </property>
  <property fmtid="{D5CDD505-2E9C-101B-9397-08002B2CF9AE}" pid="3" name="KSOProductBuildVer">
    <vt:lpwstr>2052-11.8.2.12219</vt:lpwstr>
  </property>
  <property fmtid="{D5CDD505-2E9C-101B-9397-08002B2CF9AE}" pid="4" name="ICV">
    <vt:lpwstr>5EF0BBC539834FB3AE047E4DBC1159E3</vt:lpwstr>
  </property>
</Properties>
</file>