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2535C2" w14:textId="77777777" w:rsidR="00C31E0E" w:rsidRDefault="00E21B34">
      <w:pPr>
        <w:snapToGrid w:val="0"/>
        <w:spacing w:afterLines="100" w:after="240"/>
        <w:jc w:val="center"/>
        <w:rPr>
          <w:b/>
          <w:bCs/>
        </w:rPr>
      </w:pPr>
      <w:r>
        <w:rPr>
          <w:b/>
          <w:bCs/>
        </w:rPr>
        <w:t>Shanghai Futures Exchange</w:t>
      </w:r>
    </w:p>
    <w:p w14:paraId="408C31E3" w14:textId="2F88BA05" w:rsidR="00C31E0E" w:rsidRDefault="00E21B34">
      <w:pPr>
        <w:snapToGrid w:val="0"/>
        <w:spacing w:afterLines="100" w:after="240"/>
        <w:jc w:val="center"/>
        <w:rPr>
          <w:b/>
          <w:bCs/>
          <w:sz w:val="28"/>
          <w:szCs w:val="28"/>
        </w:rPr>
      </w:pPr>
      <w:r>
        <w:rPr>
          <w:b/>
          <w:bCs/>
          <w:sz w:val="28"/>
          <w:szCs w:val="28"/>
        </w:rPr>
        <w:t>Guideline</w:t>
      </w:r>
      <w:r>
        <w:rPr>
          <w:b/>
          <w:bCs/>
          <w:sz w:val="28"/>
          <w:szCs w:val="28"/>
        </w:rPr>
        <w:t xml:space="preserve"> for Transfer of Positions in the Delivery Month</w:t>
      </w:r>
    </w:p>
    <w:p w14:paraId="5D62A635" w14:textId="77777777" w:rsidR="00C31E0E" w:rsidRDefault="00C31E0E">
      <w:pPr>
        <w:snapToGrid w:val="0"/>
        <w:spacing w:afterLines="100" w:after="240"/>
      </w:pPr>
    </w:p>
    <w:p w14:paraId="2C8F29CE" w14:textId="2B551A6C" w:rsidR="00C31E0E" w:rsidRDefault="00E21B34">
      <w:pPr>
        <w:snapToGrid w:val="0"/>
        <w:spacing w:afterLines="100" w:after="240"/>
      </w:pPr>
      <w:r>
        <w:t xml:space="preserve">This </w:t>
      </w:r>
      <w:r>
        <w:rPr>
          <w:i/>
          <w:iCs/>
        </w:rPr>
        <w:t>Guideline</w:t>
      </w:r>
      <w:r>
        <w:t xml:space="preserve"> is made in accordance with the </w:t>
      </w:r>
      <w:r>
        <w:rPr>
          <w:i/>
          <w:iCs/>
        </w:rPr>
        <w:t>Clearing Rules of the Shanghai Futures Exchange</w:t>
      </w:r>
      <w:r>
        <w:t xml:space="preserve">, the </w:t>
      </w:r>
      <w:r>
        <w:rPr>
          <w:i/>
          <w:iCs/>
        </w:rPr>
        <w:t>Nickel Futures Rules of the Shanghai Futures Exchange</w:t>
      </w:r>
      <w:r>
        <w:t xml:space="preserve">, and other relevant rules to regulate </w:t>
      </w:r>
      <w:r>
        <w:rPr>
          <w:rFonts w:hint="eastAsia"/>
        </w:rPr>
        <w:t xml:space="preserve">the nickel futures </w:t>
      </w:r>
      <w:r>
        <w:t>position transfers by overseas traders in the delivery month and address their delivery needs.</w:t>
      </w:r>
    </w:p>
    <w:p w14:paraId="0B43828E" w14:textId="77777777" w:rsidR="00C31E0E" w:rsidRDefault="00E21B34">
      <w:pPr>
        <w:snapToGrid w:val="0"/>
        <w:spacing w:afterLines="100" w:after="240"/>
        <w:rPr>
          <w:b/>
          <w:bCs/>
        </w:rPr>
      </w:pPr>
      <w:r>
        <w:rPr>
          <w:b/>
          <w:bCs/>
        </w:rPr>
        <w:t>I.</w:t>
      </w:r>
      <w:r>
        <w:rPr>
          <w:b/>
          <w:bCs/>
        </w:rPr>
        <w:tab/>
        <w:t>Application Criteria</w:t>
      </w:r>
    </w:p>
    <w:p w14:paraId="37F43656" w14:textId="77777777" w:rsidR="00C31E0E" w:rsidRDefault="00E21B34">
      <w:pPr>
        <w:snapToGrid w:val="0"/>
        <w:spacing w:afterLines="100" w:after="240"/>
      </w:pPr>
      <w:r>
        <w:t>The transferor and the transferee should meet the following conditions:</w:t>
      </w:r>
    </w:p>
    <w:p w14:paraId="2ED5564A" w14:textId="77777777" w:rsidR="00C31E0E" w:rsidRDefault="00E21B34">
      <w:pPr>
        <w:snapToGrid w:val="0"/>
        <w:spacing w:afterLines="100" w:after="240"/>
        <w:ind w:left="720" w:hanging="540"/>
      </w:pPr>
      <w:r>
        <w:t>(1)</w:t>
      </w:r>
      <w:r>
        <w:tab/>
        <w:t>The</w:t>
      </w:r>
      <w:r>
        <w:t xml:space="preserve"> transferor is an overseas institutional Client or an OSNBP;</w:t>
      </w:r>
    </w:p>
    <w:p w14:paraId="495C0E94" w14:textId="7AE37B72" w:rsidR="00C31E0E" w:rsidRDefault="00E21B34">
      <w:pPr>
        <w:snapToGrid w:val="0"/>
        <w:spacing w:afterLines="100" w:after="240"/>
        <w:ind w:left="720" w:hanging="540"/>
      </w:pPr>
      <w:r>
        <w:t>(2)</w:t>
      </w:r>
      <w:r>
        <w:tab/>
        <w:t xml:space="preserve">The transferee is a </w:t>
      </w:r>
      <w:r>
        <w:rPr>
          <w:rFonts w:hint="eastAsia"/>
        </w:rPr>
        <w:t xml:space="preserve">domestic </w:t>
      </w:r>
      <w:r>
        <w:t>general institutional Client or a Non-FF Member;</w:t>
      </w:r>
    </w:p>
    <w:p w14:paraId="6BA8185B" w14:textId="77777777" w:rsidR="00C31E0E" w:rsidRDefault="00E21B34">
      <w:pPr>
        <w:snapToGrid w:val="0"/>
        <w:spacing w:afterLines="100" w:after="240"/>
        <w:ind w:left="720" w:hanging="540"/>
      </w:pPr>
      <w:r>
        <w:t>(3)</w:t>
      </w:r>
      <w:r>
        <w:tab/>
        <w:t xml:space="preserve">The transferor and the transferee are </w:t>
      </w:r>
      <w:r>
        <w:rPr>
          <w:rFonts w:cs="Times New Roman"/>
        </w:rPr>
        <w:t xml:space="preserve">in the same group of accounts </w:t>
      </w:r>
      <w:r>
        <w:t>linked by an effective actual co</w:t>
      </w:r>
      <w:r>
        <w:t>ntrol relationship.</w:t>
      </w:r>
    </w:p>
    <w:p w14:paraId="2ABB5E09" w14:textId="77777777" w:rsidR="00C31E0E" w:rsidRDefault="00E21B34">
      <w:pPr>
        <w:snapToGrid w:val="0"/>
        <w:spacing w:afterLines="100" w:after="240"/>
        <w:rPr>
          <w:b/>
          <w:bCs/>
        </w:rPr>
      </w:pPr>
      <w:r>
        <w:rPr>
          <w:b/>
          <w:bCs/>
        </w:rPr>
        <w:t>II.</w:t>
      </w:r>
      <w:r>
        <w:rPr>
          <w:b/>
          <w:bCs/>
        </w:rPr>
        <w:tab/>
        <w:t>Application Date, Time, and Requirements</w:t>
      </w:r>
    </w:p>
    <w:p w14:paraId="71134639" w14:textId="77777777" w:rsidR="00C31E0E" w:rsidRDefault="00E21B34">
      <w:pPr>
        <w:snapToGrid w:val="0"/>
        <w:spacing w:afterLines="100" w:after="240"/>
        <w:rPr>
          <w:b/>
          <w:bCs/>
        </w:rPr>
      </w:pPr>
      <w:r>
        <w:rPr>
          <w:b/>
          <w:bCs/>
        </w:rPr>
        <w:t>(I)</w:t>
      </w:r>
      <w:r>
        <w:rPr>
          <w:b/>
          <w:bCs/>
        </w:rPr>
        <w:tab/>
        <w:t>Date</w:t>
      </w:r>
    </w:p>
    <w:p w14:paraId="0B79F970" w14:textId="77777777" w:rsidR="00C31E0E" w:rsidRDefault="00E21B34">
      <w:pPr>
        <w:snapToGrid w:val="0"/>
        <w:spacing w:afterLines="100" w:after="240"/>
        <w:ind w:left="720"/>
      </w:pPr>
      <w:r>
        <w:t>Application should be submitted from the first trading day in the contract’s delivery month up to and including the 4th trading day before the last trading day.</w:t>
      </w:r>
    </w:p>
    <w:p w14:paraId="6162F38F" w14:textId="77777777" w:rsidR="00C31E0E" w:rsidRDefault="00E21B34">
      <w:pPr>
        <w:snapToGrid w:val="0"/>
        <w:spacing w:afterLines="100" w:after="240"/>
        <w:ind w:left="720"/>
      </w:pPr>
      <w:r>
        <w:t xml:space="preserve">Position transfer is </w:t>
      </w:r>
      <w:r>
        <w:t>not available if the 4th trading day before the last trading day is earlier than the first trading day in the delivery month.</w:t>
      </w:r>
    </w:p>
    <w:p w14:paraId="2C26A5CB" w14:textId="77777777" w:rsidR="00C31E0E" w:rsidRDefault="00E21B34">
      <w:pPr>
        <w:snapToGrid w:val="0"/>
        <w:spacing w:afterLines="100" w:after="240"/>
        <w:rPr>
          <w:b/>
          <w:bCs/>
        </w:rPr>
      </w:pPr>
      <w:r>
        <w:rPr>
          <w:b/>
          <w:bCs/>
        </w:rPr>
        <w:t>(II)</w:t>
      </w:r>
      <w:r>
        <w:rPr>
          <w:b/>
          <w:bCs/>
        </w:rPr>
        <w:tab/>
        <w:t>Time</w:t>
      </w:r>
    </w:p>
    <w:p w14:paraId="61B3255A" w14:textId="77777777" w:rsidR="00C31E0E" w:rsidRDefault="00E21B34">
      <w:pPr>
        <w:snapToGrid w:val="0"/>
        <w:spacing w:afterLines="100" w:after="240"/>
        <w:ind w:left="720"/>
      </w:pPr>
      <w:r>
        <w:t>Application should be submitted before 2:50 p.m.</w:t>
      </w:r>
    </w:p>
    <w:p w14:paraId="30ACC7E9" w14:textId="77777777" w:rsidR="00C31E0E" w:rsidRDefault="00E21B34">
      <w:pPr>
        <w:snapToGrid w:val="0"/>
        <w:spacing w:afterLines="100" w:after="240"/>
        <w:rPr>
          <w:b/>
          <w:bCs/>
        </w:rPr>
      </w:pPr>
      <w:r>
        <w:rPr>
          <w:b/>
          <w:bCs/>
        </w:rPr>
        <w:t>(III)</w:t>
      </w:r>
      <w:r>
        <w:rPr>
          <w:b/>
          <w:bCs/>
        </w:rPr>
        <w:tab/>
        <w:t>Requirements</w:t>
      </w:r>
    </w:p>
    <w:p w14:paraId="6F7E03CB" w14:textId="77777777" w:rsidR="00C31E0E" w:rsidRDefault="00E21B34">
      <w:pPr>
        <w:snapToGrid w:val="0"/>
        <w:spacing w:afterLines="100" w:after="240"/>
        <w:ind w:left="720"/>
        <w:rPr>
          <w:rFonts w:cs="Times New Roman"/>
        </w:rPr>
      </w:pPr>
      <w:r>
        <w:rPr>
          <w:rFonts w:cs="Times New Roman"/>
        </w:rPr>
        <w:t>For overseas traders, transfer of positions in the d</w:t>
      </w:r>
      <w:r>
        <w:rPr>
          <w:rFonts w:cs="Times New Roman"/>
        </w:rPr>
        <w:t>elivery month is only available for the nickel futures contract. The size of positions to be transferred (in lots) should be a multiple of the delivery unit. Multiple applications may be submitted on a single day.</w:t>
      </w:r>
    </w:p>
    <w:p w14:paraId="50646DE5" w14:textId="77777777" w:rsidR="00C31E0E" w:rsidRDefault="00E21B34">
      <w:pPr>
        <w:snapToGrid w:val="0"/>
        <w:spacing w:afterLines="100" w:after="240"/>
        <w:rPr>
          <w:b/>
          <w:bCs/>
        </w:rPr>
      </w:pPr>
      <w:r>
        <w:rPr>
          <w:b/>
          <w:bCs/>
        </w:rPr>
        <w:t>III.</w:t>
      </w:r>
      <w:r>
        <w:rPr>
          <w:b/>
          <w:bCs/>
        </w:rPr>
        <w:tab/>
        <w:t>Submission and Withdrawal of Applicat</w:t>
      </w:r>
      <w:r>
        <w:rPr>
          <w:b/>
          <w:bCs/>
        </w:rPr>
        <w:t>ion</w:t>
      </w:r>
    </w:p>
    <w:p w14:paraId="37D8BA71" w14:textId="77777777" w:rsidR="00C31E0E" w:rsidRDefault="00E21B34">
      <w:pPr>
        <w:snapToGrid w:val="0"/>
        <w:spacing w:afterLines="100" w:after="240"/>
        <w:rPr>
          <w:b/>
          <w:bCs/>
        </w:rPr>
      </w:pPr>
      <w:r>
        <w:rPr>
          <w:b/>
          <w:bCs/>
        </w:rPr>
        <w:t>(I)</w:t>
      </w:r>
      <w:r>
        <w:rPr>
          <w:b/>
          <w:bCs/>
        </w:rPr>
        <w:tab/>
        <w:t>Submission</w:t>
      </w:r>
    </w:p>
    <w:p w14:paraId="10754923" w14:textId="77777777" w:rsidR="00C31E0E" w:rsidRDefault="00E21B34">
      <w:pPr>
        <w:snapToGrid w:val="0"/>
        <w:spacing w:afterLines="100" w:after="240"/>
        <w:ind w:left="720" w:hanging="540"/>
        <w:rPr>
          <w:b/>
          <w:bCs/>
        </w:rPr>
      </w:pPr>
      <w:r>
        <w:rPr>
          <w:b/>
          <w:bCs/>
        </w:rPr>
        <w:t>(1)</w:t>
      </w:r>
      <w:r>
        <w:rPr>
          <w:b/>
          <w:bCs/>
        </w:rPr>
        <w:tab/>
        <w:t>Verify the effectiveness of actual control relationship</w:t>
      </w:r>
    </w:p>
    <w:p w14:paraId="7E836D26" w14:textId="77777777" w:rsidR="00C31E0E" w:rsidRDefault="00E21B34">
      <w:pPr>
        <w:snapToGrid w:val="0"/>
        <w:spacing w:afterLines="100" w:after="240"/>
        <w:ind w:left="720"/>
        <w:rPr>
          <w:rFonts w:cs="Times New Roman"/>
        </w:rPr>
      </w:pPr>
      <w:r>
        <w:t xml:space="preserve">The transferor and the transferee should verify that the actual control relationship between them is effective at least ten trading days before the position transfer. Their </w:t>
      </w:r>
      <w:r>
        <w:lastRenderedPageBreak/>
        <w:t>memb</w:t>
      </w:r>
      <w:r>
        <w:t xml:space="preserve">ers </w:t>
      </w:r>
      <w:r>
        <w:rPr>
          <w:rFonts w:cs="Times New Roman"/>
        </w:rPr>
        <w:t>may check the status of the actual control relationship in the Member Service System at Services → Actual Control Accounts → Filing Status</w:t>
      </w:r>
      <w:r>
        <w:rPr>
          <w:rFonts w:cs="Times New Roman"/>
        </w:rPr>
        <w:t xml:space="preserve">. The actual control relationship is in effect if the transferor and the transferee are in the same group of </w:t>
      </w:r>
      <w:r>
        <w:rPr>
          <w:rFonts w:cs="Times New Roman"/>
        </w:rPr>
        <w:t>accounts linked by actual control relationship.</w:t>
      </w:r>
    </w:p>
    <w:p w14:paraId="534DDC63" w14:textId="77777777" w:rsidR="00C31E0E" w:rsidRDefault="00E21B34">
      <w:pPr>
        <w:snapToGrid w:val="0"/>
        <w:spacing w:afterLines="100" w:after="240"/>
        <w:ind w:left="720"/>
        <w:rPr>
          <w:rFonts w:cs="Times New Roman"/>
        </w:rPr>
      </w:pPr>
      <w:r>
        <w:rPr>
          <w:rFonts w:cs="Times New Roman"/>
        </w:rPr>
        <w:t>Processes relating to accounts with actual control relationship can be found on SHFE’s website at Services → Supervision → Administration of Accounts Involving Actual Control Relationship.</w:t>
      </w:r>
    </w:p>
    <w:p w14:paraId="6D0C9941" w14:textId="77777777" w:rsidR="00C31E0E" w:rsidRDefault="00E21B34">
      <w:pPr>
        <w:snapToGrid w:val="0"/>
        <w:spacing w:afterLines="100" w:after="240"/>
        <w:ind w:left="720" w:hanging="540"/>
        <w:rPr>
          <w:b/>
          <w:bCs/>
        </w:rPr>
      </w:pPr>
      <w:r>
        <w:rPr>
          <w:b/>
          <w:bCs/>
        </w:rPr>
        <w:t>(2)</w:t>
      </w:r>
      <w:r>
        <w:rPr>
          <w:b/>
          <w:bCs/>
        </w:rPr>
        <w:tab/>
        <w:t>Transferor subm</w:t>
      </w:r>
      <w:r>
        <w:rPr>
          <w:b/>
          <w:bCs/>
        </w:rPr>
        <w:t>its application</w:t>
      </w:r>
    </w:p>
    <w:p w14:paraId="176043E8" w14:textId="77777777" w:rsidR="00C31E0E" w:rsidRDefault="00E21B34">
      <w:pPr>
        <w:snapToGrid w:val="0"/>
        <w:spacing w:afterLines="100" w:after="240"/>
        <w:ind w:left="720"/>
      </w:pPr>
      <w:r>
        <w:t xml:space="preserve">Where the transferor is an </w:t>
      </w:r>
      <w:r>
        <w:rPr>
          <w:u w:val="single"/>
        </w:rPr>
        <w:t>overseas institutional Client</w:t>
      </w:r>
      <w:r>
        <w:t>, the position transfer application should be submitted:</w:t>
      </w:r>
    </w:p>
    <w:p w14:paraId="6319E755" w14:textId="77777777" w:rsidR="00C31E0E" w:rsidRDefault="00E21B34">
      <w:pPr>
        <w:pStyle w:val="ac"/>
        <w:numPr>
          <w:ilvl w:val="0"/>
          <w:numId w:val="1"/>
        </w:numPr>
        <w:snapToGrid w:val="0"/>
        <w:spacing w:afterLines="100" w:after="240"/>
        <w:contextualSpacing w:val="0"/>
      </w:pPr>
      <w:r>
        <w:t>(if the transferor is a client of an FF Member) by the FF Member through the Member Service System;</w:t>
      </w:r>
    </w:p>
    <w:p w14:paraId="73CC8FBA" w14:textId="77777777" w:rsidR="00C31E0E" w:rsidRDefault="00E21B34">
      <w:pPr>
        <w:pStyle w:val="ac"/>
        <w:numPr>
          <w:ilvl w:val="0"/>
          <w:numId w:val="1"/>
        </w:numPr>
        <w:snapToGrid w:val="0"/>
        <w:spacing w:afterLines="100" w:after="240"/>
        <w:contextualSpacing w:val="0"/>
      </w:pPr>
      <w:r>
        <w:t xml:space="preserve">(if the transferor is a </w:t>
      </w:r>
      <w:r>
        <w:t>client of an OSBP) by the FF Member that clears trades for the OSBP;</w:t>
      </w:r>
    </w:p>
    <w:p w14:paraId="09B2C956" w14:textId="77777777" w:rsidR="00C31E0E" w:rsidRDefault="00E21B34">
      <w:pPr>
        <w:pStyle w:val="ac"/>
        <w:numPr>
          <w:ilvl w:val="0"/>
          <w:numId w:val="1"/>
        </w:numPr>
        <w:snapToGrid w:val="0"/>
        <w:spacing w:afterLines="100" w:after="240"/>
        <w:contextualSpacing w:val="0"/>
      </w:pPr>
      <w:r>
        <w:t>(if the transferor is a client of an Overseas Intermediary who is carried by an FF Member) by the FF Member that provides brokerage services to the Overseas Intermediary;</w:t>
      </w:r>
    </w:p>
    <w:p w14:paraId="2AE297F9" w14:textId="77777777" w:rsidR="00C31E0E" w:rsidRDefault="00E21B34">
      <w:pPr>
        <w:pStyle w:val="ac"/>
        <w:numPr>
          <w:ilvl w:val="0"/>
          <w:numId w:val="1"/>
        </w:numPr>
        <w:snapToGrid w:val="0"/>
        <w:spacing w:afterLines="100" w:after="240"/>
        <w:contextualSpacing w:val="0"/>
      </w:pPr>
      <w:r>
        <w:t>(if the transfer</w:t>
      </w:r>
      <w:r>
        <w:t>or is a client of an Overseas Intermediary who is carried by an OSBP) by the FF Member that clears trades for the OSBP.</w:t>
      </w:r>
    </w:p>
    <w:p w14:paraId="51ECF9FB" w14:textId="77777777" w:rsidR="00C31E0E" w:rsidRDefault="00E21B34">
      <w:pPr>
        <w:snapToGrid w:val="0"/>
        <w:spacing w:afterLines="100" w:after="240"/>
        <w:ind w:left="1080"/>
      </w:pPr>
      <w:r>
        <w:t>The foregoing FF Members are each referred to as “transferor’s FF Member.”</w:t>
      </w:r>
    </w:p>
    <w:p w14:paraId="0B3EF9D0" w14:textId="77777777" w:rsidR="00C31E0E" w:rsidRDefault="00E21B34">
      <w:pPr>
        <w:snapToGrid w:val="0"/>
        <w:spacing w:afterLines="100" w:after="240"/>
        <w:ind w:left="1080"/>
      </w:pPr>
      <w:r>
        <w:t>The transferor and transferor’s FF Member should each fill ou</w:t>
      </w:r>
      <w:r>
        <w:t>t a “Consent to Position Transfer” to be retained by the FF Member.</w:t>
      </w:r>
    </w:p>
    <w:p w14:paraId="0A025C0F" w14:textId="77777777" w:rsidR="00C31E0E" w:rsidRDefault="00E21B34">
      <w:pPr>
        <w:snapToGrid w:val="0"/>
        <w:spacing w:afterLines="100" w:after="240"/>
        <w:ind w:left="720"/>
      </w:pPr>
      <w:r>
        <w:t xml:space="preserve">Where the transferor is an </w:t>
      </w:r>
      <w:r>
        <w:rPr>
          <w:u w:val="single"/>
        </w:rPr>
        <w:t>OSNBP</w:t>
      </w:r>
      <w:r>
        <w:t xml:space="preserve">, the position transfer application should be submitted through the Member Service System by the FF Member that clears trades for the OSNBP. The transferor </w:t>
      </w:r>
      <w:r>
        <w:t>and the FF Member that clears trades for the transferor should each fill out a “Consent to Position Transfer” to be retained by the FF Member.</w:t>
      </w:r>
    </w:p>
    <w:p w14:paraId="17926778" w14:textId="77777777" w:rsidR="00C31E0E" w:rsidRDefault="00E21B34">
      <w:pPr>
        <w:snapToGrid w:val="0"/>
        <w:spacing w:afterLines="100" w:after="240"/>
        <w:ind w:left="720" w:hanging="540"/>
        <w:rPr>
          <w:b/>
          <w:bCs/>
        </w:rPr>
      </w:pPr>
      <w:r>
        <w:rPr>
          <w:b/>
          <w:bCs/>
        </w:rPr>
        <w:t>(3)</w:t>
      </w:r>
      <w:r>
        <w:rPr>
          <w:b/>
          <w:bCs/>
        </w:rPr>
        <w:tab/>
        <w:t>Transferee confirms application</w:t>
      </w:r>
    </w:p>
    <w:p w14:paraId="66982D06" w14:textId="1DDA4753" w:rsidR="00C31E0E" w:rsidRDefault="00E21B34">
      <w:pPr>
        <w:snapToGrid w:val="0"/>
        <w:spacing w:afterLines="100" w:after="240"/>
        <w:ind w:left="720"/>
      </w:pPr>
      <w:r>
        <w:rPr>
          <w:rFonts w:cs="Times New Roman"/>
        </w:rPr>
        <w:t xml:space="preserve">If the transferee is a </w:t>
      </w:r>
      <w:r>
        <w:rPr>
          <w:rFonts w:hint="eastAsia"/>
        </w:rPr>
        <w:t xml:space="preserve">domestic </w:t>
      </w:r>
      <w:r>
        <w:t>general institutional Client, its FF</w:t>
      </w:r>
      <w:r>
        <w:t xml:space="preserve"> member should confirm the position transfer application in the Member Service System before 2:50 p.m. The transferee and the transferee’s FF Member should each fill out a “Consent to Position Transfer” to be retained by the FF Member.</w:t>
      </w:r>
    </w:p>
    <w:p w14:paraId="7704357D" w14:textId="77777777" w:rsidR="00C31E0E" w:rsidRDefault="00E21B34">
      <w:pPr>
        <w:snapToGrid w:val="0"/>
        <w:spacing w:afterLines="100" w:after="240"/>
        <w:ind w:left="720"/>
      </w:pPr>
      <w:r>
        <w:rPr>
          <w:rFonts w:cs="Times New Roman"/>
        </w:rPr>
        <w:t>If the transferee is</w:t>
      </w:r>
      <w:r>
        <w:rPr>
          <w:rFonts w:cs="Times New Roman"/>
        </w:rPr>
        <w:t xml:space="preserve"> a Non-FF Member, the transferee should confirm the </w:t>
      </w:r>
      <w:r>
        <w:t>position transfer application in the Member Service System before 2:50 p.m., and fill out a “Consent to Position Transfer” and retain it personally.</w:t>
      </w:r>
    </w:p>
    <w:p w14:paraId="7784F557" w14:textId="77777777" w:rsidR="00C31E0E" w:rsidRDefault="00E21B34">
      <w:pPr>
        <w:snapToGrid w:val="0"/>
        <w:spacing w:afterLines="100" w:after="240"/>
        <w:ind w:left="720"/>
        <w:rPr>
          <w:rFonts w:cs="Times New Roman"/>
        </w:rPr>
      </w:pPr>
      <w:r>
        <w:t xml:space="preserve">Applications not confirmed by the time specified above </w:t>
      </w:r>
      <w:r>
        <w:t>will become void.</w:t>
      </w:r>
    </w:p>
    <w:p w14:paraId="42C51167" w14:textId="77777777" w:rsidR="00C31E0E" w:rsidRDefault="00E21B34">
      <w:pPr>
        <w:snapToGrid w:val="0"/>
        <w:spacing w:afterLines="100" w:after="240"/>
        <w:rPr>
          <w:b/>
          <w:bCs/>
        </w:rPr>
      </w:pPr>
      <w:r>
        <w:rPr>
          <w:b/>
          <w:bCs/>
        </w:rPr>
        <w:lastRenderedPageBreak/>
        <w:t>(II)</w:t>
      </w:r>
      <w:r>
        <w:rPr>
          <w:b/>
          <w:bCs/>
        </w:rPr>
        <w:tab/>
        <w:t>Withdrawal</w:t>
      </w:r>
    </w:p>
    <w:p w14:paraId="1D396D91" w14:textId="77777777" w:rsidR="00C31E0E" w:rsidRDefault="00E21B34">
      <w:pPr>
        <w:snapToGrid w:val="0"/>
        <w:spacing w:afterLines="100" w:after="240"/>
        <w:ind w:left="720" w:hanging="540"/>
        <w:rPr>
          <w:b/>
          <w:bCs/>
        </w:rPr>
      </w:pPr>
      <w:r>
        <w:rPr>
          <w:b/>
          <w:bCs/>
        </w:rPr>
        <w:t>(1)</w:t>
      </w:r>
      <w:r>
        <w:rPr>
          <w:b/>
          <w:bCs/>
        </w:rPr>
        <w:tab/>
        <w:t>Transferor withdraws application</w:t>
      </w:r>
    </w:p>
    <w:p w14:paraId="3F2D22A7" w14:textId="77777777" w:rsidR="00C31E0E" w:rsidRDefault="00E21B34">
      <w:pPr>
        <w:snapToGrid w:val="0"/>
        <w:spacing w:afterLines="100" w:after="240"/>
        <w:ind w:left="720"/>
        <w:rPr>
          <w:rFonts w:cs="Times New Roman"/>
        </w:rPr>
      </w:pPr>
      <w:r>
        <w:rPr>
          <w:rFonts w:cs="Times New Roman"/>
        </w:rPr>
        <w:t xml:space="preserve">The transferor’s FF Member or the FF Member that </w:t>
      </w:r>
      <w:r>
        <w:t xml:space="preserve">clears trades for </w:t>
      </w:r>
      <w:r>
        <w:rPr>
          <w:rFonts w:cs="Times New Roman"/>
        </w:rPr>
        <w:t>the transferor may withdraw an application in the Member Service System before 2:50 p.m. on the day of application, pr</w:t>
      </w:r>
      <w:r>
        <w:rPr>
          <w:rFonts w:cs="Times New Roman"/>
        </w:rPr>
        <w:t>ovided that the application has not yet been confirmed by the transferee’s FF Member.</w:t>
      </w:r>
    </w:p>
    <w:p w14:paraId="41972561" w14:textId="77777777" w:rsidR="00C31E0E" w:rsidRDefault="00E21B34">
      <w:pPr>
        <w:snapToGrid w:val="0"/>
        <w:spacing w:afterLines="100" w:after="240"/>
        <w:ind w:left="720" w:hanging="540"/>
        <w:rPr>
          <w:b/>
          <w:bCs/>
        </w:rPr>
      </w:pPr>
      <w:r>
        <w:rPr>
          <w:b/>
          <w:bCs/>
        </w:rPr>
        <w:t>(2)</w:t>
      </w:r>
      <w:r>
        <w:rPr>
          <w:b/>
          <w:bCs/>
        </w:rPr>
        <w:tab/>
        <w:t>Transferee rejects application</w:t>
      </w:r>
    </w:p>
    <w:p w14:paraId="5E81C35E" w14:textId="59EEEBDB" w:rsidR="00C31E0E" w:rsidRDefault="00E21B34">
      <w:pPr>
        <w:snapToGrid w:val="0"/>
        <w:spacing w:afterLines="100" w:after="240"/>
        <w:ind w:left="720"/>
        <w:rPr>
          <w:rFonts w:cs="Times New Roman"/>
        </w:rPr>
      </w:pPr>
      <w:r>
        <w:rPr>
          <w:rFonts w:cs="Times New Roman"/>
        </w:rPr>
        <w:t>Before 2:50 p.m. on the day of application, the application may be rejected through the Member Service System by the transferee’s FF Me</w:t>
      </w:r>
      <w:r>
        <w:rPr>
          <w:rFonts w:cs="Times New Roman"/>
        </w:rPr>
        <w:t xml:space="preserve">mber if the transferee is a </w:t>
      </w:r>
      <w:r>
        <w:rPr>
          <w:rFonts w:cs="Times New Roman" w:hint="eastAsia"/>
        </w:rPr>
        <w:t xml:space="preserve">domestic </w:t>
      </w:r>
      <w:r>
        <w:rPr>
          <w:rFonts w:cs="Times New Roman"/>
        </w:rPr>
        <w:t>general institutional Client, and by the transferee directly if the transferee is a Non-FF Member.</w:t>
      </w:r>
    </w:p>
    <w:p w14:paraId="3330D1C7" w14:textId="77777777" w:rsidR="00C31E0E" w:rsidRDefault="00E21B34">
      <w:pPr>
        <w:snapToGrid w:val="0"/>
        <w:spacing w:afterLines="100" w:after="240"/>
        <w:rPr>
          <w:rFonts w:cs="Times New Roman"/>
          <w:b/>
          <w:bCs/>
        </w:rPr>
      </w:pPr>
      <w:r>
        <w:rPr>
          <w:rFonts w:cs="Times New Roman"/>
          <w:b/>
          <w:bCs/>
        </w:rPr>
        <w:t>IV.</w:t>
      </w:r>
      <w:r>
        <w:rPr>
          <w:rFonts w:cs="Times New Roman"/>
          <w:b/>
          <w:bCs/>
        </w:rPr>
        <w:tab/>
        <w:t>Position Transfer</w:t>
      </w:r>
    </w:p>
    <w:p w14:paraId="72EC96F5" w14:textId="77777777" w:rsidR="00C31E0E" w:rsidRDefault="00E21B34">
      <w:pPr>
        <w:snapToGrid w:val="0"/>
        <w:spacing w:afterLines="100" w:after="240"/>
        <w:rPr>
          <w:b/>
          <w:bCs/>
        </w:rPr>
      </w:pPr>
      <w:r>
        <w:rPr>
          <w:b/>
          <w:bCs/>
        </w:rPr>
        <w:t>(I)</w:t>
      </w:r>
      <w:r>
        <w:rPr>
          <w:b/>
          <w:bCs/>
        </w:rPr>
        <w:tab/>
        <w:t>General rules</w:t>
      </w:r>
    </w:p>
    <w:p w14:paraId="796822C5" w14:textId="77777777" w:rsidR="00C31E0E" w:rsidRDefault="00E21B34">
      <w:pPr>
        <w:snapToGrid w:val="0"/>
        <w:spacing w:afterLines="100" w:after="240"/>
      </w:pPr>
      <w:r>
        <w:t xml:space="preserve">Only open positions are transferred, not such items as current-day </w:t>
      </w:r>
      <w:r>
        <w:t xml:space="preserve">profits and losses and transaction fees. During daily clearing, SHFE will review the position transfer application based on the size of the transferor’s positions, the size of positions to be transferred, and the transferee’s hedging position quota, among </w:t>
      </w:r>
      <w:r>
        <w:t>other factors.</w:t>
      </w:r>
    </w:p>
    <w:p w14:paraId="2B0AE3D1" w14:textId="77777777" w:rsidR="00C31E0E" w:rsidRDefault="00E21B34">
      <w:pPr>
        <w:snapToGrid w:val="0"/>
        <w:spacing w:afterLines="100" w:after="240"/>
        <w:rPr>
          <w:rFonts w:cs="Times New Roman"/>
        </w:rPr>
      </w:pPr>
      <w:r>
        <w:rPr>
          <w:rFonts w:cs="Times New Roman"/>
        </w:rPr>
        <w:t>General positions transferred = min (size of general positions actually held by transferor, size of positions requested to be transferred);</w:t>
      </w:r>
    </w:p>
    <w:p w14:paraId="5BD29354" w14:textId="77777777" w:rsidR="00C31E0E" w:rsidRDefault="00E21B34">
      <w:pPr>
        <w:snapToGrid w:val="0"/>
        <w:spacing w:afterLines="100" w:after="240"/>
        <w:rPr>
          <w:rFonts w:cs="Times New Roman"/>
        </w:rPr>
      </w:pPr>
      <w:r>
        <w:rPr>
          <w:rFonts w:cs="Times New Roman"/>
        </w:rPr>
        <w:t>Hedging positions transferred = min (size of hedging positions actually held by transferor, size of p</w:t>
      </w:r>
      <w:r>
        <w:rPr>
          <w:rFonts w:cs="Times New Roman"/>
        </w:rPr>
        <w:t>ositions requested to be transferred, available hedging position quota of the transferee).</w:t>
      </w:r>
    </w:p>
    <w:p w14:paraId="386AE584" w14:textId="77777777" w:rsidR="00C31E0E" w:rsidRDefault="00E21B34">
      <w:pPr>
        <w:snapToGrid w:val="0"/>
        <w:spacing w:afterLines="100" w:after="240"/>
      </w:pPr>
      <w:r>
        <w:t>A transfer will not change the nature and direction (long or short) of the positions. Transferor’s positions are transferred on a “first in, first out” basis based o</w:t>
      </w:r>
      <w:r>
        <w:t>n when they were opened. The transferee’s positions are deemed established on the day of the transfer at the day’s settlement price.</w:t>
      </w:r>
    </w:p>
    <w:p w14:paraId="77F3D749" w14:textId="77777777" w:rsidR="00C31E0E" w:rsidRDefault="00E21B34">
      <w:pPr>
        <w:snapToGrid w:val="0"/>
        <w:spacing w:afterLines="100" w:after="240"/>
        <w:rPr>
          <w:b/>
          <w:bCs/>
        </w:rPr>
      </w:pPr>
      <w:r>
        <w:rPr>
          <w:b/>
          <w:bCs/>
        </w:rPr>
        <w:t>(II)</w:t>
      </w:r>
      <w:r>
        <w:rPr>
          <w:b/>
          <w:bCs/>
        </w:rPr>
        <w:tab/>
        <w:t>Margin calculation</w:t>
      </w:r>
    </w:p>
    <w:p w14:paraId="6096FFA8" w14:textId="77777777" w:rsidR="00C31E0E" w:rsidRDefault="00E21B34">
      <w:pPr>
        <w:snapToGrid w:val="0"/>
        <w:spacing w:afterLines="100" w:after="240"/>
      </w:pPr>
      <w:r>
        <w:t xml:space="preserve">At daily clearing, SHFE will collect trading margin from the transferee’s FF Member or the Non-FF Member based on the positions transferred in, and release </w:t>
      </w:r>
      <w:bookmarkStart w:id="0" w:name="_GoBack"/>
      <w:bookmarkEnd w:id="0"/>
      <w:r>
        <w:t>the corresponding amount of margin for the transferor’s FF Member or the FF Member that clears tr</w:t>
      </w:r>
      <w:r>
        <w:t>ades for the transferor.</w:t>
      </w:r>
    </w:p>
    <w:p w14:paraId="31D87D79" w14:textId="77777777" w:rsidR="00C31E0E" w:rsidRDefault="00E21B34">
      <w:pPr>
        <w:snapToGrid w:val="0"/>
        <w:spacing w:afterLines="100" w:after="240"/>
        <w:rPr>
          <w:b/>
          <w:bCs/>
        </w:rPr>
      </w:pPr>
      <w:r>
        <w:rPr>
          <w:b/>
          <w:bCs/>
        </w:rPr>
        <w:t>(III)</w:t>
      </w:r>
      <w:r>
        <w:rPr>
          <w:b/>
          <w:bCs/>
        </w:rPr>
        <w:tab/>
        <w:t>Special Circumstances</w:t>
      </w:r>
    </w:p>
    <w:p w14:paraId="59526159" w14:textId="77777777" w:rsidR="00C31E0E" w:rsidRDefault="00E21B34">
      <w:pPr>
        <w:snapToGrid w:val="0"/>
        <w:spacing w:afterLines="100" w:after="240"/>
      </w:pPr>
      <w:r>
        <w:t>SHFE may stop the processing of position transfers by overseas traders on a given day if:</w:t>
      </w:r>
    </w:p>
    <w:p w14:paraId="486D7DBB" w14:textId="77777777" w:rsidR="00C31E0E" w:rsidRDefault="00E21B34">
      <w:pPr>
        <w:snapToGrid w:val="0"/>
        <w:spacing w:afterLines="100" w:after="240"/>
        <w:ind w:left="720" w:hanging="540"/>
      </w:pPr>
      <w:r>
        <w:lastRenderedPageBreak/>
        <w:t>(1)</w:t>
      </w:r>
      <w:r>
        <w:tab/>
        <w:t xml:space="preserve">there is an emergency in settlement, delivery, or the exercise or fulfillment of options, which is having or </w:t>
      </w:r>
      <w:r>
        <w:t>is expected to have a material impact on the market;</w:t>
      </w:r>
    </w:p>
    <w:p w14:paraId="2B7D4614" w14:textId="77777777" w:rsidR="00C31E0E" w:rsidRDefault="00E21B34">
      <w:pPr>
        <w:snapToGrid w:val="0"/>
        <w:spacing w:afterLines="100" w:after="240"/>
        <w:ind w:left="720" w:hanging="540"/>
      </w:pPr>
      <w:r>
        <w:t>(2)</w:t>
      </w:r>
      <w:r>
        <w:tab/>
        <w:t>position transfers are prevented by a computer system breakdown; or</w:t>
      </w:r>
    </w:p>
    <w:p w14:paraId="7FF62A41" w14:textId="77777777" w:rsidR="00C31E0E" w:rsidRDefault="00E21B34">
      <w:pPr>
        <w:snapToGrid w:val="0"/>
        <w:spacing w:afterLines="100" w:after="240"/>
        <w:ind w:left="720" w:hanging="540"/>
      </w:pPr>
      <w:r>
        <w:t>(3)</w:t>
      </w:r>
      <w:r>
        <w:tab/>
        <w:t>there is any other circumstance specially recognized by SHFE.</w:t>
      </w:r>
    </w:p>
    <w:sectPr w:rsidR="00C31E0E">
      <w:footerReference w:type="default" r:id="rId8"/>
      <w:pgSz w:w="11906" w:h="16838"/>
      <w:pgMar w:top="1440" w:right="1440" w:bottom="1440" w:left="1440" w:header="720" w:footer="8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B2A81" w14:textId="77777777" w:rsidR="00E21B34" w:rsidRDefault="00E21B34">
      <w:pPr>
        <w:spacing w:line="240" w:lineRule="auto"/>
      </w:pPr>
      <w:r>
        <w:separator/>
      </w:r>
    </w:p>
  </w:endnote>
  <w:endnote w:type="continuationSeparator" w:id="0">
    <w:p w14:paraId="40D79911" w14:textId="77777777" w:rsidR="00E21B34" w:rsidRDefault="00E21B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ptos Display">
    <w:altName w:val="Arial"/>
    <w:charset w:val="00"/>
    <w:family w:val="swiss"/>
    <w:pitch w:val="default"/>
    <w:sig w:usb0="00000000" w:usb1="00000000" w:usb2="00000000" w:usb3="00000000" w:csb0="0000019F" w:csb1="00000000"/>
  </w:font>
  <w:font w:name="等线 Light">
    <w:altName w:val="宋体"/>
    <w:charset w:val="86"/>
    <w:family w:val="auto"/>
    <w:pitch w:val="default"/>
    <w:sig w:usb0="00000000" w:usb1="00000000" w:usb2="00000016" w:usb3="00000000" w:csb0="0004000F" w:csb1="00000000"/>
  </w:font>
  <w:font w:name="Aptos">
    <w:altName w:val="Arial"/>
    <w:charset w:val="00"/>
    <w:family w:val="swiss"/>
    <w:pitch w:val="default"/>
    <w:sig w:usb0="00000000"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
    </w:sdtPr>
    <w:sdtEndPr>
      <w:rPr>
        <w:sz w:val="20"/>
        <w:szCs w:val="20"/>
      </w:rPr>
    </w:sdtEndPr>
    <w:sdtContent>
      <w:p w14:paraId="5B518A11" w14:textId="77777777" w:rsidR="00C31E0E" w:rsidRDefault="00E21B34">
        <w:pPr>
          <w:pStyle w:val="a5"/>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D45FC4">
          <w:rPr>
            <w:noProof/>
            <w:sz w:val="20"/>
            <w:szCs w:val="20"/>
          </w:rPr>
          <w:t>1</w:t>
        </w:r>
        <w:r>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D6F29" w14:textId="77777777" w:rsidR="00E21B34" w:rsidRDefault="00E21B34">
      <w:r>
        <w:separator/>
      </w:r>
    </w:p>
  </w:footnote>
  <w:footnote w:type="continuationSeparator" w:id="0">
    <w:p w14:paraId="39C2459C" w14:textId="77777777" w:rsidR="00E21B34" w:rsidRDefault="00E21B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47904"/>
    <w:multiLevelType w:val="multilevel"/>
    <w:tmpl w:val="0344790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F57"/>
    <w:rsid w:val="8E5F51DF"/>
    <w:rsid w:val="BDFFE118"/>
    <w:rsid w:val="BFF8CD5A"/>
    <w:rsid w:val="D25FC747"/>
    <w:rsid w:val="FF70959B"/>
    <w:rsid w:val="FFBF41FA"/>
    <w:rsid w:val="FFBF8ACC"/>
    <w:rsid w:val="0002348E"/>
    <w:rsid w:val="0003008D"/>
    <w:rsid w:val="000A1A1F"/>
    <w:rsid w:val="000F5A78"/>
    <w:rsid w:val="0011678C"/>
    <w:rsid w:val="00212BA5"/>
    <w:rsid w:val="002A1B97"/>
    <w:rsid w:val="00302A83"/>
    <w:rsid w:val="003602D1"/>
    <w:rsid w:val="0043612A"/>
    <w:rsid w:val="00450095"/>
    <w:rsid w:val="00463664"/>
    <w:rsid w:val="00486D34"/>
    <w:rsid w:val="00490C03"/>
    <w:rsid w:val="004C4CA9"/>
    <w:rsid w:val="0050300F"/>
    <w:rsid w:val="0050520C"/>
    <w:rsid w:val="00510E3E"/>
    <w:rsid w:val="0052559D"/>
    <w:rsid w:val="00547A97"/>
    <w:rsid w:val="00556556"/>
    <w:rsid w:val="005B05C1"/>
    <w:rsid w:val="00693CC3"/>
    <w:rsid w:val="006A30EB"/>
    <w:rsid w:val="006D0A33"/>
    <w:rsid w:val="00753897"/>
    <w:rsid w:val="007A1592"/>
    <w:rsid w:val="007B5376"/>
    <w:rsid w:val="007B6609"/>
    <w:rsid w:val="008528E1"/>
    <w:rsid w:val="00866FED"/>
    <w:rsid w:val="008A3274"/>
    <w:rsid w:val="008C231E"/>
    <w:rsid w:val="008C2950"/>
    <w:rsid w:val="008D1AF7"/>
    <w:rsid w:val="008E76FC"/>
    <w:rsid w:val="00905D56"/>
    <w:rsid w:val="00907D90"/>
    <w:rsid w:val="009341BD"/>
    <w:rsid w:val="00960C67"/>
    <w:rsid w:val="00961554"/>
    <w:rsid w:val="00983294"/>
    <w:rsid w:val="009B0E7D"/>
    <w:rsid w:val="009E600B"/>
    <w:rsid w:val="009F581F"/>
    <w:rsid w:val="00A4725E"/>
    <w:rsid w:val="00A72CA4"/>
    <w:rsid w:val="00A77EA0"/>
    <w:rsid w:val="00AA02F4"/>
    <w:rsid w:val="00B23F57"/>
    <w:rsid w:val="00B45580"/>
    <w:rsid w:val="00B5526F"/>
    <w:rsid w:val="00B72ECF"/>
    <w:rsid w:val="00B8175F"/>
    <w:rsid w:val="00BA7540"/>
    <w:rsid w:val="00BC27BC"/>
    <w:rsid w:val="00BD57F6"/>
    <w:rsid w:val="00BE3A24"/>
    <w:rsid w:val="00C31E0E"/>
    <w:rsid w:val="00C74160"/>
    <w:rsid w:val="00C775A7"/>
    <w:rsid w:val="00C827A6"/>
    <w:rsid w:val="00CC0C0A"/>
    <w:rsid w:val="00D11DC4"/>
    <w:rsid w:val="00D204C6"/>
    <w:rsid w:val="00D45FC4"/>
    <w:rsid w:val="00D7124E"/>
    <w:rsid w:val="00D81420"/>
    <w:rsid w:val="00DA03F1"/>
    <w:rsid w:val="00DC268B"/>
    <w:rsid w:val="00DD5685"/>
    <w:rsid w:val="00E12C45"/>
    <w:rsid w:val="00E1545F"/>
    <w:rsid w:val="00E21B34"/>
    <w:rsid w:val="00E318B4"/>
    <w:rsid w:val="00E403B9"/>
    <w:rsid w:val="00E479E9"/>
    <w:rsid w:val="00E61228"/>
    <w:rsid w:val="00E933F6"/>
    <w:rsid w:val="00EA5EE0"/>
    <w:rsid w:val="00EB115F"/>
    <w:rsid w:val="00F01593"/>
    <w:rsid w:val="00F13336"/>
    <w:rsid w:val="00F51E1C"/>
    <w:rsid w:val="00F70F17"/>
    <w:rsid w:val="00FA6FAD"/>
    <w:rsid w:val="00FB0747"/>
    <w:rsid w:val="00FB74F5"/>
    <w:rsid w:val="00FD028B"/>
    <w:rsid w:val="00FF306F"/>
    <w:rsid w:val="2DDFC6FA"/>
    <w:rsid w:val="4D37438F"/>
    <w:rsid w:val="6E5D79EA"/>
    <w:rsid w:val="75DF4643"/>
    <w:rsid w:val="7684F87A"/>
    <w:rsid w:val="79FC6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EE63BA-9B18-4604-A62C-FAA4CF5D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59" w:lineRule="auto"/>
    </w:pPr>
    <w:rPr>
      <w:kern w:val="2"/>
      <w:sz w:val="24"/>
      <w:szCs w:val="24"/>
      <w14:ligatures w14:val="standardContextual"/>
    </w:rPr>
  </w:style>
  <w:style w:type="paragraph" w:styleId="1">
    <w:name w:val="heading 1"/>
    <w:basedOn w:val="a"/>
    <w:next w:val="a"/>
    <w:link w:val="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pPr>
      <w:keepNext/>
      <w:keepLines/>
      <w:outlineLvl w:val="7"/>
    </w:pPr>
    <w:rPr>
      <w:rFonts w:asciiTheme="minorHAnsi" w:eastAsiaTheme="majorEastAsia" w:hAnsiTheme="minorHAnsi" w:cstheme="majorBidi"/>
      <w:i/>
      <w:iCs/>
      <w:color w:val="262626" w:themeColor="text1" w:themeTint="D9"/>
    </w:rPr>
  </w:style>
  <w:style w:type="paragraph" w:styleId="9">
    <w:name w:val="heading 9"/>
    <w:basedOn w:val="a"/>
    <w:next w:val="a"/>
    <w:link w:val="9Char"/>
    <w:uiPriority w:val="9"/>
    <w:semiHidden/>
    <w:unhideWhenUsed/>
    <w:qFormat/>
    <w:pPr>
      <w:keepNext/>
      <w:keepLines/>
      <w:outlineLvl w:val="8"/>
    </w:pPr>
    <w:rPr>
      <w:rFonts w:asciiTheme="minorHAnsi" w:eastAsiaTheme="majorEastAsia" w:hAnsiTheme="minorHAnsi"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spacing w:line="240" w:lineRule="auto"/>
    </w:pPr>
    <w:rPr>
      <w:rFonts w:ascii="Arial" w:hAnsi="Arial"/>
      <w:sz w:val="20"/>
      <w:szCs w:val="20"/>
    </w:r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680"/>
        <w:tab w:val="right" w:pos="9360"/>
      </w:tabs>
      <w:spacing w:line="240" w:lineRule="auto"/>
    </w:pPr>
  </w:style>
  <w:style w:type="paragraph" w:styleId="a6">
    <w:name w:val="header"/>
    <w:basedOn w:val="a"/>
    <w:link w:val="Char2"/>
    <w:uiPriority w:val="99"/>
    <w:unhideWhenUsed/>
    <w:qFormat/>
    <w:pPr>
      <w:tabs>
        <w:tab w:val="center" w:pos="4680"/>
        <w:tab w:val="right" w:pos="9360"/>
      </w:tabs>
      <w:spacing w:line="240" w:lineRule="auto"/>
    </w:pPr>
  </w:style>
  <w:style w:type="paragraph" w:styleId="a7">
    <w:name w:val="Subtitle"/>
    <w:basedOn w:val="a"/>
    <w:next w:val="a"/>
    <w:link w:val="Char3"/>
    <w:uiPriority w:val="11"/>
    <w:qFormat/>
    <w:pPr>
      <w:spacing w:after="160"/>
    </w:pPr>
    <w:rPr>
      <w:rFonts w:asciiTheme="minorHAnsi" w:eastAsiaTheme="majorEastAsia" w:hAnsiTheme="minorHAnsi" w:cstheme="majorBidi"/>
      <w:color w:val="595959" w:themeColor="text1" w:themeTint="A6"/>
      <w:spacing w:val="15"/>
      <w:sz w:val="28"/>
      <w:szCs w:val="28"/>
    </w:rPr>
  </w:style>
  <w:style w:type="paragraph" w:styleId="a8">
    <w:name w:val="Title"/>
    <w:basedOn w:val="a"/>
    <w:next w:val="a"/>
    <w:link w:val="Char4"/>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a9">
    <w:name w:val="annotation subject"/>
    <w:basedOn w:val="a3"/>
    <w:next w:val="a3"/>
    <w:link w:val="Char5"/>
    <w:uiPriority w:val="99"/>
    <w:semiHidden/>
    <w:unhideWhenUsed/>
    <w:qFormat/>
    <w:rPr>
      <w:rFonts w:ascii="Times New Roman" w:hAnsi="Times New Roman"/>
      <w:b/>
      <w:bCs/>
    </w:rPr>
  </w:style>
  <w:style w:type="character" w:styleId="aa">
    <w:name w:val="annotation reference"/>
    <w:basedOn w:val="a0"/>
    <w:uiPriority w:val="99"/>
    <w:semiHidden/>
    <w:unhideWhenUsed/>
    <w:qFormat/>
    <w:rPr>
      <w:sz w:val="16"/>
      <w:szCs w:val="16"/>
    </w:rPr>
  </w:style>
  <w:style w:type="character" w:customStyle="1" w:styleId="Char">
    <w:name w:val="批注文字 Char"/>
    <w:basedOn w:val="a0"/>
    <w:link w:val="a3"/>
    <w:uiPriority w:val="99"/>
    <w:semiHidden/>
    <w:qFormat/>
    <w:rPr>
      <w:rFonts w:ascii="Arial" w:hAnsi="Arial"/>
      <w:sz w:val="20"/>
      <w:szCs w:val="20"/>
    </w:rPr>
  </w:style>
  <w:style w:type="character" w:customStyle="1" w:styleId="1Char">
    <w:name w:val="标题 1 Char"/>
    <w:basedOn w:val="a0"/>
    <w:link w:val="1"/>
    <w:uiPriority w:val="9"/>
    <w:qFormat/>
    <w:rPr>
      <w:rFonts w:asciiTheme="majorHAnsi" w:eastAsiaTheme="majorEastAsia" w:hAnsiTheme="majorHAnsi" w:cstheme="majorBidi"/>
      <w:color w:val="0F4761" w:themeColor="accent1" w:themeShade="BF"/>
      <w:sz w:val="40"/>
      <w:szCs w:val="40"/>
    </w:rPr>
  </w:style>
  <w:style w:type="character" w:customStyle="1" w:styleId="2Char">
    <w:name w:val="标题 2 Char"/>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Char">
    <w:name w:val="标题 3 Char"/>
    <w:basedOn w:val="a0"/>
    <w:link w:val="3"/>
    <w:uiPriority w:val="9"/>
    <w:semiHidden/>
    <w:qFormat/>
    <w:rPr>
      <w:rFonts w:asciiTheme="minorHAnsi" w:eastAsiaTheme="majorEastAsia" w:hAnsiTheme="minorHAnsi" w:cstheme="majorBidi"/>
      <w:color w:val="0F4761" w:themeColor="accent1" w:themeShade="BF"/>
      <w:sz w:val="28"/>
      <w:szCs w:val="28"/>
    </w:rPr>
  </w:style>
  <w:style w:type="character" w:customStyle="1" w:styleId="4Char">
    <w:name w:val="标题 4 Char"/>
    <w:basedOn w:val="a0"/>
    <w:link w:val="4"/>
    <w:uiPriority w:val="9"/>
    <w:semiHidden/>
    <w:qFormat/>
    <w:rPr>
      <w:rFonts w:asciiTheme="minorHAnsi" w:eastAsiaTheme="majorEastAsia" w:hAnsiTheme="minorHAnsi" w:cstheme="majorBidi"/>
      <w:i/>
      <w:iCs/>
      <w:color w:val="0F4761" w:themeColor="accent1" w:themeShade="BF"/>
    </w:rPr>
  </w:style>
  <w:style w:type="character" w:customStyle="1" w:styleId="5Char">
    <w:name w:val="标题 5 Char"/>
    <w:basedOn w:val="a0"/>
    <w:link w:val="5"/>
    <w:uiPriority w:val="9"/>
    <w:semiHidden/>
    <w:qFormat/>
    <w:rPr>
      <w:rFonts w:asciiTheme="minorHAnsi" w:eastAsiaTheme="majorEastAsia" w:hAnsiTheme="minorHAnsi" w:cstheme="majorBidi"/>
      <w:color w:val="0F4761" w:themeColor="accent1" w:themeShade="BF"/>
    </w:rPr>
  </w:style>
  <w:style w:type="character" w:customStyle="1" w:styleId="6Char">
    <w:name w:val="标题 6 Char"/>
    <w:basedOn w:val="a0"/>
    <w:link w:val="6"/>
    <w:uiPriority w:val="9"/>
    <w:semiHidden/>
    <w:qFormat/>
    <w:rPr>
      <w:rFonts w:asciiTheme="minorHAnsi" w:eastAsiaTheme="majorEastAsia" w:hAnsiTheme="minorHAnsi" w:cstheme="majorBidi"/>
      <w:i/>
      <w:iCs/>
      <w:color w:val="595959" w:themeColor="text1" w:themeTint="A6"/>
    </w:rPr>
  </w:style>
  <w:style w:type="character" w:customStyle="1" w:styleId="7Char">
    <w:name w:val="标题 7 Char"/>
    <w:basedOn w:val="a0"/>
    <w:link w:val="7"/>
    <w:uiPriority w:val="9"/>
    <w:semiHidden/>
    <w:qFormat/>
    <w:rPr>
      <w:rFonts w:asciiTheme="minorHAnsi" w:eastAsiaTheme="majorEastAsia" w:hAnsiTheme="minorHAnsi" w:cstheme="majorBidi"/>
      <w:color w:val="595959" w:themeColor="text1" w:themeTint="A6"/>
    </w:rPr>
  </w:style>
  <w:style w:type="character" w:customStyle="1" w:styleId="8Char">
    <w:name w:val="标题 8 Char"/>
    <w:basedOn w:val="a0"/>
    <w:link w:val="8"/>
    <w:uiPriority w:val="9"/>
    <w:semiHidden/>
    <w:qFormat/>
    <w:rPr>
      <w:rFonts w:asciiTheme="minorHAnsi" w:eastAsiaTheme="majorEastAsia" w:hAnsiTheme="minorHAnsi" w:cstheme="majorBidi"/>
      <w:i/>
      <w:iCs/>
      <w:color w:val="262626" w:themeColor="text1" w:themeTint="D9"/>
    </w:rPr>
  </w:style>
  <w:style w:type="character" w:customStyle="1" w:styleId="9Char">
    <w:name w:val="标题 9 Char"/>
    <w:basedOn w:val="a0"/>
    <w:link w:val="9"/>
    <w:uiPriority w:val="9"/>
    <w:semiHidden/>
    <w:qFormat/>
    <w:rPr>
      <w:rFonts w:asciiTheme="minorHAnsi" w:eastAsiaTheme="majorEastAsia" w:hAnsiTheme="minorHAnsi" w:cstheme="majorBidi"/>
      <w:color w:val="262626" w:themeColor="text1" w:themeTint="D9"/>
    </w:rPr>
  </w:style>
  <w:style w:type="character" w:customStyle="1" w:styleId="Char4">
    <w:name w:val="标题 Char"/>
    <w:basedOn w:val="a0"/>
    <w:link w:val="a8"/>
    <w:uiPriority w:val="10"/>
    <w:qFormat/>
    <w:rPr>
      <w:rFonts w:asciiTheme="majorHAnsi" w:eastAsiaTheme="majorEastAsia" w:hAnsiTheme="majorHAnsi" w:cstheme="majorBidi"/>
      <w:spacing w:val="-10"/>
      <w:kern w:val="28"/>
      <w:sz w:val="56"/>
      <w:szCs w:val="56"/>
    </w:rPr>
  </w:style>
  <w:style w:type="character" w:customStyle="1" w:styleId="Char3">
    <w:name w:val="副标题 Char"/>
    <w:basedOn w:val="a0"/>
    <w:link w:val="a7"/>
    <w:uiPriority w:val="11"/>
    <w:qFormat/>
    <w:rPr>
      <w:rFonts w:asciiTheme="minorHAnsi" w:eastAsiaTheme="majorEastAsia" w:hAnsiTheme="minorHAnsi" w:cstheme="majorBidi"/>
      <w:color w:val="595959" w:themeColor="text1" w:themeTint="A6"/>
      <w:spacing w:val="15"/>
      <w:sz w:val="28"/>
      <w:szCs w:val="28"/>
    </w:rPr>
  </w:style>
  <w:style w:type="paragraph" w:styleId="ab">
    <w:name w:val="Quote"/>
    <w:basedOn w:val="a"/>
    <w:next w:val="a"/>
    <w:link w:val="Char6"/>
    <w:uiPriority w:val="29"/>
    <w:qFormat/>
    <w:pPr>
      <w:spacing w:before="160" w:after="160"/>
      <w:jc w:val="center"/>
    </w:pPr>
    <w:rPr>
      <w:i/>
      <w:iCs/>
      <w:color w:val="404040" w:themeColor="text1" w:themeTint="BF"/>
    </w:rPr>
  </w:style>
  <w:style w:type="character" w:customStyle="1" w:styleId="Char6">
    <w:name w:val="引用 Char"/>
    <w:basedOn w:val="a0"/>
    <w:link w:val="ab"/>
    <w:uiPriority w:val="29"/>
    <w:qFormat/>
    <w:rPr>
      <w:i/>
      <w:iCs/>
      <w:color w:val="404040" w:themeColor="text1" w:themeTint="BF"/>
    </w:rPr>
  </w:style>
  <w:style w:type="paragraph" w:styleId="ac">
    <w:name w:val="List Paragraph"/>
    <w:basedOn w:val="a"/>
    <w:uiPriority w:val="34"/>
    <w:qFormat/>
    <w:pPr>
      <w:ind w:left="720"/>
      <w:contextualSpacing/>
    </w:pPr>
  </w:style>
  <w:style w:type="character" w:customStyle="1" w:styleId="10">
    <w:name w:val="明显强调1"/>
    <w:basedOn w:val="a0"/>
    <w:uiPriority w:val="21"/>
    <w:qFormat/>
    <w:rPr>
      <w:i/>
      <w:iCs/>
      <w:color w:val="0F4761" w:themeColor="accent1" w:themeShade="BF"/>
    </w:rPr>
  </w:style>
  <w:style w:type="paragraph" w:styleId="ad">
    <w:name w:val="Intense Quote"/>
    <w:basedOn w:val="a"/>
    <w:next w:val="a"/>
    <w:link w:val="Char7"/>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7">
    <w:name w:val="明显引用 Char"/>
    <w:basedOn w:val="a0"/>
    <w:link w:val="ad"/>
    <w:uiPriority w:val="30"/>
    <w:qFormat/>
    <w:rPr>
      <w:i/>
      <w:iCs/>
      <w:color w:val="0F4761" w:themeColor="accent1" w:themeShade="BF"/>
    </w:rPr>
  </w:style>
  <w:style w:type="character" w:customStyle="1" w:styleId="11">
    <w:name w:val="明显参考1"/>
    <w:basedOn w:val="a0"/>
    <w:uiPriority w:val="32"/>
    <w:qFormat/>
    <w:rPr>
      <w:b/>
      <w:bCs/>
      <w:smallCaps/>
      <w:color w:val="0F4761" w:themeColor="accent1" w:themeShade="BF"/>
      <w:spacing w:val="5"/>
    </w:rPr>
  </w:style>
  <w:style w:type="character" w:customStyle="1" w:styleId="Char2">
    <w:name w:val="页眉 Char"/>
    <w:basedOn w:val="a0"/>
    <w:link w:val="a6"/>
    <w:uiPriority w:val="99"/>
    <w:qFormat/>
  </w:style>
  <w:style w:type="character" w:customStyle="1" w:styleId="Char1">
    <w:name w:val="页脚 Char"/>
    <w:basedOn w:val="a0"/>
    <w:link w:val="a5"/>
    <w:uiPriority w:val="99"/>
    <w:qFormat/>
  </w:style>
  <w:style w:type="character" w:customStyle="1" w:styleId="Char5">
    <w:name w:val="批注主题 Char"/>
    <w:basedOn w:val="Char"/>
    <w:link w:val="a9"/>
    <w:uiPriority w:val="99"/>
    <w:semiHidden/>
    <w:qFormat/>
    <w:rPr>
      <w:rFonts w:ascii="Arial" w:hAnsi="Arial"/>
      <w:b/>
      <w:bCs/>
      <w:sz w:val="20"/>
      <w:szCs w:val="20"/>
    </w:rPr>
  </w:style>
  <w:style w:type="character" w:customStyle="1" w:styleId="Char0">
    <w:name w:val="批注框文本 Char"/>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5E38C3AA-69D0-4EC3-89E1-B1644F3AB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959</Words>
  <Characters>5472</Characters>
  <Application>Microsoft Office Word</Application>
  <DocSecurity>0</DocSecurity>
  <Lines>45</Lines>
  <Paragraphs>12</Paragraphs>
  <ScaleCrop>false</ScaleCrop>
  <Company>SHFE</Company>
  <LinksUpToDate>false</LinksUpToDate>
  <CharactersWithSpaces>6419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Ubica</dc:creator>
  <cp:lastModifiedBy>梅婷</cp:lastModifiedBy>
  <cp:revision>2</cp:revision>
  <dcterms:created xsi:type="dcterms:W3CDTF">2026-03-20T01:36:00Z</dcterms:created>
  <dcterms:modified xsi:type="dcterms:W3CDTF">2026-03-20T01:36:00Z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7C5967E9202C1F7DEB6C7C69A51355B1</vt:lpwstr>
  </property>
</Properties>
</file>