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A3E" w:rsidRPr="00E864CC" w:rsidRDefault="00E864CC" w:rsidP="00E864CC">
      <w:pPr>
        <w:spacing w:line="560" w:lineRule="exact"/>
        <w:jc w:val="left"/>
        <w:rPr>
          <w:rFonts w:ascii="Times New Roman" w:eastAsia="方正大标宋简体" w:hAnsi="Times New Roman" w:cs="Times New Roman"/>
          <w:sz w:val="42"/>
          <w:szCs w:val="42"/>
        </w:rPr>
      </w:pPr>
      <w:r w:rsidRPr="00E864CC">
        <w:rPr>
          <w:rFonts w:ascii="Times New Roman" w:eastAsia="方正大标宋简体" w:hAnsi="Times New Roman" w:cs="Times New Roman"/>
          <w:sz w:val="42"/>
          <w:szCs w:val="42"/>
        </w:rPr>
        <w:t>附件</w:t>
      </w:r>
      <w:r w:rsidRPr="00E864CC">
        <w:rPr>
          <w:rFonts w:ascii="Times New Roman" w:eastAsia="方正大标宋简体" w:hAnsi="Times New Roman" w:cs="Times New Roman" w:hint="eastAsia"/>
          <w:sz w:val="42"/>
          <w:szCs w:val="42"/>
        </w:rPr>
        <w:t>1</w:t>
      </w:r>
      <w:r w:rsidRPr="00E864CC">
        <w:rPr>
          <w:rFonts w:ascii="Times New Roman" w:eastAsia="方正大标宋简体" w:hAnsi="Times New Roman" w:cs="Times New Roman"/>
          <w:sz w:val="42"/>
          <w:szCs w:val="42"/>
        </w:rPr>
        <w:t>9</w:t>
      </w:r>
    </w:p>
    <w:p w:rsidR="00E864CC" w:rsidRPr="00E864CC" w:rsidRDefault="00E864CC" w:rsidP="00E864CC"/>
    <w:p w:rsidR="00357A3E" w:rsidRPr="00E864CC" w:rsidRDefault="00357A3E" w:rsidP="00B85A82">
      <w:pPr>
        <w:spacing w:line="560" w:lineRule="exact"/>
        <w:jc w:val="center"/>
        <w:rPr>
          <w:rFonts w:ascii="Times New Roman" w:eastAsia="方正大标宋简体" w:hAnsi="Times New Roman" w:cs="Times New Roman"/>
          <w:sz w:val="42"/>
          <w:szCs w:val="42"/>
        </w:rPr>
      </w:pPr>
      <w:r w:rsidRPr="00E864CC">
        <w:rPr>
          <w:rFonts w:ascii="Times New Roman" w:eastAsia="方正大标宋简体" w:hAnsi="Times New Roman" w:cs="Times New Roman"/>
          <w:sz w:val="42"/>
          <w:szCs w:val="42"/>
        </w:rPr>
        <w:t>上海期货交易所铅期货业务细则</w:t>
      </w:r>
    </w:p>
    <w:p w:rsidR="00E03FEB" w:rsidRPr="00E864CC" w:rsidRDefault="00E03FEB" w:rsidP="00E03FEB">
      <w:pPr>
        <w:jc w:val="center"/>
        <w:rPr>
          <w:rFonts w:ascii="Times New Roman" w:hAnsi="Times New Roman"/>
          <w:color w:val="FF0000"/>
          <w:szCs w:val="21"/>
        </w:rPr>
      </w:pPr>
      <w:r w:rsidRPr="00E864CC">
        <w:rPr>
          <w:rFonts w:ascii="Times New Roman" w:eastAsia="方正大标宋简体" w:hAnsi="Times New Roman" w:hint="eastAsia"/>
          <w:color w:val="FF0000"/>
          <w:sz w:val="42"/>
          <w:szCs w:val="42"/>
        </w:rPr>
        <w:t>（公开征求意见版本）</w:t>
      </w:r>
    </w:p>
    <w:p w:rsidR="00357A3E" w:rsidRPr="00E864CC" w:rsidRDefault="00080851" w:rsidP="00E864CC">
      <w:r>
        <w:rPr>
          <w:rFonts w:hint="eastAsia"/>
        </w:rPr>
        <w:t xml:space="preserve"> </w:t>
      </w:r>
    </w:p>
    <w:p w:rsidR="00357A3E" w:rsidRPr="00357A3E" w:rsidRDefault="00357A3E" w:rsidP="00E864CC">
      <w:pPr>
        <w:spacing w:line="560" w:lineRule="exact"/>
        <w:jc w:val="center"/>
        <w:rPr>
          <w:rFonts w:ascii="Times New Roman" w:eastAsia="黑体" w:hAnsi="Times New Roman" w:cs="Times New Roman"/>
          <w:sz w:val="30"/>
          <w:szCs w:val="30"/>
        </w:rPr>
      </w:pPr>
      <w:r w:rsidRPr="00357A3E">
        <w:rPr>
          <w:rFonts w:ascii="Times New Roman" w:eastAsia="黑体" w:hAnsi="Times New Roman" w:cs="Times New Roman"/>
          <w:sz w:val="30"/>
          <w:szCs w:val="30"/>
        </w:rPr>
        <w:t>第一章</w:t>
      </w:r>
      <w:r w:rsidR="00080851">
        <w:rPr>
          <w:rFonts w:ascii="Times New Roman" w:eastAsia="黑体" w:hAnsi="Times New Roman" w:cs="Times New Roman" w:hint="eastAsia"/>
          <w:sz w:val="30"/>
          <w:szCs w:val="30"/>
        </w:rPr>
        <w:t xml:space="preserve"> </w:t>
      </w:r>
      <w:r w:rsidRPr="00357A3E">
        <w:rPr>
          <w:rFonts w:ascii="Times New Roman" w:eastAsia="黑体" w:hAnsi="Times New Roman" w:cs="Times New Roman"/>
          <w:sz w:val="30"/>
          <w:szCs w:val="30"/>
        </w:rPr>
        <w:t>总</w:t>
      </w:r>
      <w:r w:rsidR="00E864CC">
        <w:rPr>
          <w:rFonts w:ascii="Times New Roman" w:eastAsia="黑体" w:hAnsi="Times New Roman" w:cs="Times New Roman" w:hint="eastAsia"/>
          <w:sz w:val="30"/>
          <w:szCs w:val="30"/>
        </w:rPr>
        <w:t xml:space="preserve"> </w:t>
      </w:r>
      <w:r w:rsidRPr="00357A3E">
        <w:rPr>
          <w:rFonts w:ascii="Times New Roman" w:eastAsia="黑体" w:hAnsi="Times New Roman" w:cs="Times New Roman"/>
          <w:sz w:val="30"/>
          <w:szCs w:val="30"/>
        </w:rPr>
        <w:t>则</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第一条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为了规范上海期货交易所（以下简称交易所）铅期货</w:t>
      </w:r>
      <w:r w:rsidR="0091568F" w:rsidRPr="00080851">
        <w:rPr>
          <w:rFonts w:ascii="Times New Roman" w:eastAsia="方正仿宋简体" w:hAnsi="Times New Roman" w:cs="Times New Roman"/>
          <w:sz w:val="30"/>
          <w:szCs w:val="30"/>
        </w:rPr>
        <w:t>相关业务</w:t>
      </w:r>
      <w:r w:rsidRPr="00080851">
        <w:rPr>
          <w:rFonts w:ascii="Times New Roman" w:eastAsia="方正仿宋简体" w:hAnsi="Times New Roman" w:cs="Times New Roman"/>
          <w:sz w:val="30"/>
          <w:szCs w:val="30"/>
        </w:rPr>
        <w:t>，根据《上海期货交易所交易规则》《上海期货交易所铅期货合约》以及相关</w:t>
      </w:r>
      <w:r w:rsidR="0091568F" w:rsidRPr="00080851">
        <w:rPr>
          <w:rFonts w:ascii="Times New Roman" w:eastAsia="方正仿宋简体" w:hAnsi="Times New Roman" w:cs="Times New Roman"/>
          <w:sz w:val="30"/>
          <w:szCs w:val="30"/>
        </w:rPr>
        <w:t>业务规则</w:t>
      </w:r>
      <w:r w:rsidRPr="00080851">
        <w:rPr>
          <w:rFonts w:ascii="Times New Roman" w:eastAsia="方正仿宋简体" w:hAnsi="Times New Roman" w:cs="Times New Roman"/>
          <w:sz w:val="30"/>
          <w:szCs w:val="30"/>
        </w:rPr>
        <w:t>，制定本细则。</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第二条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交易所、会员、客户、交割库、指定检验机构、期货保证金存管机构以及期货市场其他参与者应当遵守本细则。</w:t>
      </w:r>
    </w:p>
    <w:p w:rsidR="00357A3E" w:rsidRPr="00080851" w:rsidRDefault="00357A3E" w:rsidP="00080851">
      <w:pPr>
        <w:spacing w:line="560" w:lineRule="exact"/>
        <w:jc w:val="center"/>
        <w:rPr>
          <w:rFonts w:ascii="黑体" w:eastAsia="黑体" w:hAnsi="黑体" w:cs="Times New Roman"/>
          <w:sz w:val="30"/>
          <w:szCs w:val="30"/>
        </w:rPr>
      </w:pPr>
      <w:r w:rsidRPr="00080851">
        <w:rPr>
          <w:rFonts w:ascii="黑体" w:eastAsia="黑体" w:hAnsi="黑体" w:cs="Times New Roman"/>
          <w:sz w:val="30"/>
          <w:szCs w:val="30"/>
        </w:rPr>
        <w:t>第二章</w:t>
      </w:r>
      <w:r w:rsidR="007759B6" w:rsidRPr="00080851">
        <w:rPr>
          <w:rFonts w:ascii="黑体" w:eastAsia="黑体" w:hAnsi="黑体" w:cs="Times New Roman"/>
          <w:sz w:val="30"/>
          <w:szCs w:val="30"/>
        </w:rPr>
        <w:t xml:space="preserve"> </w:t>
      </w:r>
      <w:r w:rsidRPr="00080851">
        <w:rPr>
          <w:rFonts w:ascii="黑体" w:eastAsia="黑体" w:hAnsi="黑体" w:cs="Times New Roman"/>
          <w:sz w:val="30"/>
          <w:szCs w:val="30"/>
        </w:rPr>
        <w:t>交易业务</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第三条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铅期货合约的交易单位为</w:t>
      </w:r>
      <w:r w:rsidRPr="00080851">
        <w:rPr>
          <w:rFonts w:ascii="Times New Roman" w:eastAsia="方正仿宋简体" w:hAnsi="Times New Roman" w:cs="Times New Roman"/>
          <w:sz w:val="30"/>
          <w:szCs w:val="30"/>
        </w:rPr>
        <w:t>5</w:t>
      </w:r>
      <w:r w:rsidRPr="00080851">
        <w:rPr>
          <w:rFonts w:ascii="Times New Roman" w:eastAsia="方正仿宋简体" w:hAnsi="Times New Roman" w:cs="Times New Roman"/>
          <w:sz w:val="30"/>
          <w:szCs w:val="30"/>
        </w:rPr>
        <w:t>吨</w:t>
      </w:r>
      <w:r w:rsidRPr="00080851">
        <w:rPr>
          <w:rFonts w:ascii="Times New Roman" w:eastAsia="方正仿宋简体" w:hAnsi="Times New Roman" w:cs="Times New Roman"/>
          <w:sz w:val="30"/>
          <w:szCs w:val="30"/>
        </w:rPr>
        <w:t>/</w:t>
      </w:r>
      <w:r w:rsidRPr="00080851">
        <w:rPr>
          <w:rFonts w:ascii="Times New Roman" w:eastAsia="方正仿宋简体" w:hAnsi="Times New Roman" w:cs="Times New Roman"/>
          <w:sz w:val="30"/>
          <w:szCs w:val="30"/>
        </w:rPr>
        <w:t>手。</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第四条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铅期货合约的报价单位为元（人民币）</w:t>
      </w:r>
      <w:r w:rsidRPr="00080851">
        <w:rPr>
          <w:rFonts w:ascii="Times New Roman" w:eastAsia="方正仿宋简体" w:hAnsi="Times New Roman" w:cs="Times New Roman"/>
          <w:sz w:val="30"/>
          <w:szCs w:val="30"/>
        </w:rPr>
        <w:t>/</w:t>
      </w:r>
      <w:r w:rsidRPr="00080851">
        <w:rPr>
          <w:rFonts w:ascii="Times New Roman" w:eastAsia="方正仿宋简体" w:hAnsi="Times New Roman" w:cs="Times New Roman"/>
          <w:sz w:val="30"/>
          <w:szCs w:val="30"/>
        </w:rPr>
        <w:t>吨。</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第五条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铅期货合约的最小变动价位为</w:t>
      </w:r>
      <w:r w:rsidRPr="00080851">
        <w:rPr>
          <w:rFonts w:ascii="Times New Roman" w:eastAsia="方正仿宋简体" w:hAnsi="Times New Roman" w:cs="Times New Roman"/>
          <w:sz w:val="30"/>
          <w:szCs w:val="30"/>
        </w:rPr>
        <w:t>5</w:t>
      </w:r>
      <w:r w:rsidRPr="00080851">
        <w:rPr>
          <w:rFonts w:ascii="Times New Roman" w:eastAsia="方正仿宋简体" w:hAnsi="Times New Roman" w:cs="Times New Roman"/>
          <w:sz w:val="30"/>
          <w:szCs w:val="30"/>
        </w:rPr>
        <w:t>元</w:t>
      </w:r>
      <w:r w:rsidRPr="00080851">
        <w:rPr>
          <w:rFonts w:ascii="Times New Roman" w:eastAsia="方正仿宋简体" w:hAnsi="Times New Roman" w:cs="Times New Roman"/>
          <w:sz w:val="30"/>
          <w:szCs w:val="30"/>
        </w:rPr>
        <w:t>/</w:t>
      </w:r>
      <w:r w:rsidRPr="00080851">
        <w:rPr>
          <w:rFonts w:ascii="Times New Roman" w:eastAsia="方正仿宋简体" w:hAnsi="Times New Roman" w:cs="Times New Roman"/>
          <w:sz w:val="30"/>
          <w:szCs w:val="30"/>
        </w:rPr>
        <w:t>吨。</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第六条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铅期货合约月份为</w:t>
      </w:r>
      <w:r w:rsidRPr="00080851">
        <w:rPr>
          <w:rFonts w:ascii="Times New Roman" w:eastAsia="方正仿宋简体" w:hAnsi="Times New Roman" w:cs="Times New Roman"/>
          <w:sz w:val="30"/>
          <w:szCs w:val="30"/>
        </w:rPr>
        <w:t>1~12</w:t>
      </w:r>
      <w:r w:rsidRPr="00080851">
        <w:rPr>
          <w:rFonts w:ascii="Times New Roman" w:eastAsia="方正仿宋简体" w:hAnsi="Times New Roman" w:cs="Times New Roman"/>
          <w:sz w:val="30"/>
          <w:szCs w:val="30"/>
        </w:rPr>
        <w:t>月。</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第七条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铅期货合约的交易时间为上午</w:t>
      </w:r>
      <w:r w:rsidRPr="00080851">
        <w:rPr>
          <w:rFonts w:ascii="Times New Roman" w:eastAsia="方正仿宋简体" w:hAnsi="Times New Roman" w:cs="Times New Roman"/>
          <w:sz w:val="30"/>
          <w:szCs w:val="30"/>
        </w:rPr>
        <w:t>9:00</w:t>
      </w:r>
      <w:r w:rsidR="00237ED7" w:rsidRPr="00080851">
        <w:rPr>
          <w:rFonts w:ascii="Times New Roman" w:eastAsia="方正仿宋简体" w:hAnsi="Times New Roman" w:cs="Times New Roman"/>
          <w:sz w:val="30"/>
          <w:szCs w:val="30"/>
        </w:rPr>
        <w:t>~</w:t>
      </w:r>
      <w:r w:rsidRPr="00080851">
        <w:rPr>
          <w:rFonts w:ascii="Times New Roman" w:eastAsia="方正仿宋简体" w:hAnsi="Times New Roman" w:cs="Times New Roman"/>
          <w:sz w:val="30"/>
          <w:szCs w:val="30"/>
        </w:rPr>
        <w:t xml:space="preserve">11:30 </w:t>
      </w:r>
      <w:r w:rsidRPr="00080851">
        <w:rPr>
          <w:rFonts w:ascii="Times New Roman" w:eastAsia="方正仿宋简体" w:hAnsi="Times New Roman" w:cs="Times New Roman"/>
          <w:sz w:val="30"/>
          <w:szCs w:val="30"/>
        </w:rPr>
        <w:t>，下午</w:t>
      </w:r>
      <w:r w:rsidRPr="00080851">
        <w:rPr>
          <w:rFonts w:ascii="Times New Roman" w:eastAsia="方正仿宋简体" w:hAnsi="Times New Roman" w:cs="Times New Roman"/>
          <w:sz w:val="30"/>
          <w:szCs w:val="30"/>
        </w:rPr>
        <w:t>1:30</w:t>
      </w:r>
      <w:r w:rsidR="00237ED7" w:rsidRPr="00080851">
        <w:rPr>
          <w:rFonts w:ascii="Times New Roman" w:eastAsia="方正仿宋简体" w:hAnsi="Times New Roman" w:cs="Times New Roman"/>
          <w:sz w:val="30"/>
          <w:szCs w:val="30"/>
        </w:rPr>
        <w:t>~</w:t>
      </w:r>
      <w:r w:rsidRPr="00080851">
        <w:rPr>
          <w:rFonts w:ascii="Times New Roman" w:eastAsia="方正仿宋简体" w:hAnsi="Times New Roman" w:cs="Times New Roman"/>
          <w:sz w:val="30"/>
          <w:szCs w:val="30"/>
        </w:rPr>
        <w:t>3:00</w:t>
      </w:r>
      <w:r w:rsidRPr="00080851">
        <w:rPr>
          <w:rFonts w:ascii="Times New Roman" w:eastAsia="方正仿宋简体" w:hAnsi="Times New Roman" w:cs="Times New Roman"/>
          <w:sz w:val="30"/>
          <w:szCs w:val="30"/>
        </w:rPr>
        <w:t>和交易所规定的其他交易时间。</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第八条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铅期货合约的最后交易日为合约月份的</w:t>
      </w:r>
      <w:r w:rsidRPr="00080851">
        <w:rPr>
          <w:rFonts w:ascii="Times New Roman" w:eastAsia="方正仿宋简体" w:hAnsi="Times New Roman" w:cs="Times New Roman"/>
          <w:sz w:val="30"/>
          <w:szCs w:val="30"/>
        </w:rPr>
        <w:t>15</w:t>
      </w:r>
      <w:r w:rsidRPr="00080851">
        <w:rPr>
          <w:rFonts w:ascii="Times New Roman" w:eastAsia="方正仿宋简体" w:hAnsi="Times New Roman" w:cs="Times New Roman"/>
          <w:sz w:val="30"/>
          <w:szCs w:val="30"/>
        </w:rPr>
        <w:t>日，遇国家法定节假日顺延，春节月份等最后交易日交易所可另行调整并通知。</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第九条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铅期货合约的交易代码为</w:t>
      </w:r>
      <w:r w:rsidR="00AC16CD" w:rsidRPr="00080851">
        <w:rPr>
          <w:rFonts w:ascii="Times New Roman" w:eastAsia="方正仿宋简体" w:hAnsi="Times New Roman" w:cs="Times New Roman"/>
          <w:sz w:val="30"/>
          <w:szCs w:val="30"/>
        </w:rPr>
        <w:t>PB</w:t>
      </w:r>
      <w:r w:rsidRPr="00080851">
        <w:rPr>
          <w:rFonts w:ascii="Times New Roman" w:eastAsia="方正仿宋简体" w:hAnsi="Times New Roman" w:cs="Times New Roman"/>
          <w:sz w:val="30"/>
          <w:szCs w:val="30"/>
        </w:rPr>
        <w:t>。</w:t>
      </w:r>
    </w:p>
    <w:p w:rsidR="00357A3E" w:rsidRPr="00080851" w:rsidRDefault="00357A3E" w:rsidP="00B85A82">
      <w:pPr>
        <w:spacing w:line="560" w:lineRule="exact"/>
        <w:ind w:firstLineChars="200" w:firstLine="602"/>
        <w:rPr>
          <w:rFonts w:ascii="Times New Roman" w:eastAsia="方正仿宋简体" w:hAnsi="Times New Roman" w:cs="Times New Roman"/>
          <w:b/>
          <w:color w:val="FF0000"/>
          <w:sz w:val="30"/>
          <w:szCs w:val="30"/>
        </w:rPr>
      </w:pPr>
      <w:r w:rsidRPr="00080851">
        <w:rPr>
          <w:rFonts w:ascii="Times New Roman" w:eastAsia="方正仿宋简体" w:hAnsi="Times New Roman" w:cs="Times New Roman"/>
          <w:b/>
          <w:sz w:val="30"/>
          <w:szCs w:val="30"/>
        </w:rPr>
        <w:t>第十条</w:t>
      </w:r>
      <w:r w:rsidR="007759B6" w:rsidRPr="00080851">
        <w:rPr>
          <w:rFonts w:ascii="Times New Roman" w:eastAsia="方正仿宋简体" w:hAnsi="Times New Roman" w:cs="Times New Roman"/>
          <w:b/>
          <w:sz w:val="30"/>
          <w:szCs w:val="30"/>
        </w:rPr>
        <w:t xml:space="preserve"> </w:t>
      </w:r>
      <w:r w:rsidR="00195D94" w:rsidRPr="00080851">
        <w:rPr>
          <w:rFonts w:ascii="Times New Roman" w:eastAsia="方正仿宋简体" w:hAnsi="Times New Roman" w:cs="Times New Roman"/>
          <w:sz w:val="30"/>
          <w:szCs w:val="30"/>
        </w:rPr>
        <w:t>铅期货套期保值交易头寸和套利交易头寸，所涉</w:t>
      </w:r>
      <w:r w:rsidR="0091568F" w:rsidRPr="00080851">
        <w:rPr>
          <w:rFonts w:ascii="Times New Roman" w:eastAsia="方正仿宋简体" w:hAnsi="Times New Roman" w:cs="Times New Roman"/>
          <w:sz w:val="30"/>
          <w:szCs w:val="30"/>
        </w:rPr>
        <w:t>的</w:t>
      </w:r>
      <w:r w:rsidR="00195D94" w:rsidRPr="00080851">
        <w:rPr>
          <w:rFonts w:ascii="Times New Roman" w:eastAsia="方正仿宋简体" w:hAnsi="Times New Roman" w:cs="Times New Roman"/>
          <w:sz w:val="30"/>
          <w:szCs w:val="30"/>
        </w:rPr>
        <w:t>一般月份是指合约挂牌至交割月前第二月的最后一个交易日，所涉</w:t>
      </w:r>
      <w:r w:rsidR="0091568F" w:rsidRPr="00080851">
        <w:rPr>
          <w:rFonts w:ascii="Times New Roman" w:eastAsia="方正仿宋简体" w:hAnsi="Times New Roman" w:cs="Times New Roman"/>
          <w:sz w:val="30"/>
          <w:szCs w:val="30"/>
        </w:rPr>
        <w:t>的</w:t>
      </w:r>
      <w:r w:rsidRPr="00080851">
        <w:rPr>
          <w:rFonts w:ascii="Times New Roman" w:eastAsia="方正仿宋简体" w:hAnsi="Times New Roman" w:cs="Times New Roman"/>
          <w:sz w:val="30"/>
          <w:szCs w:val="30"/>
        </w:rPr>
        <w:t>临近交割月份是指交割月前第一月和交割月份。</w:t>
      </w:r>
      <w:r w:rsidR="00982446" w:rsidRPr="00080851">
        <w:rPr>
          <w:rFonts w:ascii="Times New Roman" w:eastAsia="方正仿宋简体" w:hAnsi="Times New Roman" w:cs="Times New Roman"/>
          <w:sz w:val="30"/>
          <w:szCs w:val="30"/>
        </w:rPr>
        <w:t xml:space="preserve">  </w:t>
      </w:r>
    </w:p>
    <w:p w:rsidR="00822030"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lastRenderedPageBreak/>
        <w:t>第十一条</w:t>
      </w:r>
      <w:r w:rsidR="007759B6" w:rsidRPr="00080851">
        <w:rPr>
          <w:rFonts w:ascii="Times New Roman" w:eastAsia="方正仿宋简体" w:hAnsi="Times New Roman" w:cs="Times New Roman"/>
          <w:b/>
          <w:sz w:val="30"/>
          <w:szCs w:val="30"/>
        </w:rPr>
        <w:t xml:space="preserve"> </w:t>
      </w:r>
      <w:r w:rsidR="00FF6F38" w:rsidRPr="00080851">
        <w:rPr>
          <w:rFonts w:ascii="Times New Roman" w:eastAsia="方正仿宋简体" w:hAnsi="Times New Roman" w:cs="Times New Roman"/>
          <w:sz w:val="30"/>
          <w:szCs w:val="30"/>
        </w:rPr>
        <w:t>铅期货</w:t>
      </w:r>
      <w:r w:rsidRPr="00080851">
        <w:rPr>
          <w:rFonts w:ascii="Times New Roman" w:eastAsia="方正仿宋简体" w:hAnsi="Times New Roman" w:cs="Times New Roman"/>
          <w:sz w:val="30"/>
          <w:szCs w:val="30"/>
        </w:rPr>
        <w:t>一般月份套期保值</w:t>
      </w:r>
      <w:r w:rsidR="007759B6" w:rsidRPr="00080851">
        <w:rPr>
          <w:rFonts w:ascii="Times New Roman" w:eastAsia="方正仿宋简体" w:hAnsi="Times New Roman" w:cs="Times New Roman"/>
          <w:sz w:val="30"/>
          <w:szCs w:val="30"/>
        </w:rPr>
        <w:t>交易</w:t>
      </w:r>
      <w:r w:rsidR="00195D94" w:rsidRPr="00080851">
        <w:rPr>
          <w:rFonts w:ascii="Times New Roman" w:eastAsia="方正仿宋简体" w:hAnsi="Times New Roman" w:cs="Times New Roman"/>
          <w:sz w:val="30"/>
          <w:szCs w:val="30"/>
        </w:rPr>
        <w:t>头寸的申请</w:t>
      </w:r>
      <w:r w:rsidRPr="00080851">
        <w:rPr>
          <w:rFonts w:ascii="Times New Roman" w:eastAsia="方正仿宋简体" w:hAnsi="Times New Roman" w:cs="Times New Roman"/>
          <w:sz w:val="30"/>
          <w:szCs w:val="30"/>
        </w:rPr>
        <w:t>应当在该套期保值所涉合约交割月前第二月的最后一个交易日之前提出，逾期交易所不再受理。</w:t>
      </w:r>
    </w:p>
    <w:p w:rsidR="00357A3E" w:rsidRPr="00080851" w:rsidRDefault="00FF6F38" w:rsidP="00822030">
      <w:pPr>
        <w:spacing w:line="560" w:lineRule="exact"/>
        <w:ind w:firstLineChars="200" w:firstLine="600"/>
        <w:rPr>
          <w:rFonts w:ascii="Times New Roman" w:eastAsia="方正仿宋简体" w:hAnsi="Times New Roman" w:cs="Times New Roman"/>
          <w:b/>
          <w:color w:val="FF0000"/>
          <w:sz w:val="30"/>
          <w:szCs w:val="30"/>
        </w:rPr>
      </w:pPr>
      <w:r w:rsidRPr="00080851">
        <w:rPr>
          <w:rFonts w:ascii="Times New Roman" w:eastAsia="方正仿宋简体" w:hAnsi="Times New Roman" w:cs="Times New Roman"/>
          <w:sz w:val="30"/>
          <w:szCs w:val="30"/>
        </w:rPr>
        <w:t>铅期货</w:t>
      </w:r>
      <w:r w:rsidR="00357A3E" w:rsidRPr="00080851">
        <w:rPr>
          <w:rFonts w:ascii="Times New Roman" w:eastAsia="方正仿宋简体" w:hAnsi="Times New Roman" w:cs="Times New Roman"/>
          <w:sz w:val="30"/>
          <w:szCs w:val="30"/>
        </w:rPr>
        <w:t>临近交割月份套期保值交易头寸的申请应当在该套期保值所涉合约交割月前第三月的第一个交易日至交割月前第一月的最后一个交易日之间提出，逾期交易所不再受理</w:t>
      </w:r>
      <w:r w:rsidR="00822030" w:rsidRPr="00080851">
        <w:rPr>
          <w:rFonts w:ascii="Times New Roman" w:eastAsia="方正仿宋简体" w:hAnsi="Times New Roman" w:cs="Times New Roman"/>
          <w:sz w:val="30"/>
          <w:szCs w:val="30"/>
        </w:rPr>
        <w:t>；</w:t>
      </w:r>
      <w:r w:rsidR="00357A3E" w:rsidRPr="00080851">
        <w:rPr>
          <w:rFonts w:ascii="Times New Roman" w:eastAsia="方正仿宋简体" w:hAnsi="Times New Roman" w:cs="Times New Roman"/>
          <w:sz w:val="30"/>
          <w:szCs w:val="30"/>
        </w:rPr>
        <w:t>铅期货临近交割月份套利交易头寸的申请应当在该套利所涉合约交割月前第二月的第一个交易日至交割月前第一月的最后一个交易日之间提出，逾期交易所不再受理。</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第十二条</w:t>
      </w:r>
      <w:r w:rsidR="007759B6" w:rsidRPr="00080851">
        <w:rPr>
          <w:rFonts w:ascii="Times New Roman" w:eastAsia="方正仿宋简体" w:hAnsi="Times New Roman" w:cs="Times New Roman"/>
          <w:b/>
          <w:sz w:val="30"/>
          <w:szCs w:val="30"/>
        </w:rPr>
        <w:t xml:space="preserve"> </w:t>
      </w:r>
      <w:r w:rsidR="00FF6F38" w:rsidRPr="00080851">
        <w:rPr>
          <w:rFonts w:ascii="Times New Roman" w:eastAsia="方正仿宋简体" w:hAnsi="Times New Roman" w:cs="Times New Roman"/>
          <w:sz w:val="30"/>
          <w:szCs w:val="30"/>
        </w:rPr>
        <w:t>铅期货</w:t>
      </w:r>
      <w:r w:rsidRPr="00080851">
        <w:rPr>
          <w:rFonts w:ascii="Times New Roman" w:eastAsia="方正仿宋简体" w:hAnsi="Times New Roman" w:cs="Times New Roman"/>
          <w:sz w:val="30"/>
          <w:szCs w:val="30"/>
        </w:rPr>
        <w:t>套期保值交易头寸自交割月份第一交易日起不得重复使用。</w:t>
      </w:r>
    </w:p>
    <w:p w:rsidR="00357A3E" w:rsidRPr="00080851" w:rsidRDefault="00357A3E" w:rsidP="00080851">
      <w:pPr>
        <w:spacing w:line="560" w:lineRule="exact"/>
        <w:jc w:val="center"/>
        <w:rPr>
          <w:rFonts w:ascii="黑体" w:eastAsia="黑体" w:hAnsi="黑体" w:cs="Times New Roman"/>
          <w:sz w:val="30"/>
          <w:szCs w:val="30"/>
        </w:rPr>
      </w:pPr>
      <w:r w:rsidRPr="00080851">
        <w:rPr>
          <w:rFonts w:ascii="黑体" w:eastAsia="黑体" w:hAnsi="黑体" w:cs="Times New Roman"/>
          <w:sz w:val="30"/>
          <w:szCs w:val="30"/>
        </w:rPr>
        <w:t>第三章</w:t>
      </w:r>
      <w:r w:rsidR="007759B6" w:rsidRPr="00080851">
        <w:rPr>
          <w:rFonts w:ascii="黑体" w:eastAsia="黑体" w:hAnsi="黑体" w:cs="Times New Roman"/>
          <w:sz w:val="30"/>
          <w:szCs w:val="30"/>
        </w:rPr>
        <w:t xml:space="preserve"> </w:t>
      </w:r>
      <w:r w:rsidRPr="00080851">
        <w:rPr>
          <w:rFonts w:ascii="黑体" w:eastAsia="黑体" w:hAnsi="黑体" w:cs="Times New Roman"/>
          <w:sz w:val="30"/>
          <w:szCs w:val="30"/>
        </w:rPr>
        <w:t>交割业务</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第十三条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铅期货适用期货转现货、仓库交割。</w:t>
      </w:r>
    </w:p>
    <w:p w:rsidR="00A34DD9" w:rsidRPr="00080851" w:rsidRDefault="00A34DD9" w:rsidP="00B85A82">
      <w:pPr>
        <w:spacing w:line="560" w:lineRule="exact"/>
        <w:ind w:firstLineChars="200" w:firstLine="600"/>
        <w:rPr>
          <w:rFonts w:ascii="Times New Roman" w:eastAsia="方正仿宋简体" w:hAnsi="Times New Roman" w:cs="Times New Roman"/>
          <w:sz w:val="30"/>
          <w:szCs w:val="30"/>
        </w:rPr>
      </w:pPr>
      <w:r w:rsidRPr="00080851">
        <w:rPr>
          <w:rFonts w:ascii="Times New Roman" w:eastAsia="方正仿宋简体" w:hAnsi="Times New Roman" w:cs="Times New Roman"/>
          <w:sz w:val="30"/>
          <w:szCs w:val="30"/>
        </w:rPr>
        <w:t>铅</w:t>
      </w:r>
      <w:r w:rsidR="00AA78A1" w:rsidRPr="00080851">
        <w:rPr>
          <w:rFonts w:ascii="Times New Roman" w:eastAsia="方正仿宋简体" w:hAnsi="Times New Roman" w:cs="Times New Roman"/>
          <w:sz w:val="30"/>
          <w:szCs w:val="30"/>
        </w:rPr>
        <w:t>期货</w:t>
      </w:r>
      <w:r w:rsidR="00195D94" w:rsidRPr="00080851">
        <w:rPr>
          <w:rFonts w:ascii="Times New Roman" w:eastAsia="方正仿宋简体" w:hAnsi="Times New Roman" w:cs="Times New Roman"/>
          <w:sz w:val="30"/>
          <w:szCs w:val="30"/>
        </w:rPr>
        <w:t>实行</w:t>
      </w:r>
      <w:r w:rsidRPr="00080851">
        <w:rPr>
          <w:rFonts w:ascii="Times New Roman" w:eastAsia="方正仿宋简体" w:hAnsi="Times New Roman" w:cs="Times New Roman"/>
          <w:sz w:val="30"/>
          <w:szCs w:val="30"/>
        </w:rPr>
        <w:t>完税交割。</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第十四条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铅期货交割品级详见《上海期货交易所铅期货合约》。</w:t>
      </w:r>
    </w:p>
    <w:p w:rsidR="00357A3E" w:rsidRPr="00080851" w:rsidRDefault="00357A3E" w:rsidP="00B85A82">
      <w:pPr>
        <w:spacing w:line="560" w:lineRule="exact"/>
        <w:ind w:firstLineChars="200" w:firstLine="602"/>
        <w:rPr>
          <w:rFonts w:ascii="Times New Roman" w:eastAsia="方正仿宋简体" w:hAnsi="Times New Roman" w:cs="Times New Roman"/>
          <w:b/>
          <w:color w:val="FF0000"/>
          <w:sz w:val="30"/>
          <w:szCs w:val="30"/>
        </w:rPr>
      </w:pPr>
      <w:r w:rsidRPr="00080851">
        <w:rPr>
          <w:rFonts w:ascii="Times New Roman" w:eastAsia="方正仿宋简体" w:hAnsi="Times New Roman" w:cs="Times New Roman"/>
          <w:b/>
          <w:sz w:val="30"/>
          <w:szCs w:val="30"/>
        </w:rPr>
        <w:t>第十五条</w:t>
      </w:r>
      <w:r w:rsidR="007759B6" w:rsidRPr="00080851">
        <w:rPr>
          <w:rFonts w:ascii="Times New Roman" w:eastAsia="方正仿宋简体" w:hAnsi="Times New Roman" w:cs="Times New Roman"/>
          <w:b/>
          <w:sz w:val="30"/>
          <w:szCs w:val="30"/>
        </w:rPr>
        <w:t xml:space="preserve"> </w:t>
      </w:r>
      <w:r w:rsidR="007759B6" w:rsidRPr="00080851">
        <w:rPr>
          <w:rFonts w:ascii="Times New Roman" w:eastAsia="方正仿宋简体" w:hAnsi="Times New Roman" w:cs="Times New Roman"/>
          <w:sz w:val="30"/>
          <w:szCs w:val="30"/>
        </w:rPr>
        <w:t>铅期货</w:t>
      </w:r>
      <w:r w:rsidRPr="00080851">
        <w:rPr>
          <w:rFonts w:ascii="Times New Roman" w:eastAsia="方正仿宋简体" w:hAnsi="Times New Roman" w:cs="Times New Roman"/>
          <w:sz w:val="30"/>
          <w:szCs w:val="30"/>
        </w:rPr>
        <w:t>交割商品应当是交易所注册的生产企业生产的注册商标的商品。</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第十</w:t>
      </w:r>
      <w:r w:rsidR="004044F7" w:rsidRPr="00080851">
        <w:rPr>
          <w:rFonts w:ascii="Times New Roman" w:eastAsia="方正仿宋简体" w:hAnsi="Times New Roman" w:cs="Times New Roman"/>
          <w:b/>
          <w:sz w:val="30"/>
          <w:szCs w:val="30"/>
        </w:rPr>
        <w:t>六</w:t>
      </w:r>
      <w:r w:rsidRPr="00080851">
        <w:rPr>
          <w:rFonts w:ascii="Times New Roman" w:eastAsia="方正仿宋简体" w:hAnsi="Times New Roman" w:cs="Times New Roman"/>
          <w:b/>
          <w:sz w:val="30"/>
          <w:szCs w:val="30"/>
        </w:rPr>
        <w:t>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交割商品的包装</w:t>
      </w:r>
    </w:p>
    <w:p w:rsidR="00357A3E" w:rsidRPr="00080851" w:rsidRDefault="00357A3E" w:rsidP="00B85A82">
      <w:pPr>
        <w:spacing w:line="560" w:lineRule="exact"/>
        <w:ind w:firstLineChars="200" w:firstLine="600"/>
        <w:rPr>
          <w:rFonts w:ascii="Times New Roman" w:eastAsia="方正仿宋简体" w:hAnsi="Times New Roman" w:cs="Times New Roman"/>
          <w:sz w:val="30"/>
          <w:szCs w:val="30"/>
        </w:rPr>
      </w:pPr>
      <w:r w:rsidRPr="00080851">
        <w:rPr>
          <w:rFonts w:ascii="Times New Roman" w:eastAsia="方正仿宋简体" w:hAnsi="Times New Roman" w:cs="Times New Roman"/>
          <w:sz w:val="30"/>
          <w:szCs w:val="30"/>
        </w:rPr>
        <w:t>（一）每一交割单位的铅锭必须是同一生产企业生产、同一注册商标、同一质量品级、同一块形、同一包装数量（</w:t>
      </w:r>
      <w:proofErr w:type="gramStart"/>
      <w:r w:rsidRPr="00080851">
        <w:rPr>
          <w:rFonts w:ascii="Times New Roman" w:eastAsia="方正仿宋简体" w:hAnsi="Times New Roman" w:cs="Times New Roman"/>
          <w:sz w:val="30"/>
          <w:szCs w:val="30"/>
        </w:rPr>
        <w:t>捆重近似</w:t>
      </w:r>
      <w:proofErr w:type="gramEnd"/>
      <w:r w:rsidRPr="00080851">
        <w:rPr>
          <w:rFonts w:ascii="Times New Roman" w:eastAsia="方正仿宋简体" w:hAnsi="Times New Roman" w:cs="Times New Roman"/>
          <w:sz w:val="30"/>
          <w:szCs w:val="30"/>
        </w:rPr>
        <w:t>）的商品组成。注册生产企业自行选定注册产品捆重，但要</w:t>
      </w:r>
      <w:proofErr w:type="gramStart"/>
      <w:r w:rsidRPr="00080851">
        <w:rPr>
          <w:rFonts w:ascii="Times New Roman" w:eastAsia="方正仿宋简体" w:hAnsi="Times New Roman" w:cs="Times New Roman"/>
          <w:sz w:val="30"/>
          <w:szCs w:val="30"/>
        </w:rPr>
        <w:t>利于组手</w:t>
      </w:r>
      <w:proofErr w:type="gramEnd"/>
      <w:r w:rsidRPr="00080851">
        <w:rPr>
          <w:rFonts w:ascii="Times New Roman" w:eastAsia="方正仿宋简体" w:hAnsi="Times New Roman" w:cs="Times New Roman"/>
          <w:sz w:val="30"/>
          <w:szCs w:val="30"/>
        </w:rPr>
        <w:t>，每捆包装应用相应强度且不易锈蚀的包装带捆扎包装，具体要求由交易所另行公告。捆扎应当坚固，同时标有醒目的、不易</w:t>
      </w:r>
      <w:r w:rsidRPr="00080851">
        <w:rPr>
          <w:rFonts w:ascii="Times New Roman" w:eastAsia="方正仿宋简体" w:hAnsi="Times New Roman" w:cs="Times New Roman"/>
          <w:sz w:val="30"/>
          <w:szCs w:val="30"/>
        </w:rPr>
        <w:lastRenderedPageBreak/>
        <w:t>脱落的产品标识，注明生产厂名称、产品名称、牌号、批号、净重和生产日期。</w:t>
      </w:r>
    </w:p>
    <w:p w:rsidR="00357A3E" w:rsidRPr="00080851" w:rsidRDefault="00357A3E" w:rsidP="00B85A82">
      <w:pPr>
        <w:spacing w:line="560" w:lineRule="exact"/>
        <w:ind w:firstLineChars="200" w:firstLine="600"/>
        <w:rPr>
          <w:rFonts w:ascii="Times New Roman" w:eastAsia="方正仿宋简体" w:hAnsi="Times New Roman" w:cs="Times New Roman"/>
          <w:sz w:val="30"/>
          <w:szCs w:val="30"/>
        </w:rPr>
      </w:pPr>
      <w:r w:rsidRPr="00080851">
        <w:rPr>
          <w:rFonts w:ascii="Times New Roman" w:eastAsia="方正仿宋简体" w:hAnsi="Times New Roman" w:cs="Times New Roman"/>
          <w:sz w:val="30"/>
          <w:szCs w:val="30"/>
        </w:rPr>
        <w:t>（二）到</w:t>
      </w:r>
      <w:proofErr w:type="gramStart"/>
      <w:r w:rsidRPr="00080851">
        <w:rPr>
          <w:rFonts w:ascii="Times New Roman" w:eastAsia="方正仿宋简体" w:hAnsi="Times New Roman" w:cs="Times New Roman"/>
          <w:sz w:val="30"/>
          <w:szCs w:val="30"/>
        </w:rPr>
        <w:t>库商品</w:t>
      </w:r>
      <w:proofErr w:type="gramEnd"/>
      <w:r w:rsidRPr="00080851">
        <w:rPr>
          <w:rFonts w:ascii="Times New Roman" w:eastAsia="方正仿宋简体" w:hAnsi="Times New Roman" w:cs="Times New Roman"/>
          <w:sz w:val="30"/>
          <w:szCs w:val="30"/>
        </w:rPr>
        <w:t>中，遇有包装带断裂的</w:t>
      </w:r>
      <w:proofErr w:type="gramStart"/>
      <w:r w:rsidRPr="00080851">
        <w:rPr>
          <w:rFonts w:ascii="Times New Roman" w:eastAsia="方正仿宋简体" w:hAnsi="Times New Roman" w:cs="Times New Roman"/>
          <w:sz w:val="30"/>
          <w:szCs w:val="30"/>
        </w:rPr>
        <w:t>捆件及散块</w:t>
      </w:r>
      <w:proofErr w:type="gramEnd"/>
      <w:r w:rsidRPr="00080851">
        <w:rPr>
          <w:rFonts w:ascii="Times New Roman" w:eastAsia="方正仿宋简体" w:hAnsi="Times New Roman" w:cs="Times New Roman"/>
          <w:sz w:val="30"/>
          <w:szCs w:val="30"/>
        </w:rPr>
        <w:t>商品，应当重新组合，用规定的包装带捆扎紧固，方可用于交割。包装费用由货主承担。</w:t>
      </w:r>
    </w:p>
    <w:p w:rsidR="00357A3E" w:rsidRPr="00080851" w:rsidRDefault="00357A3E" w:rsidP="00B85A82">
      <w:pPr>
        <w:spacing w:line="560" w:lineRule="exact"/>
        <w:ind w:firstLineChars="200" w:firstLine="600"/>
        <w:rPr>
          <w:rFonts w:ascii="Times New Roman" w:eastAsia="方正仿宋简体" w:hAnsi="Times New Roman" w:cs="Times New Roman"/>
          <w:sz w:val="30"/>
          <w:szCs w:val="30"/>
        </w:rPr>
      </w:pPr>
      <w:r w:rsidRPr="00080851">
        <w:rPr>
          <w:rFonts w:ascii="Times New Roman" w:eastAsia="方正仿宋简体" w:hAnsi="Times New Roman" w:cs="Times New Roman"/>
          <w:sz w:val="30"/>
          <w:szCs w:val="30"/>
        </w:rPr>
        <w:t>（三）国产铅的每锭重量可为</w:t>
      </w:r>
      <w:r w:rsidRPr="00080851">
        <w:rPr>
          <w:rFonts w:ascii="Times New Roman" w:eastAsia="方正仿宋简体" w:hAnsi="Times New Roman" w:cs="Times New Roman"/>
          <w:sz w:val="30"/>
          <w:szCs w:val="30"/>
        </w:rPr>
        <w:t>48kg±3kg</w:t>
      </w:r>
      <w:r w:rsidRPr="00080851">
        <w:rPr>
          <w:rFonts w:ascii="Times New Roman" w:eastAsia="方正仿宋简体" w:hAnsi="Times New Roman" w:cs="Times New Roman"/>
          <w:sz w:val="30"/>
          <w:szCs w:val="30"/>
        </w:rPr>
        <w:t>、</w:t>
      </w:r>
      <w:r w:rsidRPr="00080851">
        <w:rPr>
          <w:rFonts w:ascii="Times New Roman" w:eastAsia="方正仿宋简体" w:hAnsi="Times New Roman" w:cs="Times New Roman"/>
          <w:sz w:val="30"/>
          <w:szCs w:val="30"/>
        </w:rPr>
        <w:t>42kg±2kg</w:t>
      </w:r>
      <w:r w:rsidRPr="00080851">
        <w:rPr>
          <w:rFonts w:ascii="Times New Roman" w:eastAsia="方正仿宋简体" w:hAnsi="Times New Roman" w:cs="Times New Roman"/>
          <w:sz w:val="30"/>
          <w:szCs w:val="30"/>
        </w:rPr>
        <w:t>、</w:t>
      </w:r>
      <w:r w:rsidRPr="00080851">
        <w:rPr>
          <w:rFonts w:ascii="Times New Roman" w:eastAsia="方正仿宋简体" w:hAnsi="Times New Roman" w:cs="Times New Roman"/>
          <w:sz w:val="30"/>
          <w:szCs w:val="30"/>
        </w:rPr>
        <w:t>24kg±1kg</w:t>
      </w:r>
      <w:r w:rsidRPr="00080851">
        <w:rPr>
          <w:rFonts w:ascii="Times New Roman" w:eastAsia="方正仿宋简体" w:hAnsi="Times New Roman" w:cs="Times New Roman"/>
          <w:sz w:val="30"/>
          <w:szCs w:val="30"/>
        </w:rPr>
        <w:t>。</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第十</w:t>
      </w:r>
      <w:r w:rsidR="004044F7" w:rsidRPr="00080851">
        <w:rPr>
          <w:rFonts w:ascii="Times New Roman" w:eastAsia="方正仿宋简体" w:hAnsi="Times New Roman" w:cs="Times New Roman"/>
          <w:b/>
          <w:sz w:val="30"/>
          <w:szCs w:val="30"/>
        </w:rPr>
        <w:t>七</w:t>
      </w:r>
      <w:r w:rsidRPr="00080851">
        <w:rPr>
          <w:rFonts w:ascii="Times New Roman" w:eastAsia="方正仿宋简体" w:hAnsi="Times New Roman" w:cs="Times New Roman"/>
          <w:b/>
          <w:sz w:val="30"/>
          <w:szCs w:val="30"/>
        </w:rPr>
        <w:t>条</w:t>
      </w:r>
      <w:r w:rsidR="004F5FE5"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交割商品必备单证</w:t>
      </w:r>
    </w:p>
    <w:p w:rsidR="00357A3E" w:rsidRPr="00080851" w:rsidRDefault="00357A3E" w:rsidP="00B85A82">
      <w:pPr>
        <w:spacing w:line="560" w:lineRule="exact"/>
        <w:ind w:firstLineChars="200" w:firstLine="600"/>
        <w:rPr>
          <w:rFonts w:ascii="Times New Roman" w:eastAsia="方正仿宋简体" w:hAnsi="Times New Roman" w:cs="Times New Roman"/>
          <w:sz w:val="30"/>
          <w:szCs w:val="30"/>
        </w:rPr>
      </w:pPr>
      <w:r w:rsidRPr="00080851">
        <w:rPr>
          <w:rFonts w:ascii="Times New Roman" w:eastAsia="方正仿宋简体" w:hAnsi="Times New Roman" w:cs="Times New Roman"/>
          <w:sz w:val="30"/>
          <w:szCs w:val="30"/>
        </w:rPr>
        <w:t>（一）国产商品：应当提供注册生产企业出具的产品质量证明书。</w:t>
      </w:r>
    </w:p>
    <w:p w:rsidR="00357A3E" w:rsidRPr="00080851" w:rsidRDefault="00357A3E" w:rsidP="00B85A82">
      <w:pPr>
        <w:spacing w:line="560" w:lineRule="exact"/>
        <w:ind w:firstLineChars="200" w:firstLine="600"/>
        <w:rPr>
          <w:rFonts w:ascii="Times New Roman" w:eastAsia="方正仿宋简体" w:hAnsi="Times New Roman" w:cs="Times New Roman"/>
          <w:sz w:val="30"/>
          <w:szCs w:val="30"/>
        </w:rPr>
      </w:pPr>
      <w:r w:rsidRPr="00080851">
        <w:rPr>
          <w:rFonts w:ascii="Times New Roman" w:eastAsia="方正仿宋简体" w:hAnsi="Times New Roman" w:cs="Times New Roman"/>
          <w:sz w:val="30"/>
          <w:szCs w:val="30"/>
        </w:rPr>
        <w:t>（二）进口商品：应当提供产品质量证明书、产地证明书、商检证书、海关进口关税专用缴款书、海关代征增值税专用缴款书，经交易所审定合格为有效。</w:t>
      </w:r>
    </w:p>
    <w:p w:rsidR="00357A3E" w:rsidRPr="00080851" w:rsidRDefault="00357A3E" w:rsidP="00B85A82">
      <w:pPr>
        <w:spacing w:line="560" w:lineRule="exact"/>
        <w:ind w:firstLineChars="200" w:firstLine="600"/>
        <w:rPr>
          <w:rFonts w:ascii="Times New Roman" w:eastAsia="方正仿宋简体" w:hAnsi="Times New Roman" w:cs="Times New Roman"/>
          <w:b/>
          <w:color w:val="FF0000"/>
          <w:sz w:val="30"/>
          <w:szCs w:val="30"/>
        </w:rPr>
      </w:pPr>
      <w:r w:rsidRPr="00080851">
        <w:rPr>
          <w:rFonts w:ascii="Times New Roman" w:eastAsia="方正仿宋简体" w:hAnsi="Times New Roman" w:cs="Times New Roman"/>
          <w:sz w:val="30"/>
          <w:szCs w:val="30"/>
        </w:rPr>
        <w:t>国家税收、商检等政策调整的，应当遵守其规定，相关进口商品的单证要求由交易所另行发布。</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w:t>
      </w:r>
      <w:r w:rsidR="004044F7" w:rsidRPr="00080851">
        <w:rPr>
          <w:rFonts w:ascii="Times New Roman" w:eastAsia="方正仿宋简体" w:hAnsi="Times New Roman" w:cs="Times New Roman"/>
          <w:b/>
          <w:sz w:val="30"/>
          <w:szCs w:val="30"/>
        </w:rPr>
        <w:t>十八</w:t>
      </w:r>
      <w:r w:rsidRPr="00080851">
        <w:rPr>
          <w:rFonts w:ascii="Times New Roman" w:eastAsia="方正仿宋简体" w:hAnsi="Times New Roman" w:cs="Times New Roman"/>
          <w:b/>
          <w:sz w:val="30"/>
          <w:szCs w:val="30"/>
        </w:rPr>
        <w:t>条</w:t>
      </w:r>
      <w:r w:rsidR="004F5FE5"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溢短和磅差：每张标准仓单所列铅锭的重量为</w:t>
      </w:r>
      <w:r w:rsidRPr="00080851">
        <w:rPr>
          <w:rFonts w:ascii="Times New Roman" w:eastAsia="方正仿宋简体" w:hAnsi="Times New Roman" w:cs="Times New Roman"/>
          <w:sz w:val="30"/>
          <w:szCs w:val="30"/>
        </w:rPr>
        <w:t>25</w:t>
      </w:r>
      <w:r w:rsidRPr="00080851">
        <w:rPr>
          <w:rFonts w:ascii="Times New Roman" w:eastAsia="方正仿宋简体" w:hAnsi="Times New Roman" w:cs="Times New Roman"/>
          <w:sz w:val="30"/>
          <w:szCs w:val="30"/>
        </w:rPr>
        <w:t>吨，溢短不超过</w:t>
      </w:r>
      <w:r w:rsidRPr="00080851">
        <w:rPr>
          <w:rFonts w:ascii="Times New Roman" w:eastAsia="方正仿宋简体" w:hAnsi="Times New Roman" w:cs="Times New Roman"/>
          <w:sz w:val="30"/>
          <w:szCs w:val="30"/>
        </w:rPr>
        <w:t>±2%</w:t>
      </w:r>
      <w:r w:rsidRPr="00080851">
        <w:rPr>
          <w:rFonts w:ascii="Times New Roman" w:eastAsia="方正仿宋简体" w:hAnsi="Times New Roman" w:cs="Times New Roman"/>
          <w:sz w:val="30"/>
          <w:szCs w:val="30"/>
        </w:rPr>
        <w:t>，磅差不超过</w:t>
      </w:r>
      <w:r w:rsidRPr="00080851">
        <w:rPr>
          <w:rFonts w:ascii="Times New Roman" w:eastAsia="方正仿宋简体" w:hAnsi="Times New Roman" w:cs="Times New Roman"/>
          <w:sz w:val="30"/>
          <w:szCs w:val="30"/>
        </w:rPr>
        <w:t>±0.1%</w:t>
      </w:r>
      <w:r w:rsidRPr="00080851">
        <w:rPr>
          <w:rFonts w:ascii="Times New Roman" w:eastAsia="方正仿宋简体" w:hAnsi="Times New Roman" w:cs="Times New Roman"/>
          <w:sz w:val="30"/>
          <w:szCs w:val="30"/>
        </w:rPr>
        <w:t>。</w:t>
      </w:r>
    </w:p>
    <w:p w:rsidR="00F471D3" w:rsidRPr="00080851" w:rsidRDefault="00F471D3" w:rsidP="00F471D3">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第十</w:t>
      </w:r>
      <w:r w:rsidR="004044F7" w:rsidRPr="00080851">
        <w:rPr>
          <w:rFonts w:ascii="Times New Roman" w:eastAsia="方正仿宋简体" w:hAnsi="Times New Roman" w:cs="Times New Roman"/>
          <w:b/>
          <w:sz w:val="30"/>
          <w:szCs w:val="30"/>
        </w:rPr>
        <w:t>九</w:t>
      </w:r>
      <w:r w:rsidRPr="00080851">
        <w:rPr>
          <w:rFonts w:ascii="Times New Roman" w:eastAsia="方正仿宋简体" w:hAnsi="Times New Roman" w:cs="Times New Roman"/>
          <w:b/>
          <w:sz w:val="30"/>
          <w:szCs w:val="30"/>
        </w:rPr>
        <w:t>条</w:t>
      </w:r>
      <w:r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铅期货合约的交割单位为</w:t>
      </w:r>
      <w:r w:rsidRPr="00080851">
        <w:rPr>
          <w:rFonts w:ascii="Times New Roman" w:eastAsia="方正仿宋简体" w:hAnsi="Times New Roman" w:cs="Times New Roman"/>
          <w:sz w:val="30"/>
          <w:szCs w:val="30"/>
        </w:rPr>
        <w:t>25</w:t>
      </w:r>
      <w:r w:rsidRPr="00080851">
        <w:rPr>
          <w:rFonts w:ascii="Times New Roman" w:eastAsia="方正仿宋简体" w:hAnsi="Times New Roman" w:cs="Times New Roman"/>
          <w:sz w:val="30"/>
          <w:szCs w:val="30"/>
        </w:rPr>
        <w:t>吨。</w:t>
      </w:r>
    </w:p>
    <w:p w:rsidR="00F471D3" w:rsidRPr="00080851" w:rsidRDefault="00F471D3" w:rsidP="00F471D3">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w:t>
      </w:r>
      <w:r w:rsidR="004044F7" w:rsidRPr="00080851">
        <w:rPr>
          <w:rFonts w:ascii="Times New Roman" w:eastAsia="方正仿宋简体" w:hAnsi="Times New Roman" w:cs="Times New Roman"/>
          <w:b/>
          <w:sz w:val="30"/>
          <w:szCs w:val="30"/>
        </w:rPr>
        <w:t>二十</w:t>
      </w:r>
      <w:r w:rsidRPr="00080851">
        <w:rPr>
          <w:rFonts w:ascii="Times New Roman" w:eastAsia="方正仿宋简体" w:hAnsi="Times New Roman" w:cs="Times New Roman"/>
          <w:b/>
          <w:sz w:val="30"/>
          <w:szCs w:val="30"/>
        </w:rPr>
        <w:t>条</w:t>
      </w:r>
      <w:r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铅期货合约的交割日期为最后交易日后连续二个</w:t>
      </w:r>
      <w:r w:rsidR="0091568F" w:rsidRPr="00080851">
        <w:rPr>
          <w:rFonts w:ascii="Times New Roman" w:eastAsia="方正仿宋简体" w:hAnsi="Times New Roman" w:cs="Times New Roman"/>
          <w:sz w:val="30"/>
          <w:szCs w:val="30"/>
        </w:rPr>
        <w:t>工作</w:t>
      </w:r>
      <w:r w:rsidRPr="00080851">
        <w:rPr>
          <w:rFonts w:ascii="Times New Roman" w:eastAsia="方正仿宋简体" w:hAnsi="Times New Roman" w:cs="Times New Roman"/>
          <w:sz w:val="30"/>
          <w:szCs w:val="30"/>
        </w:rPr>
        <w:t>日。</w:t>
      </w:r>
    </w:p>
    <w:p w:rsidR="00357A3E" w:rsidRPr="00080851" w:rsidRDefault="00357A3E" w:rsidP="00FF4808">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第二十一条</w:t>
      </w:r>
      <w:r w:rsidR="004F5FE5"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铅期货合约交割结算</w:t>
      </w:r>
      <w:r w:rsidR="00F471D3" w:rsidRPr="00080851">
        <w:rPr>
          <w:rFonts w:ascii="Times New Roman" w:eastAsia="方正仿宋简体" w:hAnsi="Times New Roman" w:cs="Times New Roman"/>
          <w:sz w:val="30"/>
          <w:szCs w:val="30"/>
        </w:rPr>
        <w:t>的基准</w:t>
      </w:r>
      <w:r w:rsidRPr="00080851">
        <w:rPr>
          <w:rFonts w:ascii="Times New Roman" w:eastAsia="方正仿宋简体" w:hAnsi="Times New Roman" w:cs="Times New Roman"/>
          <w:sz w:val="30"/>
          <w:szCs w:val="30"/>
        </w:rPr>
        <w:t>价为该期货合约最后交易日的结算价。</w:t>
      </w:r>
    </w:p>
    <w:p w:rsidR="00357A3E" w:rsidRPr="00080851" w:rsidRDefault="00357A3E" w:rsidP="00FF4808">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第二十二条</w:t>
      </w:r>
      <w:r w:rsidR="004F5FE5"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交</w:t>
      </w:r>
      <w:r w:rsidR="00F471D3" w:rsidRPr="00080851">
        <w:rPr>
          <w:rFonts w:ascii="Times New Roman" w:eastAsia="方正仿宋简体" w:hAnsi="Times New Roman" w:cs="Times New Roman"/>
          <w:sz w:val="30"/>
          <w:szCs w:val="30"/>
        </w:rPr>
        <w:t>割</w:t>
      </w:r>
      <w:r w:rsidRPr="00080851">
        <w:rPr>
          <w:rFonts w:ascii="Times New Roman" w:eastAsia="方正仿宋简体" w:hAnsi="Times New Roman" w:cs="Times New Roman"/>
          <w:sz w:val="30"/>
          <w:szCs w:val="30"/>
        </w:rPr>
        <w:t>地点：交易所交割仓库，由交易所另行公告。</w:t>
      </w:r>
      <w:r w:rsidR="002E2F69" w:rsidRPr="00080851">
        <w:rPr>
          <w:rFonts w:ascii="Times New Roman" w:eastAsia="方正仿宋简体" w:hAnsi="Times New Roman" w:cs="Times New Roman"/>
          <w:sz w:val="30"/>
          <w:szCs w:val="30"/>
        </w:rPr>
        <w:t>用于铅期货交割的铅锭应当存放在室内库房。</w:t>
      </w:r>
    </w:p>
    <w:p w:rsidR="007759B6" w:rsidRPr="00080851" w:rsidRDefault="007759B6" w:rsidP="00FF4808">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lastRenderedPageBreak/>
        <w:t>第</w:t>
      </w:r>
      <w:r w:rsidR="004044F7" w:rsidRPr="00080851">
        <w:rPr>
          <w:rFonts w:ascii="Times New Roman" w:eastAsia="方正仿宋简体" w:hAnsi="Times New Roman" w:cs="Times New Roman"/>
          <w:b/>
          <w:sz w:val="30"/>
          <w:szCs w:val="30"/>
        </w:rPr>
        <w:t>二十三</w:t>
      </w:r>
      <w:r w:rsidRPr="00080851">
        <w:rPr>
          <w:rFonts w:ascii="Times New Roman" w:eastAsia="方正仿宋简体" w:hAnsi="Times New Roman" w:cs="Times New Roman"/>
          <w:b/>
          <w:sz w:val="30"/>
          <w:szCs w:val="30"/>
        </w:rPr>
        <w:t>条</w:t>
      </w:r>
      <w:r w:rsidRPr="00080851">
        <w:rPr>
          <w:rFonts w:ascii="Times New Roman" w:eastAsia="方正仿宋简体" w:hAnsi="Times New Roman" w:cs="Times New Roman"/>
          <w:sz w:val="30"/>
          <w:szCs w:val="30"/>
        </w:rPr>
        <w:t xml:space="preserve"> </w:t>
      </w:r>
      <w:r w:rsidRPr="00080851">
        <w:rPr>
          <w:rFonts w:ascii="Times New Roman" w:eastAsia="方正仿宋简体" w:hAnsi="Times New Roman" w:cs="Times New Roman"/>
          <w:color w:val="000000"/>
          <w:kern w:val="0"/>
          <w:sz w:val="30"/>
          <w:szCs w:val="30"/>
        </w:rPr>
        <w:t>实物交割完成后，若买方对交割商品的质量、数量有异议的，应当在实物交割月份的下一月份的</w:t>
      </w:r>
      <w:r w:rsidRPr="00080851">
        <w:rPr>
          <w:rFonts w:ascii="Times New Roman" w:eastAsia="方正仿宋简体" w:hAnsi="Times New Roman" w:cs="Times New Roman"/>
          <w:color w:val="000000"/>
          <w:kern w:val="0"/>
          <w:sz w:val="30"/>
          <w:szCs w:val="30"/>
        </w:rPr>
        <w:t>15</w:t>
      </w:r>
      <w:r w:rsidRPr="00080851">
        <w:rPr>
          <w:rFonts w:ascii="Times New Roman" w:eastAsia="方正仿宋简体" w:hAnsi="Times New Roman" w:cs="Times New Roman"/>
          <w:color w:val="000000"/>
          <w:kern w:val="0"/>
          <w:sz w:val="30"/>
          <w:szCs w:val="30"/>
        </w:rPr>
        <w:t>日之前（含当日，遇法定假日时顺延至假日后的第一个工作日），向交易所提出书面申请，并应当同时提供交易所指定检验机构出具的质量鉴定结论。逾期未提出申请的，视为买方对所交割商品无异议，交易所不再受理交割商品有异议的申请。</w:t>
      </w:r>
    </w:p>
    <w:p w:rsidR="0051152F" w:rsidRPr="00080851" w:rsidRDefault="0051152F" w:rsidP="00FF4808">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第二十</w:t>
      </w:r>
      <w:r w:rsidR="004044F7" w:rsidRPr="00080851">
        <w:rPr>
          <w:rFonts w:ascii="Times New Roman" w:eastAsia="方正仿宋简体" w:hAnsi="Times New Roman" w:cs="Times New Roman"/>
          <w:b/>
          <w:sz w:val="30"/>
          <w:szCs w:val="30"/>
        </w:rPr>
        <w:t>四</w:t>
      </w:r>
      <w:r w:rsidRPr="00080851">
        <w:rPr>
          <w:rFonts w:ascii="Times New Roman" w:eastAsia="方正仿宋简体" w:hAnsi="Times New Roman" w:cs="Times New Roman"/>
          <w:b/>
          <w:sz w:val="30"/>
          <w:szCs w:val="30"/>
        </w:rPr>
        <w:t>条</w:t>
      </w:r>
      <w:r w:rsidR="004F5FE5" w:rsidRPr="00080851">
        <w:rPr>
          <w:rFonts w:ascii="Times New Roman" w:eastAsia="方正仿宋简体" w:hAnsi="Times New Roman" w:cs="Times New Roman"/>
          <w:b/>
          <w:sz w:val="30"/>
          <w:szCs w:val="30"/>
        </w:rPr>
        <w:t xml:space="preserve"> </w:t>
      </w:r>
      <w:proofErr w:type="gramStart"/>
      <w:r w:rsidRPr="00080851">
        <w:rPr>
          <w:rFonts w:ascii="Times New Roman" w:eastAsia="方正仿宋简体" w:hAnsi="Times New Roman" w:cs="Times New Roman"/>
          <w:sz w:val="30"/>
          <w:szCs w:val="30"/>
        </w:rPr>
        <w:t>期转现</w:t>
      </w:r>
      <w:proofErr w:type="gramEnd"/>
      <w:r w:rsidRPr="00080851">
        <w:rPr>
          <w:rFonts w:ascii="Times New Roman" w:eastAsia="方正仿宋简体" w:hAnsi="Times New Roman" w:cs="Times New Roman"/>
          <w:sz w:val="30"/>
          <w:szCs w:val="30"/>
        </w:rPr>
        <w:t>使用标准仓单并通过交易所结算发生</w:t>
      </w:r>
      <w:r w:rsidR="00766F23" w:rsidRPr="00080851">
        <w:rPr>
          <w:rFonts w:ascii="Times New Roman" w:eastAsia="方正仿宋简体" w:hAnsi="Times New Roman" w:cs="Times New Roman"/>
          <w:sz w:val="30"/>
          <w:szCs w:val="30"/>
        </w:rPr>
        <w:t>铅</w:t>
      </w:r>
      <w:r w:rsidRPr="00080851">
        <w:rPr>
          <w:rFonts w:ascii="Times New Roman" w:eastAsia="方正仿宋简体" w:hAnsi="Times New Roman" w:cs="Times New Roman"/>
          <w:sz w:val="30"/>
          <w:szCs w:val="30"/>
        </w:rPr>
        <w:t>交割实物质量纠纷的，买方应当在货款和标准仓单交换日后的</w:t>
      </w:r>
      <w:r w:rsidRPr="00080851">
        <w:rPr>
          <w:rFonts w:ascii="Times New Roman" w:eastAsia="方正仿宋简体" w:hAnsi="Times New Roman" w:cs="Times New Roman"/>
          <w:sz w:val="30"/>
          <w:szCs w:val="30"/>
        </w:rPr>
        <w:t>25</w:t>
      </w:r>
      <w:r w:rsidRPr="00080851">
        <w:rPr>
          <w:rFonts w:ascii="Times New Roman" w:eastAsia="方正仿宋简体" w:hAnsi="Times New Roman" w:cs="Times New Roman"/>
          <w:sz w:val="30"/>
          <w:szCs w:val="30"/>
        </w:rPr>
        <w:t>天内提出质量异议申请，并应当同时提供交易所指定检验机构出具的质量鉴定结论。</w:t>
      </w:r>
    </w:p>
    <w:p w:rsidR="00357A3E" w:rsidRPr="00080851" w:rsidRDefault="00357A3E" w:rsidP="00080851">
      <w:pPr>
        <w:spacing w:line="560" w:lineRule="exact"/>
        <w:jc w:val="center"/>
        <w:rPr>
          <w:rFonts w:ascii="黑体" w:eastAsia="黑体" w:hAnsi="黑体" w:cs="Times New Roman"/>
          <w:sz w:val="30"/>
          <w:szCs w:val="30"/>
        </w:rPr>
      </w:pPr>
      <w:r w:rsidRPr="00080851">
        <w:rPr>
          <w:rFonts w:ascii="黑体" w:eastAsia="黑体" w:hAnsi="黑体" w:cs="Times New Roman"/>
          <w:sz w:val="30"/>
          <w:szCs w:val="30"/>
        </w:rPr>
        <w:t>第四章</w:t>
      </w:r>
      <w:r w:rsidR="004F5FE5" w:rsidRPr="00080851">
        <w:rPr>
          <w:rFonts w:ascii="黑体" w:eastAsia="黑体" w:hAnsi="黑体" w:cs="Times New Roman"/>
          <w:sz w:val="30"/>
          <w:szCs w:val="30"/>
        </w:rPr>
        <w:t xml:space="preserve"> </w:t>
      </w:r>
      <w:r w:rsidRPr="00080851">
        <w:rPr>
          <w:rFonts w:ascii="黑体" w:eastAsia="黑体" w:hAnsi="黑体" w:cs="Times New Roman"/>
          <w:sz w:val="30"/>
          <w:szCs w:val="30"/>
        </w:rPr>
        <w:t>风险管理</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第二十</w:t>
      </w:r>
      <w:r w:rsidR="004044F7" w:rsidRPr="00080851">
        <w:rPr>
          <w:rFonts w:ascii="Times New Roman" w:eastAsia="方正仿宋简体" w:hAnsi="Times New Roman" w:cs="Times New Roman"/>
          <w:b/>
          <w:sz w:val="30"/>
          <w:szCs w:val="30"/>
        </w:rPr>
        <w:t>五</w:t>
      </w:r>
      <w:r w:rsidRPr="00080851">
        <w:rPr>
          <w:rFonts w:ascii="Times New Roman" w:eastAsia="方正仿宋简体" w:hAnsi="Times New Roman" w:cs="Times New Roman"/>
          <w:b/>
          <w:sz w:val="30"/>
          <w:szCs w:val="30"/>
        </w:rPr>
        <w:t>条</w:t>
      </w:r>
      <w:r w:rsidR="004F5FE5"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铅期货合约的最低交易保证金为合约价值的</w:t>
      </w:r>
      <w:r w:rsidRPr="00080851">
        <w:rPr>
          <w:rFonts w:ascii="Times New Roman" w:eastAsia="方正仿宋简体" w:hAnsi="Times New Roman" w:cs="Times New Roman"/>
          <w:sz w:val="30"/>
          <w:szCs w:val="30"/>
        </w:rPr>
        <w:t>5%</w:t>
      </w:r>
      <w:r w:rsidRPr="00080851">
        <w:rPr>
          <w:rFonts w:ascii="Times New Roman" w:eastAsia="方正仿宋简体" w:hAnsi="Times New Roman" w:cs="Times New Roman"/>
          <w:sz w:val="30"/>
          <w:szCs w:val="30"/>
        </w:rPr>
        <w:t>。</w:t>
      </w:r>
    </w:p>
    <w:p w:rsidR="00357A3E" w:rsidRPr="00080851" w:rsidRDefault="0051152F"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第二十</w:t>
      </w:r>
      <w:r w:rsidR="004044F7" w:rsidRPr="00080851">
        <w:rPr>
          <w:rFonts w:ascii="Times New Roman" w:eastAsia="方正仿宋简体" w:hAnsi="Times New Roman" w:cs="Times New Roman"/>
          <w:b/>
          <w:sz w:val="30"/>
          <w:szCs w:val="30"/>
        </w:rPr>
        <w:t>六</w:t>
      </w:r>
      <w:r w:rsidR="00357A3E" w:rsidRPr="00080851">
        <w:rPr>
          <w:rFonts w:ascii="Times New Roman" w:eastAsia="方正仿宋简体" w:hAnsi="Times New Roman" w:cs="Times New Roman"/>
          <w:b/>
          <w:sz w:val="30"/>
          <w:szCs w:val="30"/>
        </w:rPr>
        <w:t>条</w:t>
      </w:r>
      <w:r w:rsidR="004F5FE5" w:rsidRPr="00080851">
        <w:rPr>
          <w:rFonts w:ascii="Times New Roman" w:eastAsia="方正仿宋简体" w:hAnsi="Times New Roman" w:cs="Times New Roman"/>
          <w:b/>
          <w:sz w:val="30"/>
          <w:szCs w:val="30"/>
        </w:rPr>
        <w:t xml:space="preserve"> </w:t>
      </w:r>
      <w:r w:rsidR="00357A3E" w:rsidRPr="00080851">
        <w:rPr>
          <w:rFonts w:ascii="Times New Roman" w:eastAsia="方正仿宋简体" w:hAnsi="Times New Roman" w:cs="Times New Roman"/>
          <w:sz w:val="30"/>
          <w:szCs w:val="30"/>
        </w:rPr>
        <w:t>铅期货合约上市运行不同阶段的交易保证金收取标准为：</w:t>
      </w: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5"/>
        <w:gridCol w:w="3734"/>
      </w:tblGrid>
      <w:tr w:rsidR="00357A3E" w:rsidRPr="00080851" w:rsidTr="00810A3A">
        <w:trPr>
          <w:cantSplit/>
          <w:trHeight w:hRule="exact" w:val="706"/>
          <w:jc w:val="center"/>
        </w:trPr>
        <w:tc>
          <w:tcPr>
            <w:tcW w:w="4495" w:type="dxa"/>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
                <w:bCs/>
                <w:color w:val="000000"/>
                <w:sz w:val="22"/>
              </w:rPr>
            </w:pPr>
            <w:r w:rsidRPr="00080851">
              <w:rPr>
                <w:rFonts w:ascii="Times New Roman" w:eastAsia="方正仿宋简体" w:hAnsi="Times New Roman" w:cs="Times New Roman"/>
                <w:b/>
                <w:bCs/>
                <w:color w:val="000000"/>
                <w:sz w:val="22"/>
              </w:rPr>
              <w:t>交易时间段</w:t>
            </w:r>
          </w:p>
        </w:tc>
        <w:tc>
          <w:tcPr>
            <w:tcW w:w="3734" w:type="dxa"/>
            <w:shd w:val="clear" w:color="auto" w:fill="auto"/>
            <w:vAlign w:val="center"/>
          </w:tcPr>
          <w:p w:rsidR="00357A3E" w:rsidRPr="00080851" w:rsidRDefault="00AF455C" w:rsidP="00B85A82">
            <w:pPr>
              <w:spacing w:line="560" w:lineRule="exact"/>
              <w:jc w:val="center"/>
              <w:rPr>
                <w:rFonts w:ascii="Times New Roman" w:eastAsia="方正仿宋简体" w:hAnsi="Times New Roman" w:cs="Times New Roman"/>
                <w:b/>
                <w:bCs/>
                <w:color w:val="000000"/>
                <w:sz w:val="22"/>
              </w:rPr>
            </w:pPr>
            <w:proofErr w:type="gramStart"/>
            <w:r w:rsidRPr="00080851">
              <w:rPr>
                <w:rFonts w:ascii="Times New Roman" w:eastAsia="方正仿宋简体" w:hAnsi="Times New Roman" w:cs="Times New Roman"/>
                <w:b/>
                <w:bCs/>
                <w:color w:val="000000"/>
                <w:sz w:val="22"/>
              </w:rPr>
              <w:t>铅</w:t>
            </w:r>
            <w:r w:rsidR="00357A3E" w:rsidRPr="00080851">
              <w:rPr>
                <w:rFonts w:ascii="Times New Roman" w:eastAsia="方正仿宋简体" w:hAnsi="Times New Roman" w:cs="Times New Roman"/>
                <w:b/>
                <w:bCs/>
                <w:color w:val="000000"/>
                <w:sz w:val="22"/>
              </w:rPr>
              <w:t>交易</w:t>
            </w:r>
            <w:proofErr w:type="gramEnd"/>
            <w:r w:rsidR="00357A3E" w:rsidRPr="00080851">
              <w:rPr>
                <w:rFonts w:ascii="Times New Roman" w:eastAsia="方正仿宋简体" w:hAnsi="Times New Roman" w:cs="Times New Roman"/>
                <w:b/>
                <w:bCs/>
                <w:color w:val="000000"/>
                <w:sz w:val="22"/>
              </w:rPr>
              <w:t>保证金比例</w:t>
            </w:r>
          </w:p>
        </w:tc>
      </w:tr>
      <w:tr w:rsidR="00357A3E" w:rsidRPr="00080851" w:rsidTr="00810A3A">
        <w:trPr>
          <w:cantSplit/>
          <w:trHeight w:hRule="exact" w:val="549"/>
          <w:jc w:val="center"/>
        </w:trPr>
        <w:tc>
          <w:tcPr>
            <w:tcW w:w="4495" w:type="dxa"/>
            <w:tcBorders>
              <w:bottom w:val="single" w:sz="4" w:space="0" w:color="auto"/>
            </w:tcBorders>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sz w:val="22"/>
              </w:rPr>
            </w:pPr>
            <w:r w:rsidRPr="00080851">
              <w:rPr>
                <w:rFonts w:ascii="Times New Roman" w:eastAsia="方正仿宋简体" w:hAnsi="Times New Roman" w:cs="Times New Roman"/>
                <w:bCs/>
                <w:color w:val="000000"/>
                <w:sz w:val="22"/>
              </w:rPr>
              <w:t>合约挂牌之日起</w:t>
            </w:r>
          </w:p>
        </w:tc>
        <w:tc>
          <w:tcPr>
            <w:tcW w:w="3734" w:type="dxa"/>
            <w:tcBorders>
              <w:bottom w:val="single" w:sz="4" w:space="0" w:color="auto"/>
            </w:tcBorders>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sz w:val="22"/>
              </w:rPr>
            </w:pPr>
            <w:r w:rsidRPr="00080851">
              <w:rPr>
                <w:rFonts w:ascii="Times New Roman" w:eastAsia="方正仿宋简体" w:hAnsi="Times New Roman" w:cs="Times New Roman"/>
                <w:bCs/>
                <w:color w:val="000000"/>
                <w:sz w:val="22"/>
              </w:rPr>
              <w:t>5%</w:t>
            </w:r>
          </w:p>
        </w:tc>
      </w:tr>
      <w:tr w:rsidR="00357A3E" w:rsidRPr="00080851" w:rsidTr="00810A3A">
        <w:trPr>
          <w:cantSplit/>
          <w:trHeight w:hRule="exact" w:val="724"/>
          <w:jc w:val="center"/>
        </w:trPr>
        <w:tc>
          <w:tcPr>
            <w:tcW w:w="4495" w:type="dxa"/>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sz w:val="22"/>
              </w:rPr>
            </w:pPr>
            <w:r w:rsidRPr="00080851">
              <w:rPr>
                <w:rFonts w:ascii="Times New Roman" w:eastAsia="方正仿宋简体" w:hAnsi="Times New Roman" w:cs="Times New Roman"/>
                <w:bCs/>
                <w:color w:val="000000"/>
                <w:sz w:val="22"/>
              </w:rPr>
              <w:t>交割月前第一月的第一个交易日起</w:t>
            </w:r>
          </w:p>
        </w:tc>
        <w:tc>
          <w:tcPr>
            <w:tcW w:w="3734" w:type="dxa"/>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sz w:val="22"/>
              </w:rPr>
            </w:pPr>
            <w:r w:rsidRPr="00080851">
              <w:rPr>
                <w:rFonts w:ascii="Times New Roman" w:eastAsia="方正仿宋简体" w:hAnsi="Times New Roman" w:cs="Times New Roman"/>
                <w:bCs/>
                <w:color w:val="000000"/>
                <w:sz w:val="22"/>
              </w:rPr>
              <w:t>10%</w:t>
            </w:r>
          </w:p>
        </w:tc>
      </w:tr>
      <w:tr w:rsidR="00357A3E" w:rsidRPr="00080851" w:rsidTr="00810A3A">
        <w:trPr>
          <w:cantSplit/>
          <w:trHeight w:hRule="exact" w:val="556"/>
          <w:jc w:val="center"/>
        </w:trPr>
        <w:tc>
          <w:tcPr>
            <w:tcW w:w="4495" w:type="dxa"/>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sz w:val="22"/>
              </w:rPr>
            </w:pPr>
            <w:r w:rsidRPr="00080851">
              <w:rPr>
                <w:rFonts w:ascii="Times New Roman" w:eastAsia="方正仿宋简体" w:hAnsi="Times New Roman" w:cs="Times New Roman"/>
                <w:bCs/>
                <w:color w:val="000000"/>
                <w:sz w:val="22"/>
              </w:rPr>
              <w:t>交割月份第一个交易日起</w:t>
            </w:r>
          </w:p>
        </w:tc>
        <w:tc>
          <w:tcPr>
            <w:tcW w:w="3734" w:type="dxa"/>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sz w:val="22"/>
              </w:rPr>
            </w:pPr>
            <w:r w:rsidRPr="00080851">
              <w:rPr>
                <w:rFonts w:ascii="Times New Roman" w:eastAsia="方正仿宋简体" w:hAnsi="Times New Roman" w:cs="Times New Roman"/>
                <w:bCs/>
                <w:color w:val="000000"/>
                <w:sz w:val="22"/>
              </w:rPr>
              <w:t>15%</w:t>
            </w:r>
          </w:p>
        </w:tc>
      </w:tr>
      <w:tr w:rsidR="00357A3E" w:rsidRPr="00080851" w:rsidTr="00810A3A">
        <w:trPr>
          <w:cantSplit/>
          <w:trHeight w:hRule="exact" w:val="564"/>
          <w:jc w:val="center"/>
        </w:trPr>
        <w:tc>
          <w:tcPr>
            <w:tcW w:w="4495" w:type="dxa"/>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sz w:val="22"/>
              </w:rPr>
            </w:pPr>
            <w:r w:rsidRPr="00080851">
              <w:rPr>
                <w:rFonts w:ascii="Times New Roman" w:eastAsia="方正仿宋简体" w:hAnsi="Times New Roman" w:cs="Times New Roman"/>
                <w:bCs/>
                <w:color w:val="000000"/>
                <w:sz w:val="22"/>
              </w:rPr>
              <w:t>最后交易日前二个交易日起</w:t>
            </w:r>
          </w:p>
        </w:tc>
        <w:tc>
          <w:tcPr>
            <w:tcW w:w="3734" w:type="dxa"/>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sz w:val="22"/>
              </w:rPr>
            </w:pPr>
            <w:r w:rsidRPr="00080851">
              <w:rPr>
                <w:rFonts w:ascii="Times New Roman" w:eastAsia="方正仿宋简体" w:hAnsi="Times New Roman" w:cs="Times New Roman"/>
                <w:bCs/>
                <w:color w:val="000000"/>
                <w:sz w:val="22"/>
              </w:rPr>
              <w:t>20%</w:t>
            </w:r>
          </w:p>
        </w:tc>
      </w:tr>
    </w:tbl>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第二十</w:t>
      </w:r>
      <w:r w:rsidR="004044F7" w:rsidRPr="00080851">
        <w:rPr>
          <w:rFonts w:ascii="Times New Roman" w:eastAsia="方正仿宋简体" w:hAnsi="Times New Roman" w:cs="Times New Roman"/>
          <w:b/>
          <w:sz w:val="30"/>
          <w:szCs w:val="30"/>
        </w:rPr>
        <w:t>七</w:t>
      </w:r>
      <w:r w:rsidRPr="00080851">
        <w:rPr>
          <w:rFonts w:ascii="Times New Roman" w:eastAsia="方正仿宋简体" w:hAnsi="Times New Roman" w:cs="Times New Roman"/>
          <w:b/>
          <w:sz w:val="30"/>
          <w:szCs w:val="30"/>
        </w:rPr>
        <w:t>条</w:t>
      </w:r>
      <w:r w:rsidR="004F5FE5"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铅期货合约涨跌停板幅度为上一交易日结算价</w:t>
      </w:r>
      <w:r w:rsidRPr="00080851">
        <w:rPr>
          <w:rFonts w:ascii="Times New Roman" w:eastAsia="方正仿宋简体" w:hAnsi="Times New Roman" w:cs="Times New Roman"/>
          <w:sz w:val="30"/>
          <w:szCs w:val="30"/>
        </w:rPr>
        <w:t>±4%</w:t>
      </w:r>
      <w:r w:rsidRPr="00080851">
        <w:rPr>
          <w:rFonts w:ascii="Times New Roman" w:eastAsia="方正仿宋简体" w:hAnsi="Times New Roman" w:cs="Times New Roman"/>
          <w:sz w:val="30"/>
          <w:szCs w:val="30"/>
        </w:rPr>
        <w:t>。</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第二十</w:t>
      </w:r>
      <w:r w:rsidR="00FF4808" w:rsidRPr="00080851">
        <w:rPr>
          <w:rFonts w:ascii="Times New Roman" w:eastAsia="方正仿宋简体" w:hAnsi="Times New Roman" w:cs="Times New Roman"/>
          <w:b/>
          <w:sz w:val="30"/>
          <w:szCs w:val="30"/>
        </w:rPr>
        <w:t>八</w:t>
      </w:r>
      <w:r w:rsidRPr="00080851">
        <w:rPr>
          <w:rFonts w:ascii="Times New Roman" w:eastAsia="方正仿宋简体" w:hAnsi="Times New Roman" w:cs="Times New Roman"/>
          <w:b/>
          <w:sz w:val="30"/>
          <w:szCs w:val="30"/>
        </w:rPr>
        <w:t>条</w:t>
      </w:r>
      <w:r w:rsidR="004F5FE5"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期货公司会员、非期货公司会员和客户的铅期货合约在不同时期的限仓比例和限仓数额具体规定如下：</w:t>
      </w:r>
    </w:p>
    <w:p w:rsidR="00357A3E" w:rsidRPr="00080851" w:rsidRDefault="00357A3E" w:rsidP="00B85A82">
      <w:pPr>
        <w:spacing w:line="560" w:lineRule="exact"/>
        <w:ind w:firstLineChars="200" w:firstLine="480"/>
        <w:rPr>
          <w:rFonts w:ascii="Times New Roman" w:eastAsia="方正仿宋简体" w:hAnsi="Times New Roman" w:cs="Times New Roman"/>
          <w:bCs/>
          <w:color w:val="000000"/>
          <w:sz w:val="24"/>
        </w:rPr>
      </w:pPr>
      <w:r w:rsidRPr="00080851">
        <w:rPr>
          <w:rFonts w:ascii="Times New Roman" w:eastAsia="方正仿宋简体" w:hAnsi="Times New Roman" w:cs="Times New Roman"/>
          <w:bCs/>
          <w:color w:val="000000"/>
          <w:sz w:val="24"/>
        </w:rPr>
        <w:lastRenderedPageBreak/>
        <w:t>（单位：手）</w:t>
      </w:r>
    </w:p>
    <w:tbl>
      <w:tblPr>
        <w:tblW w:w="86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782"/>
        <w:gridCol w:w="1036"/>
        <w:gridCol w:w="984"/>
        <w:gridCol w:w="1284"/>
        <w:gridCol w:w="850"/>
        <w:gridCol w:w="709"/>
        <w:gridCol w:w="850"/>
        <w:gridCol w:w="761"/>
        <w:gridCol w:w="799"/>
        <w:gridCol w:w="567"/>
      </w:tblGrid>
      <w:tr w:rsidR="00357A3E" w:rsidRPr="00080851" w:rsidTr="00810A3A">
        <w:trPr>
          <w:cantSplit/>
          <w:trHeight w:val="1036"/>
          <w:jc w:val="center"/>
        </w:trPr>
        <w:tc>
          <w:tcPr>
            <w:tcW w:w="782" w:type="dxa"/>
            <w:vMerge w:val="restart"/>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p>
        </w:tc>
        <w:tc>
          <w:tcPr>
            <w:tcW w:w="2020" w:type="dxa"/>
            <w:gridSpan w:val="2"/>
            <w:tcBorders>
              <w:right w:val="single" w:sz="4" w:space="0" w:color="auto"/>
            </w:tcBorders>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合约挂牌至交割月份</w:t>
            </w:r>
          </w:p>
        </w:tc>
        <w:tc>
          <w:tcPr>
            <w:tcW w:w="2843" w:type="dxa"/>
            <w:gridSpan w:val="3"/>
            <w:tcBorders>
              <w:left w:val="single" w:sz="4" w:space="0" w:color="auto"/>
              <w:right w:val="single" w:sz="4" w:space="0" w:color="auto"/>
            </w:tcBorders>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合约挂牌至交割月前第二月</w:t>
            </w:r>
          </w:p>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的最后一个交易日</w:t>
            </w:r>
          </w:p>
        </w:tc>
        <w:tc>
          <w:tcPr>
            <w:tcW w:w="1611" w:type="dxa"/>
            <w:gridSpan w:val="2"/>
            <w:tcBorders>
              <w:left w:val="single" w:sz="4" w:space="0" w:color="auto"/>
            </w:tcBorders>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交割月前</w:t>
            </w:r>
          </w:p>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第一月</w:t>
            </w:r>
          </w:p>
        </w:tc>
        <w:tc>
          <w:tcPr>
            <w:tcW w:w="1366" w:type="dxa"/>
            <w:gridSpan w:val="2"/>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交割月份</w:t>
            </w:r>
          </w:p>
        </w:tc>
      </w:tr>
      <w:tr w:rsidR="00357A3E" w:rsidRPr="00080851" w:rsidTr="00810A3A">
        <w:trPr>
          <w:cantSplit/>
          <w:trHeight w:val="250"/>
          <w:jc w:val="center"/>
        </w:trPr>
        <w:tc>
          <w:tcPr>
            <w:tcW w:w="782" w:type="dxa"/>
            <w:vMerge/>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p>
        </w:tc>
        <w:tc>
          <w:tcPr>
            <w:tcW w:w="1036" w:type="dxa"/>
            <w:vMerge w:val="restart"/>
            <w:tcBorders>
              <w:right w:val="single" w:sz="4" w:space="0" w:color="auto"/>
            </w:tcBorders>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某一期</w:t>
            </w:r>
          </w:p>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货合约</w:t>
            </w:r>
          </w:p>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持仓量</w:t>
            </w:r>
          </w:p>
        </w:tc>
        <w:tc>
          <w:tcPr>
            <w:tcW w:w="984" w:type="dxa"/>
            <w:tcBorders>
              <w:right w:val="single" w:sz="4" w:space="0" w:color="auto"/>
            </w:tcBorders>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限仓比例（</w:t>
            </w:r>
            <w:r w:rsidRPr="00080851">
              <w:rPr>
                <w:rFonts w:ascii="Times New Roman" w:eastAsia="方正仿宋简体" w:hAnsi="Times New Roman" w:cs="Times New Roman"/>
                <w:bCs/>
                <w:color w:val="000000"/>
              </w:rPr>
              <w:sym w:font="Symbol" w:char="F025"/>
            </w:r>
            <w:r w:rsidRPr="00080851">
              <w:rPr>
                <w:rFonts w:ascii="Times New Roman" w:eastAsia="方正仿宋简体" w:hAnsi="Times New Roman" w:cs="Times New Roman"/>
                <w:bCs/>
                <w:color w:val="000000"/>
              </w:rPr>
              <w:t>）</w:t>
            </w:r>
          </w:p>
        </w:tc>
        <w:tc>
          <w:tcPr>
            <w:tcW w:w="1284" w:type="dxa"/>
            <w:vMerge w:val="restart"/>
            <w:tcBorders>
              <w:left w:val="single" w:sz="4" w:space="0" w:color="auto"/>
              <w:right w:val="single" w:sz="4" w:space="0" w:color="auto"/>
            </w:tcBorders>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某一期</w:t>
            </w:r>
          </w:p>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货合约</w:t>
            </w:r>
          </w:p>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持仓量</w:t>
            </w:r>
          </w:p>
        </w:tc>
        <w:tc>
          <w:tcPr>
            <w:tcW w:w="1559" w:type="dxa"/>
            <w:gridSpan w:val="2"/>
            <w:tcBorders>
              <w:left w:val="single" w:sz="4" w:space="0" w:color="auto"/>
              <w:right w:val="single" w:sz="4" w:space="0" w:color="auto"/>
            </w:tcBorders>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限仓比例（</w:t>
            </w:r>
            <w:r w:rsidRPr="00080851">
              <w:rPr>
                <w:rFonts w:ascii="Times New Roman" w:eastAsia="方正仿宋简体" w:hAnsi="Times New Roman" w:cs="Times New Roman"/>
                <w:bCs/>
                <w:color w:val="000000"/>
              </w:rPr>
              <w:sym w:font="Symbol" w:char="F025"/>
            </w:r>
            <w:r w:rsidRPr="00080851">
              <w:rPr>
                <w:rFonts w:ascii="Times New Roman" w:eastAsia="方正仿宋简体" w:hAnsi="Times New Roman" w:cs="Times New Roman"/>
                <w:bCs/>
                <w:color w:val="000000"/>
              </w:rPr>
              <w:t>）</w:t>
            </w:r>
          </w:p>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和限仓数额</w:t>
            </w:r>
            <w:r w:rsidRPr="00080851">
              <w:rPr>
                <w:rFonts w:ascii="Times New Roman" w:eastAsia="方正仿宋简体" w:hAnsi="Times New Roman" w:cs="Times New Roman"/>
                <w:bCs/>
                <w:color w:val="000000"/>
              </w:rPr>
              <w:t>(</w:t>
            </w:r>
            <w:r w:rsidRPr="00080851">
              <w:rPr>
                <w:rFonts w:ascii="Times New Roman" w:eastAsia="方正仿宋简体" w:hAnsi="Times New Roman" w:cs="Times New Roman"/>
                <w:bCs/>
                <w:color w:val="000000"/>
              </w:rPr>
              <w:t>手</w:t>
            </w:r>
            <w:r w:rsidRPr="00080851">
              <w:rPr>
                <w:rFonts w:ascii="Times New Roman" w:eastAsia="方正仿宋简体" w:hAnsi="Times New Roman" w:cs="Times New Roman"/>
                <w:bCs/>
                <w:color w:val="000000"/>
              </w:rPr>
              <w:t>)</w:t>
            </w:r>
          </w:p>
        </w:tc>
        <w:tc>
          <w:tcPr>
            <w:tcW w:w="1611" w:type="dxa"/>
            <w:gridSpan w:val="2"/>
            <w:tcBorders>
              <w:left w:val="single" w:sz="4" w:space="0" w:color="auto"/>
            </w:tcBorders>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限仓数额</w:t>
            </w:r>
            <w:r w:rsidRPr="00080851">
              <w:rPr>
                <w:rFonts w:ascii="Times New Roman" w:eastAsia="方正仿宋简体" w:hAnsi="Times New Roman" w:cs="Times New Roman"/>
                <w:bCs/>
                <w:color w:val="000000"/>
              </w:rPr>
              <w:t>(</w:t>
            </w:r>
            <w:r w:rsidRPr="00080851">
              <w:rPr>
                <w:rFonts w:ascii="Times New Roman" w:eastAsia="方正仿宋简体" w:hAnsi="Times New Roman" w:cs="Times New Roman"/>
                <w:bCs/>
                <w:color w:val="000000"/>
              </w:rPr>
              <w:t>手</w:t>
            </w:r>
            <w:r w:rsidRPr="00080851">
              <w:rPr>
                <w:rFonts w:ascii="Times New Roman" w:eastAsia="方正仿宋简体" w:hAnsi="Times New Roman" w:cs="Times New Roman"/>
                <w:bCs/>
                <w:color w:val="000000"/>
              </w:rPr>
              <w:t>)</w:t>
            </w:r>
          </w:p>
        </w:tc>
        <w:tc>
          <w:tcPr>
            <w:tcW w:w="1366" w:type="dxa"/>
            <w:gridSpan w:val="2"/>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限仓数额</w:t>
            </w:r>
            <w:r w:rsidRPr="00080851">
              <w:rPr>
                <w:rFonts w:ascii="Times New Roman" w:eastAsia="方正仿宋简体" w:hAnsi="Times New Roman" w:cs="Times New Roman"/>
                <w:bCs/>
                <w:color w:val="000000"/>
              </w:rPr>
              <w:t>(</w:t>
            </w:r>
            <w:r w:rsidRPr="00080851">
              <w:rPr>
                <w:rFonts w:ascii="Times New Roman" w:eastAsia="方正仿宋简体" w:hAnsi="Times New Roman" w:cs="Times New Roman"/>
                <w:bCs/>
                <w:color w:val="000000"/>
              </w:rPr>
              <w:t>手</w:t>
            </w:r>
            <w:r w:rsidRPr="00080851">
              <w:rPr>
                <w:rFonts w:ascii="Times New Roman" w:eastAsia="方正仿宋简体" w:hAnsi="Times New Roman" w:cs="Times New Roman"/>
                <w:bCs/>
                <w:color w:val="000000"/>
              </w:rPr>
              <w:t>)</w:t>
            </w:r>
          </w:p>
        </w:tc>
      </w:tr>
      <w:tr w:rsidR="00357A3E" w:rsidRPr="00080851" w:rsidTr="00810A3A">
        <w:trPr>
          <w:cantSplit/>
          <w:trHeight w:val="1534"/>
          <w:jc w:val="center"/>
        </w:trPr>
        <w:tc>
          <w:tcPr>
            <w:tcW w:w="782" w:type="dxa"/>
            <w:vMerge/>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p>
        </w:tc>
        <w:tc>
          <w:tcPr>
            <w:tcW w:w="1036" w:type="dxa"/>
            <w:vMerge/>
            <w:tcBorders>
              <w:right w:val="single" w:sz="4" w:space="0" w:color="auto"/>
            </w:tcBorders>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p>
        </w:tc>
        <w:tc>
          <w:tcPr>
            <w:tcW w:w="984" w:type="dxa"/>
            <w:tcBorders>
              <w:right w:val="single" w:sz="4" w:space="0" w:color="auto"/>
            </w:tcBorders>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期货公司会员</w:t>
            </w:r>
          </w:p>
        </w:tc>
        <w:tc>
          <w:tcPr>
            <w:tcW w:w="1284" w:type="dxa"/>
            <w:vMerge/>
            <w:tcBorders>
              <w:left w:val="single" w:sz="4" w:space="0" w:color="auto"/>
              <w:right w:val="single" w:sz="4" w:space="0" w:color="auto"/>
            </w:tcBorders>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p>
        </w:tc>
        <w:tc>
          <w:tcPr>
            <w:tcW w:w="850" w:type="dxa"/>
            <w:tcBorders>
              <w:left w:val="single" w:sz="4" w:space="0" w:color="auto"/>
            </w:tcBorders>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非期货</w:t>
            </w:r>
          </w:p>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公司</w:t>
            </w:r>
          </w:p>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会员</w:t>
            </w:r>
          </w:p>
        </w:tc>
        <w:tc>
          <w:tcPr>
            <w:tcW w:w="709" w:type="dxa"/>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客户</w:t>
            </w:r>
          </w:p>
        </w:tc>
        <w:tc>
          <w:tcPr>
            <w:tcW w:w="850" w:type="dxa"/>
            <w:tcBorders>
              <w:left w:val="single" w:sz="4" w:space="0" w:color="auto"/>
            </w:tcBorders>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非期货公司</w:t>
            </w:r>
          </w:p>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会员</w:t>
            </w:r>
          </w:p>
        </w:tc>
        <w:tc>
          <w:tcPr>
            <w:tcW w:w="761" w:type="dxa"/>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客户</w:t>
            </w:r>
          </w:p>
        </w:tc>
        <w:tc>
          <w:tcPr>
            <w:tcW w:w="799" w:type="dxa"/>
            <w:tcBorders>
              <w:left w:val="single" w:sz="4" w:space="0" w:color="auto"/>
            </w:tcBorders>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非期货</w:t>
            </w:r>
          </w:p>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公司</w:t>
            </w:r>
          </w:p>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会员</w:t>
            </w:r>
          </w:p>
        </w:tc>
        <w:tc>
          <w:tcPr>
            <w:tcW w:w="567" w:type="dxa"/>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客户</w:t>
            </w:r>
          </w:p>
        </w:tc>
      </w:tr>
      <w:tr w:rsidR="00357A3E" w:rsidRPr="00080851" w:rsidTr="00810A3A">
        <w:trPr>
          <w:cantSplit/>
          <w:trHeight w:val="413"/>
          <w:jc w:val="center"/>
        </w:trPr>
        <w:tc>
          <w:tcPr>
            <w:tcW w:w="782" w:type="dxa"/>
            <w:vMerge w:val="restart"/>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铅</w:t>
            </w:r>
          </w:p>
        </w:tc>
        <w:tc>
          <w:tcPr>
            <w:tcW w:w="1036" w:type="dxa"/>
            <w:vMerge w:val="restart"/>
            <w:tcBorders>
              <w:right w:val="single" w:sz="4" w:space="0" w:color="auto"/>
            </w:tcBorders>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≥5</w:t>
            </w:r>
            <w:r w:rsidRPr="00080851">
              <w:rPr>
                <w:rFonts w:ascii="Times New Roman" w:eastAsia="方正仿宋简体" w:hAnsi="Times New Roman" w:cs="Times New Roman"/>
                <w:bCs/>
                <w:color w:val="000000"/>
              </w:rPr>
              <w:t>万手</w:t>
            </w:r>
          </w:p>
        </w:tc>
        <w:tc>
          <w:tcPr>
            <w:tcW w:w="984" w:type="dxa"/>
            <w:vMerge w:val="restart"/>
            <w:tcBorders>
              <w:right w:val="single" w:sz="4" w:space="0" w:color="auto"/>
            </w:tcBorders>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25</w:t>
            </w:r>
          </w:p>
        </w:tc>
        <w:tc>
          <w:tcPr>
            <w:tcW w:w="1284" w:type="dxa"/>
            <w:tcBorders>
              <w:left w:val="single" w:sz="4" w:space="0" w:color="auto"/>
              <w:right w:val="single" w:sz="4" w:space="0" w:color="auto"/>
            </w:tcBorders>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≥5</w:t>
            </w:r>
            <w:r w:rsidRPr="00080851">
              <w:rPr>
                <w:rFonts w:ascii="Times New Roman" w:eastAsia="方正仿宋简体" w:hAnsi="Times New Roman" w:cs="Times New Roman"/>
                <w:bCs/>
                <w:color w:val="000000"/>
              </w:rPr>
              <w:t>万手</w:t>
            </w:r>
          </w:p>
        </w:tc>
        <w:tc>
          <w:tcPr>
            <w:tcW w:w="850" w:type="dxa"/>
            <w:tcBorders>
              <w:left w:val="single" w:sz="4" w:space="0" w:color="auto"/>
            </w:tcBorders>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10</w:t>
            </w:r>
          </w:p>
        </w:tc>
        <w:tc>
          <w:tcPr>
            <w:tcW w:w="709" w:type="dxa"/>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10</w:t>
            </w:r>
          </w:p>
        </w:tc>
        <w:tc>
          <w:tcPr>
            <w:tcW w:w="850" w:type="dxa"/>
            <w:vMerge w:val="restart"/>
            <w:tcBorders>
              <w:left w:val="single" w:sz="4" w:space="0" w:color="auto"/>
            </w:tcBorders>
            <w:shd w:val="clear" w:color="auto" w:fill="auto"/>
            <w:vAlign w:val="center"/>
          </w:tcPr>
          <w:p w:rsidR="00357A3E" w:rsidRPr="00080851" w:rsidRDefault="00357A3E" w:rsidP="00B85A82">
            <w:pPr>
              <w:spacing w:line="560" w:lineRule="exact"/>
              <w:ind w:firstLineChars="50" w:firstLine="105"/>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1800</w:t>
            </w:r>
          </w:p>
        </w:tc>
        <w:tc>
          <w:tcPr>
            <w:tcW w:w="761" w:type="dxa"/>
            <w:vMerge w:val="restart"/>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1800</w:t>
            </w:r>
          </w:p>
        </w:tc>
        <w:tc>
          <w:tcPr>
            <w:tcW w:w="799" w:type="dxa"/>
            <w:vMerge w:val="restart"/>
            <w:tcBorders>
              <w:left w:val="single" w:sz="4" w:space="0" w:color="auto"/>
            </w:tcBorders>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600</w:t>
            </w:r>
          </w:p>
        </w:tc>
        <w:tc>
          <w:tcPr>
            <w:tcW w:w="567" w:type="dxa"/>
            <w:vMerge w:val="restart"/>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600</w:t>
            </w:r>
          </w:p>
        </w:tc>
      </w:tr>
      <w:tr w:rsidR="00357A3E" w:rsidRPr="00080851" w:rsidTr="00810A3A">
        <w:trPr>
          <w:cantSplit/>
          <w:trHeight w:val="482"/>
          <w:jc w:val="center"/>
        </w:trPr>
        <w:tc>
          <w:tcPr>
            <w:tcW w:w="782" w:type="dxa"/>
            <w:vMerge/>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dstrike/>
                <w:color w:val="000000"/>
                <w:shd w:val="pct15" w:color="auto" w:fill="FFFFFF"/>
              </w:rPr>
            </w:pPr>
          </w:p>
        </w:tc>
        <w:tc>
          <w:tcPr>
            <w:tcW w:w="1036" w:type="dxa"/>
            <w:vMerge/>
            <w:tcBorders>
              <w:right w:val="single" w:sz="4" w:space="0" w:color="auto"/>
            </w:tcBorders>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dstrike/>
                <w:color w:val="000000"/>
                <w:shd w:val="pct15" w:color="auto" w:fill="FFFFFF"/>
              </w:rPr>
            </w:pPr>
          </w:p>
        </w:tc>
        <w:tc>
          <w:tcPr>
            <w:tcW w:w="984" w:type="dxa"/>
            <w:vMerge/>
            <w:tcBorders>
              <w:right w:val="single" w:sz="4" w:space="0" w:color="auto"/>
            </w:tcBorders>
            <w:vAlign w:val="center"/>
          </w:tcPr>
          <w:p w:rsidR="00357A3E" w:rsidRPr="00080851" w:rsidRDefault="00357A3E" w:rsidP="00B85A82">
            <w:pPr>
              <w:spacing w:line="560" w:lineRule="exact"/>
              <w:jc w:val="center"/>
              <w:rPr>
                <w:rFonts w:ascii="Times New Roman" w:eastAsia="方正仿宋简体" w:hAnsi="Times New Roman" w:cs="Times New Roman"/>
                <w:bCs/>
                <w:dstrike/>
                <w:color w:val="000000"/>
                <w:shd w:val="pct15" w:color="auto" w:fill="FFFFFF"/>
              </w:rPr>
            </w:pPr>
          </w:p>
        </w:tc>
        <w:tc>
          <w:tcPr>
            <w:tcW w:w="1284" w:type="dxa"/>
            <w:tcBorders>
              <w:left w:val="single" w:sz="4" w:space="0" w:color="auto"/>
              <w:right w:val="single" w:sz="4" w:space="0" w:color="auto"/>
            </w:tcBorders>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w:t>
            </w:r>
            <w:r w:rsidRPr="00080851">
              <w:rPr>
                <w:rFonts w:ascii="Times New Roman" w:eastAsia="方正仿宋简体" w:hAnsi="Times New Roman" w:cs="Times New Roman"/>
                <w:bCs/>
                <w:color w:val="000000"/>
              </w:rPr>
              <w:t>5</w:t>
            </w:r>
            <w:r w:rsidRPr="00080851">
              <w:rPr>
                <w:rFonts w:ascii="Times New Roman" w:eastAsia="方正仿宋简体" w:hAnsi="Times New Roman" w:cs="Times New Roman"/>
                <w:bCs/>
                <w:color w:val="000000"/>
              </w:rPr>
              <w:t>万手</w:t>
            </w:r>
          </w:p>
        </w:tc>
        <w:tc>
          <w:tcPr>
            <w:tcW w:w="850" w:type="dxa"/>
            <w:tcBorders>
              <w:left w:val="single" w:sz="4" w:space="0" w:color="auto"/>
            </w:tcBorders>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5000</w:t>
            </w:r>
          </w:p>
        </w:tc>
        <w:tc>
          <w:tcPr>
            <w:tcW w:w="709" w:type="dxa"/>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color w:val="000000"/>
              </w:rPr>
            </w:pPr>
            <w:r w:rsidRPr="00080851">
              <w:rPr>
                <w:rFonts w:ascii="Times New Roman" w:eastAsia="方正仿宋简体" w:hAnsi="Times New Roman" w:cs="Times New Roman"/>
                <w:bCs/>
                <w:color w:val="000000"/>
              </w:rPr>
              <w:t>5000</w:t>
            </w:r>
          </w:p>
        </w:tc>
        <w:tc>
          <w:tcPr>
            <w:tcW w:w="850" w:type="dxa"/>
            <w:vMerge/>
            <w:tcBorders>
              <w:left w:val="single" w:sz="4" w:space="0" w:color="auto"/>
            </w:tcBorders>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dstrike/>
                <w:color w:val="000000"/>
                <w:shd w:val="pct15" w:color="auto" w:fill="FFFFFF"/>
              </w:rPr>
            </w:pPr>
          </w:p>
        </w:tc>
        <w:tc>
          <w:tcPr>
            <w:tcW w:w="761" w:type="dxa"/>
            <w:vMerge/>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dstrike/>
                <w:color w:val="000000"/>
                <w:shd w:val="pct15" w:color="auto" w:fill="FFFFFF"/>
              </w:rPr>
            </w:pPr>
          </w:p>
        </w:tc>
        <w:tc>
          <w:tcPr>
            <w:tcW w:w="799" w:type="dxa"/>
            <w:vMerge/>
            <w:tcBorders>
              <w:left w:val="single" w:sz="4" w:space="0" w:color="auto"/>
            </w:tcBorders>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dstrike/>
                <w:color w:val="000000"/>
                <w:shd w:val="pct15" w:color="auto" w:fill="FFFFFF"/>
              </w:rPr>
            </w:pPr>
          </w:p>
        </w:tc>
        <w:tc>
          <w:tcPr>
            <w:tcW w:w="567" w:type="dxa"/>
            <w:vMerge/>
            <w:shd w:val="clear" w:color="auto" w:fill="auto"/>
            <w:vAlign w:val="center"/>
          </w:tcPr>
          <w:p w:rsidR="00357A3E" w:rsidRPr="00080851" w:rsidRDefault="00357A3E" w:rsidP="00B85A82">
            <w:pPr>
              <w:spacing w:line="560" w:lineRule="exact"/>
              <w:jc w:val="center"/>
              <w:rPr>
                <w:rFonts w:ascii="Times New Roman" w:eastAsia="方正仿宋简体" w:hAnsi="Times New Roman" w:cs="Times New Roman"/>
                <w:bCs/>
                <w:dstrike/>
                <w:color w:val="000000"/>
                <w:shd w:val="pct15" w:color="auto" w:fill="FFFFFF"/>
              </w:rPr>
            </w:pPr>
          </w:p>
        </w:tc>
      </w:tr>
    </w:tbl>
    <w:p w:rsidR="00357A3E" w:rsidRPr="00080851" w:rsidRDefault="00357A3E" w:rsidP="00B01045">
      <w:pPr>
        <w:spacing w:line="560" w:lineRule="exact"/>
        <w:ind w:firstLineChars="200" w:firstLine="480"/>
        <w:rPr>
          <w:rFonts w:ascii="Times New Roman" w:eastAsia="方正仿宋简体" w:hAnsi="Times New Roman" w:cs="Times New Roman"/>
          <w:bCs/>
          <w:color w:val="000000"/>
          <w:sz w:val="24"/>
        </w:rPr>
      </w:pPr>
      <w:r w:rsidRPr="00080851">
        <w:rPr>
          <w:rFonts w:ascii="Times New Roman" w:eastAsia="方正仿宋简体" w:hAnsi="Times New Roman" w:cs="Times New Roman"/>
          <w:bCs/>
          <w:color w:val="000000"/>
          <w:sz w:val="24"/>
        </w:rPr>
        <w:t>注：表中持仓量、限仓数额为单向计算；期货公司会员的限仓比例为基数。</w:t>
      </w:r>
    </w:p>
    <w:p w:rsidR="00237ED7" w:rsidRPr="00080851" w:rsidRDefault="00237ED7" w:rsidP="00B85A82">
      <w:pPr>
        <w:spacing w:line="560" w:lineRule="exact"/>
        <w:ind w:firstLineChars="200" w:firstLine="602"/>
        <w:rPr>
          <w:rFonts w:ascii="Times New Roman" w:eastAsia="方正仿宋简体" w:hAnsi="Times New Roman" w:cs="Times New Roman"/>
          <w:b/>
          <w:sz w:val="30"/>
          <w:szCs w:val="30"/>
        </w:rPr>
      </w:pPr>
      <w:r w:rsidRPr="00080851">
        <w:rPr>
          <w:rFonts w:ascii="Times New Roman" w:eastAsia="方正仿宋简体" w:hAnsi="Times New Roman" w:cs="Times New Roman"/>
          <w:b/>
          <w:sz w:val="30"/>
          <w:szCs w:val="30"/>
        </w:rPr>
        <w:t>第</w:t>
      </w:r>
      <w:r w:rsidR="00FF4808" w:rsidRPr="00080851">
        <w:rPr>
          <w:rFonts w:ascii="Times New Roman" w:eastAsia="方正仿宋简体" w:hAnsi="Times New Roman" w:cs="Times New Roman"/>
          <w:b/>
          <w:sz w:val="30"/>
          <w:szCs w:val="30"/>
        </w:rPr>
        <w:t>二十九</w:t>
      </w:r>
      <w:r w:rsidRPr="00080851">
        <w:rPr>
          <w:rFonts w:ascii="Times New Roman" w:eastAsia="方正仿宋简体" w:hAnsi="Times New Roman" w:cs="Times New Roman"/>
          <w:b/>
          <w:sz w:val="30"/>
          <w:szCs w:val="30"/>
        </w:rPr>
        <w:t>条</w:t>
      </w:r>
      <w:r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交割月前第一月的最后一个交易日收盘前，各会员、各客户在每个</w:t>
      </w:r>
      <w:proofErr w:type="gramStart"/>
      <w:r w:rsidRPr="00080851">
        <w:rPr>
          <w:rFonts w:ascii="Times New Roman" w:eastAsia="方正仿宋简体" w:hAnsi="Times New Roman" w:cs="Times New Roman"/>
          <w:sz w:val="30"/>
          <w:szCs w:val="30"/>
        </w:rPr>
        <w:t>会员处铅期货</w:t>
      </w:r>
      <w:proofErr w:type="gramEnd"/>
      <w:r w:rsidRPr="00080851">
        <w:rPr>
          <w:rFonts w:ascii="Times New Roman" w:eastAsia="方正仿宋简体" w:hAnsi="Times New Roman" w:cs="Times New Roman"/>
          <w:sz w:val="30"/>
          <w:szCs w:val="30"/>
        </w:rPr>
        <w:t>合约的投机持仓应当调整为</w:t>
      </w:r>
      <w:r w:rsidRPr="00080851">
        <w:rPr>
          <w:rFonts w:ascii="Times New Roman" w:eastAsia="方正仿宋简体" w:hAnsi="Times New Roman" w:cs="Times New Roman"/>
          <w:sz w:val="30"/>
          <w:szCs w:val="30"/>
        </w:rPr>
        <w:t>5</w:t>
      </w:r>
      <w:r w:rsidRPr="00080851">
        <w:rPr>
          <w:rFonts w:ascii="Times New Roman" w:eastAsia="方正仿宋简体" w:hAnsi="Times New Roman" w:cs="Times New Roman"/>
          <w:sz w:val="30"/>
          <w:szCs w:val="30"/>
        </w:rPr>
        <w:t>手的整倍数（</w:t>
      </w:r>
      <w:proofErr w:type="gramStart"/>
      <w:r w:rsidRPr="00080851">
        <w:rPr>
          <w:rFonts w:ascii="Times New Roman" w:eastAsia="方正仿宋简体" w:hAnsi="Times New Roman" w:cs="Times New Roman"/>
          <w:sz w:val="30"/>
          <w:szCs w:val="30"/>
        </w:rPr>
        <w:t>遇市场</w:t>
      </w:r>
      <w:proofErr w:type="gramEnd"/>
      <w:r w:rsidRPr="00080851">
        <w:rPr>
          <w:rFonts w:ascii="Times New Roman" w:eastAsia="方正仿宋简体" w:hAnsi="Times New Roman" w:cs="Times New Roman"/>
          <w:sz w:val="30"/>
          <w:szCs w:val="30"/>
        </w:rPr>
        <w:t>特殊情况无法按期调整的，可以顺延一天）</w:t>
      </w:r>
      <w:r w:rsidRPr="00080851">
        <w:rPr>
          <w:rFonts w:ascii="Times New Roman" w:eastAsia="方正仿宋简体" w:hAnsi="Times New Roman" w:cs="Times New Roman"/>
          <w:sz w:val="30"/>
          <w:szCs w:val="30"/>
        </w:rPr>
        <w:t xml:space="preserve">; </w:t>
      </w:r>
      <w:r w:rsidRPr="00080851">
        <w:rPr>
          <w:rFonts w:ascii="Times New Roman" w:eastAsia="方正仿宋简体" w:hAnsi="Times New Roman" w:cs="Times New Roman"/>
          <w:sz w:val="30"/>
          <w:szCs w:val="30"/>
        </w:rPr>
        <w:t>进入交割月后，铅期货合约投机持仓应当是</w:t>
      </w:r>
      <w:r w:rsidRPr="00080851">
        <w:rPr>
          <w:rFonts w:ascii="Times New Roman" w:eastAsia="方正仿宋简体" w:hAnsi="Times New Roman" w:cs="Times New Roman"/>
          <w:sz w:val="30"/>
          <w:szCs w:val="30"/>
        </w:rPr>
        <w:t>5</w:t>
      </w:r>
      <w:r w:rsidRPr="00080851">
        <w:rPr>
          <w:rFonts w:ascii="Times New Roman" w:eastAsia="方正仿宋简体" w:hAnsi="Times New Roman" w:cs="Times New Roman"/>
          <w:sz w:val="30"/>
          <w:szCs w:val="30"/>
        </w:rPr>
        <w:t>手的整倍数，新开仓、平仓也应当是</w:t>
      </w:r>
      <w:r w:rsidRPr="00080851">
        <w:rPr>
          <w:rFonts w:ascii="Times New Roman" w:eastAsia="方正仿宋简体" w:hAnsi="Times New Roman" w:cs="Times New Roman"/>
          <w:sz w:val="30"/>
          <w:szCs w:val="30"/>
        </w:rPr>
        <w:t>5</w:t>
      </w:r>
      <w:r w:rsidRPr="00080851">
        <w:rPr>
          <w:rFonts w:ascii="Times New Roman" w:eastAsia="方正仿宋简体" w:hAnsi="Times New Roman" w:cs="Times New Roman"/>
          <w:sz w:val="30"/>
          <w:szCs w:val="30"/>
        </w:rPr>
        <w:t>手的整倍数。</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w:t>
      </w:r>
      <w:r w:rsidR="00CC39FB" w:rsidRPr="00080851">
        <w:rPr>
          <w:rFonts w:ascii="Times New Roman" w:eastAsia="方正仿宋简体" w:hAnsi="Times New Roman" w:cs="Times New Roman"/>
          <w:b/>
          <w:sz w:val="30"/>
          <w:szCs w:val="30"/>
        </w:rPr>
        <w:t>三十</w:t>
      </w:r>
      <w:r w:rsidRPr="00080851">
        <w:rPr>
          <w:rFonts w:ascii="Times New Roman" w:eastAsia="方正仿宋简体" w:hAnsi="Times New Roman" w:cs="Times New Roman"/>
          <w:b/>
          <w:sz w:val="30"/>
          <w:szCs w:val="30"/>
        </w:rPr>
        <w:t>条</w:t>
      </w:r>
      <w:r w:rsidR="004F5FE5"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交易所对</w:t>
      </w:r>
      <w:proofErr w:type="gramStart"/>
      <w:r w:rsidRPr="00080851">
        <w:rPr>
          <w:rFonts w:ascii="Times New Roman" w:eastAsia="方正仿宋简体" w:hAnsi="Times New Roman" w:cs="Times New Roman"/>
          <w:sz w:val="30"/>
          <w:szCs w:val="30"/>
        </w:rPr>
        <w:t>某一铅期货</w:t>
      </w:r>
      <w:proofErr w:type="gramEnd"/>
      <w:r w:rsidRPr="00080851">
        <w:rPr>
          <w:rFonts w:ascii="Times New Roman" w:eastAsia="方正仿宋简体" w:hAnsi="Times New Roman" w:cs="Times New Roman"/>
          <w:sz w:val="30"/>
          <w:szCs w:val="30"/>
        </w:rPr>
        <w:t>合约采取强制减仓的，其申报平仓数量、持仓盈利客户平仓范围以及平仓数量的分配原则及方法按照下列方法确定：</w:t>
      </w:r>
    </w:p>
    <w:p w:rsidR="00357A3E" w:rsidRPr="00080851" w:rsidRDefault="00357A3E" w:rsidP="00B85A82">
      <w:pPr>
        <w:spacing w:line="560" w:lineRule="exact"/>
        <w:ind w:firstLineChars="200" w:firstLine="600"/>
        <w:rPr>
          <w:rFonts w:ascii="Times New Roman" w:eastAsia="方正仿宋简体" w:hAnsi="Times New Roman" w:cs="Times New Roman"/>
          <w:sz w:val="30"/>
          <w:szCs w:val="30"/>
        </w:rPr>
      </w:pPr>
      <w:r w:rsidRPr="00080851">
        <w:rPr>
          <w:rFonts w:ascii="Times New Roman" w:eastAsia="方正仿宋简体" w:hAnsi="Times New Roman" w:cs="Times New Roman"/>
          <w:sz w:val="30"/>
          <w:szCs w:val="30"/>
        </w:rPr>
        <w:t>（一）申报平仓数量。在强制减仓基</w:t>
      </w:r>
      <w:r w:rsidR="007A3125" w:rsidRPr="00080851">
        <w:rPr>
          <w:rFonts w:ascii="Times New Roman" w:eastAsia="方正仿宋简体" w:hAnsi="Times New Roman" w:cs="Times New Roman"/>
          <w:sz w:val="30"/>
          <w:szCs w:val="30"/>
        </w:rPr>
        <w:t>准日收市后，已在计算机系统中以涨跌停板价申报无法成交的，且</w:t>
      </w:r>
      <w:proofErr w:type="gramStart"/>
      <w:r w:rsidR="007A3125" w:rsidRPr="00080851">
        <w:rPr>
          <w:rFonts w:ascii="Times New Roman" w:eastAsia="方正仿宋简体" w:hAnsi="Times New Roman" w:cs="Times New Roman"/>
          <w:sz w:val="30"/>
          <w:szCs w:val="30"/>
        </w:rPr>
        <w:t>客户该铅</w:t>
      </w:r>
      <w:r w:rsidRPr="00080851">
        <w:rPr>
          <w:rFonts w:ascii="Times New Roman" w:eastAsia="方正仿宋简体" w:hAnsi="Times New Roman" w:cs="Times New Roman"/>
          <w:sz w:val="30"/>
          <w:szCs w:val="30"/>
        </w:rPr>
        <w:t>期货</w:t>
      </w:r>
      <w:proofErr w:type="gramEnd"/>
      <w:r w:rsidRPr="00080851">
        <w:rPr>
          <w:rFonts w:ascii="Times New Roman" w:eastAsia="方正仿宋简体" w:hAnsi="Times New Roman" w:cs="Times New Roman"/>
          <w:sz w:val="30"/>
          <w:szCs w:val="30"/>
        </w:rPr>
        <w:t>合约的单位净持仓亏损大于或者等于强制减仓基准日结算价</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的所有申报平仓数量的总和为平仓数量。</w:t>
      </w:r>
    </w:p>
    <w:p w:rsidR="00357A3E" w:rsidRPr="00080851" w:rsidRDefault="00357A3E" w:rsidP="00B85A82">
      <w:pPr>
        <w:spacing w:line="560" w:lineRule="exact"/>
        <w:ind w:firstLineChars="200" w:firstLine="600"/>
        <w:rPr>
          <w:rFonts w:ascii="Times New Roman" w:eastAsia="方正仿宋简体" w:hAnsi="Times New Roman" w:cs="Times New Roman"/>
          <w:sz w:val="30"/>
          <w:szCs w:val="30"/>
        </w:rPr>
      </w:pPr>
      <w:r w:rsidRPr="00080851">
        <w:rPr>
          <w:rFonts w:ascii="Times New Roman" w:eastAsia="方正仿宋简体" w:hAnsi="Times New Roman" w:cs="Times New Roman"/>
          <w:sz w:val="30"/>
          <w:szCs w:val="30"/>
        </w:rPr>
        <w:t>（二）持仓盈利客户平仓范围。根据《上海期货交易所风险</w:t>
      </w:r>
      <w:r w:rsidRPr="00080851">
        <w:rPr>
          <w:rFonts w:ascii="Times New Roman" w:eastAsia="方正仿宋简体" w:hAnsi="Times New Roman" w:cs="Times New Roman"/>
          <w:sz w:val="30"/>
          <w:szCs w:val="30"/>
        </w:rPr>
        <w:lastRenderedPageBreak/>
        <w:t>控制管理办法》所述方法计算的客户单位净持仓盈利的投机头寸以及客户单位净持仓盈利大于或者等于强制减仓基准日结算价</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的保值头寸都列入平仓范围。</w:t>
      </w:r>
    </w:p>
    <w:p w:rsidR="00357A3E" w:rsidRPr="00080851" w:rsidRDefault="00357A3E" w:rsidP="00B85A82">
      <w:pPr>
        <w:spacing w:line="560" w:lineRule="exact"/>
        <w:ind w:firstLineChars="200" w:firstLine="600"/>
        <w:rPr>
          <w:rFonts w:ascii="Times New Roman" w:eastAsia="方正仿宋简体" w:hAnsi="Times New Roman" w:cs="Times New Roman"/>
          <w:sz w:val="30"/>
          <w:szCs w:val="30"/>
        </w:rPr>
      </w:pPr>
      <w:r w:rsidRPr="00080851">
        <w:rPr>
          <w:rFonts w:ascii="Times New Roman" w:eastAsia="方正仿宋简体" w:hAnsi="Times New Roman" w:cs="Times New Roman"/>
          <w:sz w:val="30"/>
          <w:szCs w:val="30"/>
        </w:rPr>
        <w:t>（三）平仓数量的分配原则。在平仓范围内按盈利的大小和投机与保值的不同分成四级，逐级进行分配。首先分配给属平仓范围内单位净持仓盈利大于或者等于强制减仓基准日结算价</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的投机头寸；其次分配给单位净持仓盈利大于或者等于强制减仓基准日结算价</w:t>
      </w:r>
      <w:r w:rsidRPr="00080851">
        <w:rPr>
          <w:rFonts w:ascii="Times New Roman" w:eastAsia="方正仿宋简体" w:hAnsi="Times New Roman" w:cs="Times New Roman"/>
          <w:sz w:val="30"/>
          <w:szCs w:val="30"/>
        </w:rPr>
        <w:t>3%</w:t>
      </w:r>
      <w:r w:rsidRPr="00080851">
        <w:rPr>
          <w:rFonts w:ascii="Times New Roman" w:eastAsia="方正仿宋简体" w:hAnsi="Times New Roman" w:cs="Times New Roman"/>
          <w:sz w:val="30"/>
          <w:szCs w:val="30"/>
        </w:rPr>
        <w:t>，小于</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的投机头寸；再次分配给单位净持仓盈利小于强制减仓基准日结算价</w:t>
      </w:r>
      <w:r w:rsidRPr="00080851">
        <w:rPr>
          <w:rFonts w:ascii="Times New Roman" w:eastAsia="方正仿宋简体" w:hAnsi="Times New Roman" w:cs="Times New Roman"/>
          <w:sz w:val="30"/>
          <w:szCs w:val="30"/>
        </w:rPr>
        <w:t>3%</w:t>
      </w:r>
      <w:r w:rsidRPr="00080851">
        <w:rPr>
          <w:rFonts w:ascii="Times New Roman" w:eastAsia="方正仿宋简体" w:hAnsi="Times New Roman" w:cs="Times New Roman"/>
          <w:sz w:val="30"/>
          <w:szCs w:val="30"/>
        </w:rPr>
        <w:t>的投机头寸；最后分配给单位净持仓盈利大于或者等于强制减仓基准日结算价</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的保值头寸。上述各级分配比例均按申报平仓数量（剩余申报平仓数量）与各级可平仓的盈利头寸数量之比进行分配。</w:t>
      </w:r>
    </w:p>
    <w:p w:rsidR="00357A3E" w:rsidRPr="00080851" w:rsidRDefault="00357A3E" w:rsidP="00890AEA">
      <w:pPr>
        <w:spacing w:line="560" w:lineRule="exact"/>
        <w:ind w:firstLineChars="200" w:firstLine="600"/>
        <w:rPr>
          <w:rFonts w:ascii="Times New Roman" w:eastAsia="方正仿宋简体" w:hAnsi="Times New Roman" w:cs="Times New Roman"/>
          <w:sz w:val="30"/>
          <w:szCs w:val="30"/>
        </w:rPr>
      </w:pPr>
      <w:r w:rsidRPr="00080851">
        <w:rPr>
          <w:rFonts w:ascii="Times New Roman" w:eastAsia="方正仿宋简体" w:hAnsi="Times New Roman" w:cs="Times New Roman"/>
          <w:sz w:val="30"/>
          <w:szCs w:val="30"/>
        </w:rPr>
        <w:t>（四）平仓数量的分配</w:t>
      </w:r>
      <w:r w:rsidR="00890AEA" w:rsidRPr="00080851">
        <w:rPr>
          <w:rFonts w:ascii="Times New Roman" w:eastAsia="方正仿宋简体" w:hAnsi="Times New Roman" w:cs="Times New Roman"/>
          <w:sz w:val="30"/>
          <w:szCs w:val="30"/>
        </w:rPr>
        <w:t>方法</w:t>
      </w:r>
      <w:r w:rsidRPr="00080851">
        <w:rPr>
          <w:rFonts w:ascii="Times New Roman" w:eastAsia="方正仿宋简体" w:hAnsi="Times New Roman" w:cs="Times New Roman"/>
          <w:sz w:val="30"/>
          <w:szCs w:val="30"/>
        </w:rPr>
        <w:t>。盈利</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以上的投机头寸数量大于或者等于申报平仓数量的，根据申报平仓数量与盈利</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以上的投机头寸数量的比例，将申报平仓数量向盈利</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以上的投机客户分配</w:t>
      </w:r>
      <w:proofErr w:type="gramStart"/>
      <w:r w:rsidRPr="00080851">
        <w:rPr>
          <w:rFonts w:ascii="Times New Roman" w:eastAsia="方正仿宋简体" w:hAnsi="Times New Roman" w:cs="Times New Roman"/>
          <w:sz w:val="30"/>
          <w:szCs w:val="30"/>
        </w:rPr>
        <w:t>实际平仓</w:t>
      </w:r>
      <w:proofErr w:type="gramEnd"/>
      <w:r w:rsidRPr="00080851">
        <w:rPr>
          <w:rFonts w:ascii="Times New Roman" w:eastAsia="方正仿宋简体" w:hAnsi="Times New Roman" w:cs="Times New Roman"/>
          <w:sz w:val="30"/>
          <w:szCs w:val="30"/>
        </w:rPr>
        <w:t>数量；盈利</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以上的投机头寸数量小于申报平仓数量的，根据盈利</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以上的投机头寸数量与申报平仓数量的比例，将盈利</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以上投机头寸数量向申报平仓客户分配</w:t>
      </w:r>
      <w:proofErr w:type="gramStart"/>
      <w:r w:rsidRPr="00080851">
        <w:rPr>
          <w:rFonts w:ascii="Times New Roman" w:eastAsia="方正仿宋简体" w:hAnsi="Times New Roman" w:cs="Times New Roman"/>
          <w:sz w:val="30"/>
          <w:szCs w:val="30"/>
        </w:rPr>
        <w:t>实际平仓</w:t>
      </w:r>
      <w:proofErr w:type="gramEnd"/>
      <w:r w:rsidRPr="00080851">
        <w:rPr>
          <w:rFonts w:ascii="Times New Roman" w:eastAsia="方正仿宋简体" w:hAnsi="Times New Roman" w:cs="Times New Roman"/>
          <w:sz w:val="30"/>
          <w:szCs w:val="30"/>
        </w:rPr>
        <w:t>数量。再把剩余的申报平仓数量按上述的分配方法向盈利</w:t>
      </w:r>
      <w:r w:rsidRPr="00080851">
        <w:rPr>
          <w:rFonts w:ascii="Times New Roman" w:eastAsia="方正仿宋简体" w:hAnsi="Times New Roman" w:cs="Times New Roman"/>
          <w:sz w:val="30"/>
          <w:szCs w:val="30"/>
        </w:rPr>
        <w:t>3%</w:t>
      </w:r>
      <w:r w:rsidRPr="00080851">
        <w:rPr>
          <w:rFonts w:ascii="Times New Roman" w:eastAsia="方正仿宋简体" w:hAnsi="Times New Roman" w:cs="Times New Roman"/>
          <w:sz w:val="30"/>
          <w:szCs w:val="30"/>
        </w:rPr>
        <w:t>以上的投机头寸分配；还有剩余的，再向盈利</w:t>
      </w:r>
      <w:r w:rsidRPr="00080851">
        <w:rPr>
          <w:rFonts w:ascii="Times New Roman" w:eastAsia="方正仿宋简体" w:hAnsi="Times New Roman" w:cs="Times New Roman"/>
          <w:sz w:val="30"/>
          <w:szCs w:val="30"/>
        </w:rPr>
        <w:t>3%</w:t>
      </w:r>
      <w:r w:rsidRPr="00080851">
        <w:rPr>
          <w:rFonts w:ascii="Times New Roman" w:eastAsia="方正仿宋简体" w:hAnsi="Times New Roman" w:cs="Times New Roman"/>
          <w:sz w:val="30"/>
          <w:szCs w:val="30"/>
        </w:rPr>
        <w:t>以下的投机头寸分配；再有剩余的，再向盈利</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以上的保值头寸分配。还有剩余的</w:t>
      </w:r>
      <w:proofErr w:type="gramStart"/>
      <w:r w:rsidRPr="00080851">
        <w:rPr>
          <w:rFonts w:ascii="Times New Roman" w:eastAsia="方正仿宋简体" w:hAnsi="Times New Roman" w:cs="Times New Roman"/>
          <w:sz w:val="30"/>
          <w:szCs w:val="30"/>
        </w:rPr>
        <w:t>不</w:t>
      </w:r>
      <w:proofErr w:type="gramEnd"/>
      <w:r w:rsidRPr="00080851">
        <w:rPr>
          <w:rFonts w:ascii="Times New Roman" w:eastAsia="方正仿宋简体" w:hAnsi="Times New Roman" w:cs="Times New Roman"/>
          <w:sz w:val="30"/>
          <w:szCs w:val="30"/>
        </w:rPr>
        <w:t>再分配。</w:t>
      </w:r>
    </w:p>
    <w:p w:rsidR="00357A3E" w:rsidRPr="00080851" w:rsidRDefault="00357A3E" w:rsidP="00080851">
      <w:pPr>
        <w:spacing w:line="560" w:lineRule="exact"/>
        <w:jc w:val="center"/>
        <w:rPr>
          <w:rFonts w:ascii="黑体" w:eastAsia="黑体" w:hAnsi="黑体" w:cs="Times New Roman"/>
          <w:sz w:val="30"/>
          <w:szCs w:val="30"/>
        </w:rPr>
      </w:pPr>
      <w:r w:rsidRPr="00080851">
        <w:rPr>
          <w:rFonts w:ascii="黑体" w:eastAsia="黑体" w:hAnsi="黑体" w:cs="Times New Roman"/>
          <w:sz w:val="30"/>
          <w:szCs w:val="30"/>
        </w:rPr>
        <w:t>第五章</w:t>
      </w:r>
      <w:r w:rsidR="004F5FE5" w:rsidRPr="00080851">
        <w:rPr>
          <w:rFonts w:ascii="黑体" w:eastAsia="黑体" w:hAnsi="黑体" w:cs="Times New Roman"/>
          <w:sz w:val="30"/>
          <w:szCs w:val="30"/>
        </w:rPr>
        <w:t xml:space="preserve"> </w:t>
      </w:r>
      <w:r w:rsidRPr="00080851">
        <w:rPr>
          <w:rFonts w:ascii="黑体" w:eastAsia="黑体" w:hAnsi="黑体" w:cs="Times New Roman"/>
          <w:sz w:val="30"/>
          <w:szCs w:val="30"/>
        </w:rPr>
        <w:t>附</w:t>
      </w:r>
      <w:r w:rsidR="00E864CC">
        <w:rPr>
          <w:rFonts w:ascii="黑体" w:eastAsia="黑体" w:hAnsi="黑体" w:cs="Times New Roman" w:hint="eastAsia"/>
          <w:sz w:val="30"/>
          <w:szCs w:val="30"/>
        </w:rPr>
        <w:t xml:space="preserve"> </w:t>
      </w:r>
      <w:bookmarkStart w:id="0" w:name="_GoBack"/>
      <w:bookmarkEnd w:id="0"/>
      <w:r w:rsidRPr="00080851">
        <w:rPr>
          <w:rFonts w:ascii="黑体" w:eastAsia="黑体" w:hAnsi="黑体" w:cs="Times New Roman"/>
          <w:sz w:val="30"/>
          <w:szCs w:val="30"/>
        </w:rPr>
        <w:t>则</w:t>
      </w:r>
    </w:p>
    <w:p w:rsidR="000E3BE1" w:rsidRPr="00080851" w:rsidRDefault="000E3BE1" w:rsidP="000E3BE1">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第三十一条</w:t>
      </w:r>
      <w:r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本细则未规定的，按照交易所相关业务规则的</w:t>
      </w:r>
      <w:r w:rsidRPr="00080851">
        <w:rPr>
          <w:rFonts w:ascii="Times New Roman" w:eastAsia="方正仿宋简体" w:hAnsi="Times New Roman" w:cs="Times New Roman"/>
          <w:sz w:val="30"/>
          <w:szCs w:val="30"/>
        </w:rPr>
        <w:lastRenderedPageBreak/>
        <w:t>规定执行。</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w:t>
      </w:r>
      <w:r w:rsidR="0051152F" w:rsidRPr="00080851">
        <w:rPr>
          <w:rFonts w:ascii="Times New Roman" w:eastAsia="方正仿宋简体" w:hAnsi="Times New Roman" w:cs="Times New Roman"/>
          <w:b/>
          <w:sz w:val="30"/>
          <w:szCs w:val="30"/>
        </w:rPr>
        <w:t>三十</w:t>
      </w:r>
      <w:r w:rsidR="000E3BE1" w:rsidRPr="00080851">
        <w:rPr>
          <w:rFonts w:ascii="Times New Roman" w:eastAsia="方正仿宋简体" w:hAnsi="Times New Roman" w:cs="Times New Roman"/>
          <w:b/>
          <w:sz w:val="30"/>
          <w:szCs w:val="30"/>
        </w:rPr>
        <w:t>二</w:t>
      </w:r>
      <w:r w:rsidRPr="00080851">
        <w:rPr>
          <w:rFonts w:ascii="Times New Roman" w:eastAsia="方正仿宋简体" w:hAnsi="Times New Roman" w:cs="Times New Roman"/>
          <w:b/>
          <w:sz w:val="30"/>
          <w:szCs w:val="30"/>
        </w:rPr>
        <w:t>条</w:t>
      </w:r>
      <w:r w:rsidR="004F5FE5"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违反本细则规定的，交易所按照《上海期货交易所违规处理办法》的有关规定处理。</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第三十</w:t>
      </w:r>
      <w:r w:rsidR="00CC39FB" w:rsidRPr="00080851">
        <w:rPr>
          <w:rFonts w:ascii="Times New Roman" w:eastAsia="方正仿宋简体" w:hAnsi="Times New Roman" w:cs="Times New Roman"/>
          <w:b/>
          <w:sz w:val="30"/>
          <w:szCs w:val="30"/>
        </w:rPr>
        <w:t>三</w:t>
      </w:r>
      <w:r w:rsidRPr="00080851">
        <w:rPr>
          <w:rFonts w:ascii="Times New Roman" w:eastAsia="方正仿宋简体" w:hAnsi="Times New Roman" w:cs="Times New Roman"/>
          <w:b/>
          <w:sz w:val="30"/>
          <w:szCs w:val="30"/>
        </w:rPr>
        <w:t>条</w:t>
      </w:r>
      <w:r w:rsidR="004F5FE5"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本细则的解释权属于上海期货交易所。</w:t>
      </w:r>
    </w:p>
    <w:p w:rsidR="009D2AF1"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第三十</w:t>
      </w:r>
      <w:r w:rsidR="00CC39FB" w:rsidRPr="00080851">
        <w:rPr>
          <w:rFonts w:ascii="Times New Roman" w:eastAsia="方正仿宋简体" w:hAnsi="Times New Roman" w:cs="Times New Roman"/>
          <w:b/>
          <w:sz w:val="30"/>
          <w:szCs w:val="30"/>
        </w:rPr>
        <w:t>四</w:t>
      </w:r>
      <w:r w:rsidRPr="00080851">
        <w:rPr>
          <w:rFonts w:ascii="Times New Roman" w:eastAsia="方正仿宋简体" w:hAnsi="Times New Roman" w:cs="Times New Roman"/>
          <w:b/>
          <w:sz w:val="30"/>
          <w:szCs w:val="30"/>
        </w:rPr>
        <w:t>条</w:t>
      </w:r>
      <w:r w:rsidR="004F5FE5"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本细则自</w:t>
      </w:r>
      <w:r w:rsidR="004044F7" w:rsidRPr="00080851">
        <w:rPr>
          <w:rFonts w:ascii="Times New Roman" w:eastAsia="方正仿宋简体" w:hAnsi="Times New Roman" w:cs="Times New Roman"/>
          <w:sz w:val="30"/>
          <w:szCs w:val="30"/>
        </w:rPr>
        <w:t xml:space="preserve"> </w:t>
      </w:r>
      <w:r w:rsidRPr="00080851">
        <w:rPr>
          <w:rFonts w:ascii="Times New Roman" w:eastAsia="方正仿宋简体" w:hAnsi="Times New Roman" w:cs="Times New Roman"/>
          <w:sz w:val="30"/>
          <w:szCs w:val="30"/>
        </w:rPr>
        <w:t>年</w:t>
      </w:r>
      <w:r w:rsidR="004044F7" w:rsidRPr="00080851">
        <w:rPr>
          <w:rFonts w:ascii="Times New Roman" w:eastAsia="方正仿宋简体" w:hAnsi="Times New Roman" w:cs="Times New Roman"/>
          <w:sz w:val="30"/>
          <w:szCs w:val="30"/>
        </w:rPr>
        <w:t xml:space="preserve"> </w:t>
      </w:r>
      <w:r w:rsidRPr="00080851">
        <w:rPr>
          <w:rFonts w:ascii="Times New Roman" w:eastAsia="方正仿宋简体" w:hAnsi="Times New Roman" w:cs="Times New Roman"/>
          <w:sz w:val="30"/>
          <w:szCs w:val="30"/>
        </w:rPr>
        <w:t>月</w:t>
      </w:r>
      <w:r w:rsidR="004044F7" w:rsidRPr="00080851">
        <w:rPr>
          <w:rFonts w:ascii="Times New Roman" w:eastAsia="方正仿宋简体" w:hAnsi="Times New Roman" w:cs="Times New Roman"/>
          <w:sz w:val="30"/>
          <w:szCs w:val="30"/>
        </w:rPr>
        <w:t xml:space="preserve"> </w:t>
      </w:r>
      <w:r w:rsidRPr="00080851">
        <w:rPr>
          <w:rFonts w:ascii="Times New Roman" w:eastAsia="方正仿宋简体" w:hAnsi="Times New Roman" w:cs="Times New Roman"/>
          <w:sz w:val="30"/>
          <w:szCs w:val="30"/>
        </w:rPr>
        <w:t>日起实施。</w:t>
      </w:r>
    </w:p>
    <w:sectPr w:rsidR="009D2AF1" w:rsidRPr="00080851" w:rsidSect="00E864CC">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5CE" w:rsidRDefault="00A705CE" w:rsidP="00B85A82">
      <w:r>
        <w:separator/>
      </w:r>
    </w:p>
  </w:endnote>
  <w:endnote w:type="continuationSeparator" w:id="0">
    <w:p w:rsidR="00A705CE" w:rsidRDefault="00A705CE" w:rsidP="00B85A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615984"/>
      <w:docPartObj>
        <w:docPartGallery w:val="Page Numbers (Bottom of Page)"/>
        <w:docPartUnique/>
      </w:docPartObj>
    </w:sdtPr>
    <w:sdtEndPr>
      <w:rPr>
        <w:rFonts w:ascii="Times New Roman" w:hAnsi="Times New Roman" w:cs="Times New Roman"/>
        <w:sz w:val="24"/>
        <w:szCs w:val="24"/>
      </w:rPr>
    </w:sdtEndPr>
    <w:sdtContent>
      <w:p w:rsidR="00B01045" w:rsidRPr="00E864CC" w:rsidRDefault="00404D55">
        <w:pPr>
          <w:pStyle w:val="a4"/>
          <w:jc w:val="center"/>
          <w:rPr>
            <w:rFonts w:ascii="Times New Roman" w:hAnsi="Times New Roman" w:cs="Times New Roman"/>
            <w:sz w:val="24"/>
            <w:szCs w:val="24"/>
          </w:rPr>
        </w:pPr>
        <w:r w:rsidRPr="00E864CC">
          <w:rPr>
            <w:rFonts w:ascii="Times New Roman" w:hAnsi="Times New Roman" w:cs="Times New Roman"/>
            <w:sz w:val="24"/>
            <w:szCs w:val="24"/>
          </w:rPr>
          <w:fldChar w:fldCharType="begin"/>
        </w:r>
        <w:r w:rsidR="00B01045" w:rsidRPr="00E864CC">
          <w:rPr>
            <w:rFonts w:ascii="Times New Roman" w:hAnsi="Times New Roman" w:cs="Times New Roman"/>
            <w:sz w:val="24"/>
            <w:szCs w:val="24"/>
          </w:rPr>
          <w:instrText>PAGE   \* MERGEFORMAT</w:instrText>
        </w:r>
        <w:r w:rsidRPr="00E864CC">
          <w:rPr>
            <w:rFonts w:ascii="Times New Roman" w:hAnsi="Times New Roman" w:cs="Times New Roman"/>
            <w:sz w:val="24"/>
            <w:szCs w:val="24"/>
          </w:rPr>
          <w:fldChar w:fldCharType="separate"/>
        </w:r>
        <w:r w:rsidR="00BE00A0" w:rsidRPr="00BE00A0">
          <w:rPr>
            <w:rFonts w:ascii="Times New Roman" w:hAnsi="Times New Roman" w:cs="Times New Roman"/>
            <w:noProof/>
            <w:sz w:val="24"/>
            <w:szCs w:val="24"/>
            <w:lang w:val="zh-CN"/>
          </w:rPr>
          <w:t>-</w:t>
        </w:r>
        <w:r w:rsidR="00BE00A0">
          <w:rPr>
            <w:rFonts w:ascii="Times New Roman" w:hAnsi="Times New Roman" w:cs="Times New Roman"/>
            <w:noProof/>
            <w:sz w:val="24"/>
            <w:szCs w:val="24"/>
          </w:rPr>
          <w:t xml:space="preserve"> 7 -</w:t>
        </w:r>
        <w:r w:rsidRPr="00E864CC">
          <w:rPr>
            <w:rFonts w:ascii="Times New Roman" w:hAnsi="Times New Roman" w:cs="Times New Roman"/>
            <w:sz w:val="24"/>
            <w:szCs w:val="24"/>
          </w:rPr>
          <w:fldChar w:fldCharType="end"/>
        </w:r>
      </w:p>
    </w:sdtContent>
  </w:sdt>
  <w:p w:rsidR="00B01045" w:rsidRDefault="00B010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5CE" w:rsidRDefault="00A705CE" w:rsidP="00B85A82">
      <w:r>
        <w:separator/>
      </w:r>
    </w:p>
  </w:footnote>
  <w:footnote w:type="continuationSeparator" w:id="0">
    <w:p w:rsidR="00A705CE" w:rsidRDefault="00A705CE" w:rsidP="00B85A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7A3E"/>
    <w:rsid w:val="000072AC"/>
    <w:rsid w:val="000134B3"/>
    <w:rsid w:val="00080851"/>
    <w:rsid w:val="000E3BE1"/>
    <w:rsid w:val="0010762B"/>
    <w:rsid w:val="00140F82"/>
    <w:rsid w:val="00155757"/>
    <w:rsid w:val="00195D94"/>
    <w:rsid w:val="001B2B1D"/>
    <w:rsid w:val="001F2F41"/>
    <w:rsid w:val="00237ED7"/>
    <w:rsid w:val="002719A4"/>
    <w:rsid w:val="00294B2E"/>
    <w:rsid w:val="00297915"/>
    <w:rsid w:val="002E2F69"/>
    <w:rsid w:val="00357A3E"/>
    <w:rsid w:val="00367B16"/>
    <w:rsid w:val="003961B1"/>
    <w:rsid w:val="003C23A2"/>
    <w:rsid w:val="004044F7"/>
    <w:rsid w:val="00404D55"/>
    <w:rsid w:val="00406267"/>
    <w:rsid w:val="004149F8"/>
    <w:rsid w:val="004F5FE5"/>
    <w:rsid w:val="00501EF4"/>
    <w:rsid w:val="0051152F"/>
    <w:rsid w:val="005205BE"/>
    <w:rsid w:val="00562987"/>
    <w:rsid w:val="005B6EC3"/>
    <w:rsid w:val="005F2C25"/>
    <w:rsid w:val="00602883"/>
    <w:rsid w:val="007402B2"/>
    <w:rsid w:val="00766F23"/>
    <w:rsid w:val="00774B97"/>
    <w:rsid w:val="007759B6"/>
    <w:rsid w:val="007A3125"/>
    <w:rsid w:val="007C25C4"/>
    <w:rsid w:val="007C487E"/>
    <w:rsid w:val="007C7E65"/>
    <w:rsid w:val="00822030"/>
    <w:rsid w:val="0085551D"/>
    <w:rsid w:val="00875738"/>
    <w:rsid w:val="008829FB"/>
    <w:rsid w:val="00890AEA"/>
    <w:rsid w:val="0091568F"/>
    <w:rsid w:val="00982446"/>
    <w:rsid w:val="00996794"/>
    <w:rsid w:val="009A2EDA"/>
    <w:rsid w:val="009C4B3E"/>
    <w:rsid w:val="009D2AF1"/>
    <w:rsid w:val="00A34DD9"/>
    <w:rsid w:val="00A534B5"/>
    <w:rsid w:val="00A705CE"/>
    <w:rsid w:val="00AA78A1"/>
    <w:rsid w:val="00AC16CD"/>
    <w:rsid w:val="00AD3C01"/>
    <w:rsid w:val="00AF455C"/>
    <w:rsid w:val="00B01045"/>
    <w:rsid w:val="00B85A82"/>
    <w:rsid w:val="00BD15DD"/>
    <w:rsid w:val="00BE00A0"/>
    <w:rsid w:val="00CC39FB"/>
    <w:rsid w:val="00D42C8D"/>
    <w:rsid w:val="00D870A0"/>
    <w:rsid w:val="00DC51B7"/>
    <w:rsid w:val="00E03FEB"/>
    <w:rsid w:val="00E231BC"/>
    <w:rsid w:val="00E5367E"/>
    <w:rsid w:val="00E864CC"/>
    <w:rsid w:val="00F471D3"/>
    <w:rsid w:val="00FF4808"/>
    <w:rsid w:val="00FF6F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5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5A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5A82"/>
    <w:rPr>
      <w:sz w:val="18"/>
      <w:szCs w:val="18"/>
    </w:rPr>
  </w:style>
  <w:style w:type="paragraph" w:styleId="a4">
    <w:name w:val="footer"/>
    <w:basedOn w:val="a"/>
    <w:link w:val="Char0"/>
    <w:uiPriority w:val="99"/>
    <w:unhideWhenUsed/>
    <w:rsid w:val="00B85A82"/>
    <w:pPr>
      <w:tabs>
        <w:tab w:val="center" w:pos="4153"/>
        <w:tab w:val="right" w:pos="8306"/>
      </w:tabs>
      <w:snapToGrid w:val="0"/>
      <w:jc w:val="left"/>
    </w:pPr>
    <w:rPr>
      <w:sz w:val="18"/>
      <w:szCs w:val="18"/>
    </w:rPr>
  </w:style>
  <w:style w:type="character" w:customStyle="1" w:styleId="Char0">
    <w:name w:val="页脚 Char"/>
    <w:basedOn w:val="a0"/>
    <w:link w:val="a4"/>
    <w:uiPriority w:val="99"/>
    <w:rsid w:val="00B85A82"/>
    <w:rPr>
      <w:sz w:val="18"/>
      <w:szCs w:val="18"/>
    </w:rPr>
  </w:style>
  <w:style w:type="paragraph" w:styleId="a5">
    <w:name w:val="Balloon Text"/>
    <w:basedOn w:val="a"/>
    <w:link w:val="Char1"/>
    <w:uiPriority w:val="99"/>
    <w:semiHidden/>
    <w:unhideWhenUsed/>
    <w:rsid w:val="00F471D3"/>
    <w:rPr>
      <w:sz w:val="18"/>
      <w:szCs w:val="18"/>
    </w:rPr>
  </w:style>
  <w:style w:type="character" w:customStyle="1" w:styleId="Char1">
    <w:name w:val="批注框文本 Char"/>
    <w:basedOn w:val="a0"/>
    <w:link w:val="a5"/>
    <w:uiPriority w:val="99"/>
    <w:semiHidden/>
    <w:rsid w:val="00F471D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486</Words>
  <Characters>2771</Characters>
  <Application>Microsoft Office Word</Application>
  <DocSecurity>0</DocSecurity>
  <Lines>23</Lines>
  <Paragraphs>6</Paragraphs>
  <ScaleCrop>false</ScaleCrop>
  <Company>SHFE</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郑子函</cp:lastModifiedBy>
  <cp:revision>2</cp:revision>
  <cp:lastPrinted>2023-07-21T01:09:00Z</cp:lastPrinted>
  <dcterms:created xsi:type="dcterms:W3CDTF">2024-06-28T09:21:00Z</dcterms:created>
  <dcterms:modified xsi:type="dcterms:W3CDTF">2024-06-28T09:21:00Z</dcterms:modified>
</cp:coreProperties>
</file>