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C6" w:rsidRPr="00276AC6" w:rsidRDefault="00276AC6" w:rsidP="00276AC6">
      <w:pPr>
        <w:spacing w:line="560" w:lineRule="exact"/>
        <w:jc w:val="left"/>
        <w:rPr>
          <w:rFonts w:ascii="方正大标宋简体" w:eastAsia="方正大标宋简体" w:hAnsi="Times New Roman" w:cs="Times New Roman" w:hint="eastAsia"/>
          <w:color w:val="000000"/>
          <w:sz w:val="42"/>
          <w:szCs w:val="42"/>
        </w:rPr>
      </w:pPr>
      <w:r w:rsidRPr="00276AC6">
        <w:rPr>
          <w:rFonts w:ascii="方正大标宋简体" w:eastAsia="方正大标宋简体" w:hAnsi="Times New Roman" w:cs="Times New Roman" w:hint="eastAsia"/>
          <w:color w:val="000000"/>
          <w:sz w:val="42"/>
          <w:szCs w:val="42"/>
        </w:rPr>
        <w:t>附件2</w:t>
      </w:r>
    </w:p>
    <w:p w:rsidR="00276AC6" w:rsidRPr="00276AC6" w:rsidRDefault="00276AC6" w:rsidP="00276AC6">
      <w:pPr>
        <w:spacing w:line="560" w:lineRule="exact"/>
        <w:jc w:val="center"/>
        <w:rPr>
          <w:rFonts w:ascii="方正大标宋简体" w:eastAsia="方正大标宋简体" w:hAnsi="Times New Roman" w:cs="Times New Roman" w:hint="eastAsia"/>
          <w:kern w:val="36"/>
          <w:sz w:val="42"/>
          <w:szCs w:val="42"/>
        </w:rPr>
      </w:pPr>
    </w:p>
    <w:p w:rsidR="00276AC6" w:rsidRDefault="00276AC6" w:rsidP="00276AC6">
      <w:pPr>
        <w:spacing w:line="560" w:lineRule="exact"/>
        <w:jc w:val="center"/>
        <w:rPr>
          <w:rFonts w:ascii="方正大标宋简体" w:eastAsia="方正大标宋简体" w:hAnsi="Times New Roman" w:cs="Times New Roman"/>
          <w:kern w:val="36"/>
          <w:sz w:val="42"/>
          <w:szCs w:val="42"/>
        </w:rPr>
      </w:pPr>
      <w:r w:rsidRPr="00276AC6">
        <w:rPr>
          <w:rFonts w:ascii="方正大标宋简体" w:eastAsia="方正大标宋简体" w:hAnsi="Times New Roman" w:cs="Times New Roman" w:hint="eastAsia"/>
          <w:kern w:val="36"/>
          <w:sz w:val="42"/>
          <w:szCs w:val="42"/>
        </w:rPr>
        <w:t>上海期货交易所黄金期货合约修订说明</w:t>
      </w:r>
    </w:p>
    <w:p w:rsidR="00276AC6" w:rsidRPr="00276AC6" w:rsidRDefault="00276AC6" w:rsidP="00276AC6">
      <w:pPr>
        <w:spacing w:line="560" w:lineRule="exact"/>
        <w:jc w:val="center"/>
        <w:rPr>
          <w:rFonts w:ascii="方正大标宋简体" w:eastAsia="方正大标宋简体" w:hAnsi="Times New Roman" w:cs="Times New Roman" w:hint="eastAsia"/>
          <w:kern w:val="36"/>
          <w:sz w:val="42"/>
          <w:szCs w:val="42"/>
        </w:rPr>
      </w:pPr>
    </w:p>
    <w:p w:rsidR="00276AC6" w:rsidRPr="00610C47" w:rsidRDefault="00276AC6" w:rsidP="00276A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为更好服务我国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黄金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行业发展，促进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黄金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期货功能发挥，</w:t>
      </w:r>
      <w:r w:rsidRPr="00610C47">
        <w:rPr>
          <w:rFonts w:ascii="方正仿宋简体" w:eastAsia="方正仿宋简体" w:hAnsi="仿宋" w:cs="Times New Roman" w:hint="eastAsia"/>
          <w:color w:val="000000"/>
          <w:sz w:val="30"/>
          <w:szCs w:val="30"/>
        </w:rPr>
        <w:t>实现黄金期货</w:t>
      </w:r>
      <w:r w:rsidRPr="00610C47">
        <w:rPr>
          <w:rFonts w:ascii="方正仿宋简体" w:eastAsia="方正仿宋简体" w:hAnsi="仿宋" w:cs="Times New Roman"/>
          <w:color w:val="000000"/>
          <w:sz w:val="30"/>
          <w:szCs w:val="30"/>
        </w:rPr>
        <w:t>的</w:t>
      </w:r>
      <w:r w:rsidRPr="00610C47">
        <w:rPr>
          <w:rFonts w:ascii="方正仿宋简体" w:eastAsia="方正仿宋简体" w:hAnsi="仿宋" w:cs="Times New Roman" w:hint="eastAsia"/>
          <w:color w:val="000000"/>
          <w:sz w:val="30"/>
          <w:szCs w:val="30"/>
        </w:rPr>
        <w:t>平稳</w:t>
      </w:r>
      <w:r w:rsidRPr="00610C47">
        <w:rPr>
          <w:rFonts w:ascii="方正仿宋简体" w:eastAsia="方正仿宋简体" w:hAnsi="仿宋" w:cs="Times New Roman"/>
          <w:color w:val="000000"/>
          <w:sz w:val="30"/>
          <w:szCs w:val="30"/>
        </w:rPr>
        <w:t>交割，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上海期货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交易所根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国家市场监督管理总局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和国家标准化管理委员会联合发布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并实施的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国家标准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 xml:space="preserve">GB/T 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4134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-20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21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修订《上海期货交易所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黄金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期货合约》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附件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，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修订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内容</w:t>
      </w:r>
      <w:r w:rsidRPr="00610C47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如下</w:t>
      </w:r>
      <w:r w:rsidRPr="00610C47">
        <w:rPr>
          <w:rFonts w:ascii="Times New Roman" w:eastAsia="方正仿宋简体" w:hAnsi="Times New Roman" w:cs="Times New Roman"/>
          <w:color w:val="000000"/>
          <w:sz w:val="30"/>
          <w:szCs w:val="30"/>
        </w:rPr>
        <w:t>：</w:t>
      </w:r>
    </w:p>
    <w:p w:rsidR="00276AC6" w:rsidRPr="00610C47" w:rsidRDefault="00276AC6" w:rsidP="00276AC6">
      <w:pPr>
        <w:spacing w:line="560" w:lineRule="exact"/>
        <w:ind w:firstLine="640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将合约附件第二条第二款当中的“其他规定按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GB/T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4134-2015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标准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要求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”修改为“其他规定按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GB/T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4134-2021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标准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要求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”。</w:t>
      </w:r>
    </w:p>
    <w:p w:rsidR="00591070" w:rsidRPr="00276AC6" w:rsidRDefault="00591070">
      <w:bookmarkStart w:id="0" w:name="_GoBack"/>
      <w:bookmarkEnd w:id="0"/>
    </w:p>
    <w:sectPr w:rsidR="00591070" w:rsidRPr="0027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C6"/>
    <w:rsid w:val="00276AC6"/>
    <w:rsid w:val="0059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D8E1-B93C-4B7D-A295-C12D0763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2024-07-12T02:31:00Z</dcterms:created>
  <dcterms:modified xsi:type="dcterms:W3CDTF">2024-07-12T02:32:00Z</dcterms:modified>
</cp:coreProperties>
</file>