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3046"/>
        <w:tblW w:w="7938" w:type="dxa"/>
        <w:tblLook w:val="04A0" w:firstRow="1" w:lastRow="0" w:firstColumn="1" w:lastColumn="0" w:noHBand="0" w:noVBand="1"/>
      </w:tblPr>
      <w:tblGrid>
        <w:gridCol w:w="1413"/>
        <w:gridCol w:w="850"/>
        <w:gridCol w:w="5675"/>
      </w:tblGrid>
      <w:tr w:rsidR="00245725" w:rsidRPr="00DF0023" w:rsidTr="00CA0191">
        <w:trPr>
          <w:trHeight w:val="346"/>
        </w:trPr>
        <w:tc>
          <w:tcPr>
            <w:tcW w:w="7938" w:type="dxa"/>
            <w:gridSpan w:val="3"/>
            <w:tcBorders>
              <w:tl2br w:val="nil"/>
            </w:tcBorders>
          </w:tcPr>
          <w:p w:rsidR="00245725" w:rsidRPr="00960EDD" w:rsidRDefault="00245725" w:rsidP="00CA01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团体类奖项评分细则（优秀投研团队奖</w:t>
            </w:r>
            <w:r w:rsidRPr="00960EDD">
              <w:rPr>
                <w:rFonts w:ascii="方正仿宋简体" w:eastAsia="方正仿宋简体"/>
                <w:b/>
                <w:szCs w:val="21"/>
              </w:rPr>
              <w:t>、</w:t>
            </w:r>
            <w:r w:rsidRPr="00960EDD">
              <w:rPr>
                <w:rFonts w:ascii="方正仿宋简体" w:eastAsia="方正仿宋简体" w:hint="eastAsia"/>
                <w:b/>
                <w:szCs w:val="21"/>
              </w:rPr>
              <w:t>优秀产业服务团队奖）</w:t>
            </w:r>
          </w:p>
        </w:tc>
      </w:tr>
      <w:tr w:rsidR="00245725" w:rsidRPr="00DF0023" w:rsidTr="00CA0191">
        <w:trPr>
          <w:trHeight w:val="245"/>
        </w:trPr>
        <w:tc>
          <w:tcPr>
            <w:tcW w:w="1413" w:type="dxa"/>
            <w:tcBorders>
              <w:tl2br w:val="nil"/>
            </w:tcBorders>
          </w:tcPr>
          <w:p w:rsidR="00245725" w:rsidRPr="00960EDD" w:rsidRDefault="00245725" w:rsidP="00CA0191">
            <w:pPr>
              <w:tabs>
                <w:tab w:val="left" w:pos="666"/>
              </w:tabs>
              <w:jc w:val="center"/>
              <w:rPr>
                <w:rFonts w:ascii="方正仿宋简体" w:eastAsia="方正仿宋简体"/>
                <w:b/>
              </w:rPr>
            </w:pPr>
            <w:r w:rsidRPr="00960EDD">
              <w:rPr>
                <w:rFonts w:ascii="方正仿宋简体" w:eastAsia="方正仿宋简体" w:hint="eastAsia"/>
                <w:b/>
              </w:rPr>
              <w:t>评分项目</w:t>
            </w:r>
          </w:p>
        </w:tc>
        <w:tc>
          <w:tcPr>
            <w:tcW w:w="850" w:type="dxa"/>
          </w:tcPr>
          <w:p w:rsidR="00245725" w:rsidRPr="00960EDD" w:rsidRDefault="00245725" w:rsidP="00CA01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分值</w:t>
            </w:r>
          </w:p>
        </w:tc>
        <w:tc>
          <w:tcPr>
            <w:tcW w:w="5675" w:type="dxa"/>
          </w:tcPr>
          <w:p w:rsidR="00245725" w:rsidRPr="00960EDD" w:rsidRDefault="00245725" w:rsidP="00CA01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具体标准</w:t>
            </w:r>
          </w:p>
        </w:tc>
      </w:tr>
      <w:tr w:rsidR="00245725" w:rsidRPr="00DF0023" w:rsidTr="00CA0191">
        <w:trPr>
          <w:cantSplit/>
          <w:trHeight w:val="1134"/>
        </w:trPr>
        <w:tc>
          <w:tcPr>
            <w:tcW w:w="1413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</w:t>
            </w:r>
            <w:r w:rsidRPr="00DF0023">
              <w:rPr>
                <w:rFonts w:ascii="方正仿宋简体" w:eastAsia="方正仿宋简体" w:hint="eastAsia"/>
              </w:rPr>
              <w:t>.基本</w:t>
            </w:r>
            <w:r>
              <w:rPr>
                <w:rFonts w:ascii="方正仿宋简体" w:eastAsia="方正仿宋简体" w:hint="eastAsia"/>
              </w:rPr>
              <w:t>情况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5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</w:tcPr>
          <w:p w:rsidR="00245725" w:rsidRPr="00216572" w:rsidRDefault="00245725" w:rsidP="00CA0191">
            <w:pPr>
              <w:rPr>
                <w:rFonts w:ascii="方正仿宋简体" w:eastAsia="方正仿宋简体"/>
                <w:b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优秀投研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团队奖</w:t>
            </w:r>
            <w:r w:rsidR="00216572">
              <w:rPr>
                <w:rFonts w:ascii="方正仿宋简体" w:eastAsia="方正仿宋简体" w:hint="eastAsia"/>
                <w:b/>
                <w:sz w:val="18"/>
                <w:szCs w:val="18"/>
              </w:rPr>
              <w:t>、优秀</w:t>
            </w:r>
            <w:r w:rsidR="00216572"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产业团队奖</w:t>
            </w:r>
          </w:p>
          <w:p w:rsidR="00245725" w:rsidRPr="00216572" w:rsidRDefault="00245725" w:rsidP="00CA0191">
            <w:pPr>
              <w:pStyle w:val="a5"/>
              <w:numPr>
                <w:ilvl w:val="1"/>
                <w:numId w:val="1"/>
              </w:numPr>
              <w:ind w:firstLineChars="0"/>
              <w:rPr>
                <w:rFonts w:ascii="方正仿宋简体" w:eastAsia="方正仿宋简体"/>
                <w:sz w:val="18"/>
                <w:szCs w:val="18"/>
              </w:rPr>
            </w:pPr>
            <w:r w:rsidRPr="00D80691">
              <w:rPr>
                <w:rFonts w:ascii="方正仿宋简体" w:eastAsia="方正仿宋简体" w:hint="eastAsia"/>
                <w:b/>
                <w:sz w:val="18"/>
                <w:szCs w:val="18"/>
              </w:rPr>
              <w:t>人员数量。</w:t>
            </w:r>
            <w:r w:rsidR="00216572" w:rsidRPr="00216572">
              <w:rPr>
                <w:rFonts w:ascii="方正仿宋简体" w:eastAsia="方正仿宋简体" w:hint="eastAsia"/>
                <w:sz w:val="18"/>
                <w:szCs w:val="18"/>
              </w:rPr>
              <w:t>团队具有投资咨询资格的正式人员数量。</w:t>
            </w:r>
          </w:p>
        </w:tc>
      </w:tr>
      <w:tr w:rsidR="00245725" w:rsidRPr="00DF0023" w:rsidTr="00CA0191">
        <w:trPr>
          <w:cantSplit/>
          <w:trHeight w:val="1134"/>
        </w:trPr>
        <w:tc>
          <w:tcPr>
            <w:tcW w:w="1413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2</w:t>
            </w:r>
            <w:r w:rsidRPr="00DF0023">
              <w:rPr>
                <w:rFonts w:ascii="方正仿宋简体" w:eastAsia="方正仿宋简体" w:hint="eastAsia"/>
              </w:rPr>
              <w:t>.研究能力（分值和评分标准）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30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</w:tcPr>
          <w:p w:rsidR="00245725" w:rsidRPr="004533F2" w:rsidRDefault="00245725" w:rsidP="00CA0191">
            <w:pPr>
              <w:rPr>
                <w:rFonts w:ascii="Times New Roman" w:eastAsia="方正仿宋简体" w:hAnsi="Times New Roman" w:cs="Times New Roman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深度研究报告</w:t>
            </w:r>
            <w:r>
              <w:rPr>
                <w:rFonts w:ascii="Times New Roman" w:eastAsia="方正仿宋简体" w:hAnsi="Times New Roman" w:cs="Times New Roman" w:hint="eastAsia"/>
                <w:b/>
                <w:sz w:val="18"/>
                <w:szCs w:val="18"/>
              </w:rPr>
              <w:t>。</w:t>
            </w:r>
            <w:r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团队</w:t>
            </w:r>
            <w:r w:rsidRPr="001E0949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提交参选品类相关品种的深度研究报告</w:t>
            </w:r>
            <w:r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（周报、月报、</w:t>
            </w:r>
            <w:r w:rsidRPr="0082564E">
              <w:rPr>
                <w:rFonts w:ascii="方正仿宋简体" w:eastAsia="方正仿宋简体" w:hint="eastAsia"/>
                <w:sz w:val="18"/>
                <w:szCs w:val="18"/>
              </w:rPr>
              <w:t>季报</w:t>
            </w:r>
            <w:r w:rsidRPr="0082564E">
              <w:rPr>
                <w:rFonts w:ascii="方正仿宋简体" w:eastAsia="方正仿宋简体"/>
                <w:sz w:val="18"/>
                <w:szCs w:val="18"/>
              </w:rPr>
              <w:t>、</w:t>
            </w:r>
            <w:r w:rsidRPr="0082564E">
              <w:rPr>
                <w:rFonts w:ascii="方正仿宋简体" w:eastAsia="方正仿宋简体" w:hint="eastAsia"/>
                <w:sz w:val="18"/>
                <w:szCs w:val="18"/>
              </w:rPr>
              <w:t>半年报</w:t>
            </w:r>
            <w:r>
              <w:rPr>
                <w:rFonts w:ascii="方正仿宋简体" w:eastAsia="方正仿宋简体"/>
                <w:sz w:val="18"/>
                <w:szCs w:val="18"/>
              </w:rPr>
              <w:t>、年报除外</w:t>
            </w:r>
            <w:r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）</w:t>
            </w:r>
            <w:r w:rsidR="00866688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。</w:t>
            </w:r>
            <w:r w:rsidRPr="001E0949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深度研究报告内容应突出重点、论据准确、论证有力，对相关品种期现货市场进行有效的关联分析。</w:t>
            </w:r>
          </w:p>
          <w:p w:rsidR="00245725" w:rsidRPr="0082564E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 w:rsidRPr="0082564E">
              <w:rPr>
                <w:rFonts w:ascii="方正仿宋简体" w:eastAsia="方正仿宋简体" w:hint="eastAsia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研究课题及文章</w:t>
            </w:r>
            <w:r w:rsidRPr="0082564E">
              <w:rPr>
                <w:rFonts w:ascii="方正仿宋简体" w:eastAsia="方正仿宋简体"/>
                <w:b/>
                <w:sz w:val="18"/>
                <w:szCs w:val="18"/>
              </w:rPr>
              <w:t>。</w:t>
            </w:r>
            <w:r w:rsidRPr="00FC7A6A">
              <w:rPr>
                <w:rFonts w:ascii="方正仿宋简体" w:eastAsia="方正仿宋简体" w:hint="eastAsia"/>
                <w:sz w:val="18"/>
                <w:szCs w:val="18"/>
              </w:rPr>
              <w:t>国家级、各省市级课题，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上期所课题、</w:t>
            </w:r>
            <w:r w:rsidRPr="0082564E">
              <w:rPr>
                <w:rFonts w:ascii="方正仿宋简体" w:eastAsia="方正仿宋简体" w:hint="eastAsia"/>
                <w:sz w:val="18"/>
                <w:szCs w:val="18"/>
              </w:rPr>
              <w:t>《期货与金融衍生品》杂志</w:t>
            </w:r>
            <w:r>
              <w:rPr>
                <w:rFonts w:ascii="方正仿宋简体" w:eastAsia="方正仿宋简体"/>
                <w:sz w:val="18"/>
                <w:szCs w:val="18"/>
              </w:rPr>
              <w:t>发表的文章等，</w:t>
            </w:r>
            <w:r w:rsidRPr="0082564E">
              <w:rPr>
                <w:rFonts w:ascii="方正仿宋简体" w:eastAsia="方正仿宋简体" w:hint="eastAsia"/>
                <w:sz w:val="18"/>
                <w:szCs w:val="18"/>
              </w:rPr>
              <w:t>内容围绕上期所/上期</w:t>
            </w:r>
            <w:r w:rsidRPr="0082564E">
              <w:rPr>
                <w:rFonts w:ascii="方正仿宋简体" w:eastAsia="方正仿宋简体"/>
                <w:sz w:val="18"/>
                <w:szCs w:val="18"/>
              </w:rPr>
              <w:t>能源</w:t>
            </w:r>
            <w:r w:rsidRPr="0082564E">
              <w:rPr>
                <w:rFonts w:ascii="方正仿宋简体" w:eastAsia="方正仿宋简体" w:hint="eastAsia"/>
                <w:sz w:val="18"/>
                <w:szCs w:val="18"/>
              </w:rPr>
              <w:t>品种市场运行、业务创新和功能发挥等方面。</w:t>
            </w:r>
          </w:p>
        </w:tc>
      </w:tr>
      <w:tr w:rsidR="00245725" w:rsidRPr="00DF0023" w:rsidTr="00CA0191">
        <w:trPr>
          <w:cantSplit/>
          <w:trHeight w:val="1389"/>
        </w:trPr>
        <w:tc>
          <w:tcPr>
            <w:tcW w:w="1413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3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产业服务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30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Pr="006C3919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 w:rsidRPr="00D47CBB">
              <w:rPr>
                <w:rFonts w:ascii="方正仿宋简体" w:eastAsia="方正仿宋简体" w:hint="eastAsia"/>
                <w:b/>
                <w:sz w:val="18"/>
                <w:szCs w:val="18"/>
              </w:rPr>
              <w:t>服务案例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。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支持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所在</w:t>
            </w:r>
            <w:r>
              <w:rPr>
                <w:rFonts w:ascii="方正仿宋简体" w:eastAsia="方正仿宋简体"/>
                <w:sz w:val="18"/>
                <w:szCs w:val="18"/>
              </w:rPr>
              <w:t>公司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服务实体企业，</w:t>
            </w:r>
            <w:r>
              <w:rPr>
                <w:rFonts w:ascii="方正仿宋简体" w:eastAsia="方正仿宋简体"/>
                <w:sz w:val="18"/>
                <w:szCs w:val="18"/>
              </w:rPr>
              <w:t>开展套期保值、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风险管理业务等方面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效果显著。需提交服务案例</w:t>
            </w:r>
            <w:r w:rsidRPr="00CE3FF8">
              <w:rPr>
                <w:rFonts w:ascii="方正仿宋简体" w:eastAsia="方正仿宋简体" w:hint="eastAsia"/>
                <w:b/>
                <w:sz w:val="18"/>
                <w:szCs w:val="18"/>
              </w:rPr>
              <w:t>基本信息表、案例报告正文</w:t>
            </w:r>
            <w:r w:rsidRPr="00CE3FF8">
              <w:rPr>
                <w:rFonts w:ascii="方正仿宋简体" w:eastAsia="方正仿宋简体"/>
                <w:b/>
                <w:sz w:val="18"/>
                <w:szCs w:val="18"/>
              </w:rPr>
              <w:t>以及</w:t>
            </w:r>
            <w:r w:rsidRPr="00CE3FF8">
              <w:rPr>
                <w:rFonts w:ascii="方正仿宋简体" w:eastAsia="方正仿宋简体" w:hint="eastAsia"/>
                <w:b/>
                <w:sz w:val="18"/>
                <w:szCs w:val="18"/>
              </w:rPr>
              <w:t>被服务企业加盖公章的推荐信。</w:t>
            </w:r>
          </w:p>
        </w:tc>
      </w:tr>
      <w:tr w:rsidR="00245725" w:rsidRPr="00DF0023" w:rsidTr="00CA0191">
        <w:trPr>
          <w:cantSplit/>
          <w:trHeight w:val="1134"/>
        </w:trPr>
        <w:tc>
          <w:tcPr>
            <w:tcW w:w="1413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4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市场服务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10</w:t>
            </w:r>
            <w:r>
              <w:rPr>
                <w:rFonts w:ascii="方正仿宋简体" w:eastAsia="方正仿宋简体"/>
              </w:rPr>
              <w:t>分</w:t>
            </w:r>
          </w:p>
        </w:tc>
        <w:tc>
          <w:tcPr>
            <w:tcW w:w="5675" w:type="dxa"/>
          </w:tcPr>
          <w:p w:rsidR="00245725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方正仿宋简体" w:eastAsia="方正仿宋简体"/>
                <w:b/>
                <w:sz w:val="18"/>
                <w:szCs w:val="18"/>
              </w:rPr>
              <w:t>团队服务产业客户参与上期所产业服务项目。</w:t>
            </w:r>
            <w:r w:rsidRPr="006C3919">
              <w:rPr>
                <w:rFonts w:ascii="方正仿宋简体" w:eastAsia="方正仿宋简体"/>
                <w:sz w:val="18"/>
                <w:szCs w:val="18"/>
              </w:rPr>
              <w:t>如上期</w:t>
            </w:r>
            <w:r w:rsidRPr="006C3919">
              <w:rPr>
                <w:rFonts w:ascii="方正仿宋简体" w:eastAsia="方正仿宋简体"/>
                <w:sz w:val="18"/>
                <w:szCs w:val="18"/>
              </w:rPr>
              <w:t>“</w:t>
            </w:r>
            <w:r w:rsidRPr="006C3919">
              <w:rPr>
                <w:rFonts w:ascii="方正仿宋简体" w:eastAsia="方正仿宋简体"/>
                <w:sz w:val="18"/>
                <w:szCs w:val="18"/>
              </w:rPr>
              <w:t>强源助企</w:t>
            </w:r>
            <w:r w:rsidRPr="006C3919">
              <w:rPr>
                <w:rFonts w:ascii="方正仿宋简体" w:eastAsia="方正仿宋简体"/>
                <w:sz w:val="18"/>
                <w:szCs w:val="18"/>
              </w:rPr>
              <w:t>”</w:t>
            </w:r>
            <w:r w:rsidRPr="006C3919">
              <w:rPr>
                <w:rFonts w:ascii="方正仿宋简体" w:eastAsia="方正仿宋简体"/>
                <w:sz w:val="18"/>
                <w:szCs w:val="18"/>
              </w:rPr>
              <w:t>、企业深耕计划等。</w:t>
            </w:r>
            <w:r w:rsidR="004868FD">
              <w:rPr>
                <w:rFonts w:ascii="方正仿宋简体" w:eastAsia="方正仿宋简体"/>
                <w:sz w:val="18"/>
                <w:szCs w:val="18"/>
              </w:rPr>
              <w:t>每个项目需提供</w:t>
            </w:r>
            <w:r>
              <w:rPr>
                <w:rFonts w:ascii="方正仿宋简体" w:eastAsia="方正仿宋简体"/>
                <w:sz w:val="18"/>
                <w:szCs w:val="18"/>
              </w:rPr>
              <w:t>证明</w:t>
            </w:r>
            <w:r w:rsidR="004868FD">
              <w:rPr>
                <w:rFonts w:ascii="方正仿宋简体" w:eastAsia="方正仿宋简体"/>
                <w:sz w:val="18"/>
                <w:szCs w:val="18"/>
              </w:rPr>
              <w:t>文件</w:t>
            </w:r>
            <w:r>
              <w:rPr>
                <w:rFonts w:ascii="方正仿宋简体" w:eastAsia="方正仿宋简体"/>
                <w:sz w:val="18"/>
                <w:szCs w:val="18"/>
              </w:rPr>
              <w:t>。</w:t>
            </w:r>
          </w:p>
          <w:p w:rsidR="00245725" w:rsidRPr="0082564E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配合</w:t>
            </w:r>
            <w:r w:rsidRPr="00323630">
              <w:rPr>
                <w:rFonts w:ascii="方正仿宋简体" w:eastAsia="方正仿宋简体" w:hint="eastAsia"/>
                <w:b/>
                <w:sz w:val="18"/>
                <w:szCs w:val="18"/>
              </w:rPr>
              <w:t>上期所/上期</w:t>
            </w:r>
            <w:r w:rsidRPr="00323630">
              <w:rPr>
                <w:rFonts w:ascii="方正仿宋简体" w:eastAsia="方正仿宋简体"/>
                <w:b/>
                <w:sz w:val="18"/>
                <w:szCs w:val="18"/>
              </w:rPr>
              <w:t>能源</w:t>
            </w:r>
            <w:r>
              <w:rPr>
                <w:rFonts w:ascii="方正仿宋简体" w:eastAsia="方正仿宋简体"/>
                <w:b/>
                <w:sz w:val="18"/>
                <w:szCs w:val="18"/>
              </w:rPr>
              <w:t>开展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市场活动</w:t>
            </w:r>
            <w:r w:rsidRPr="00323630">
              <w:rPr>
                <w:rFonts w:ascii="方正仿宋简体" w:eastAsia="方正仿宋简体" w:hint="eastAsia"/>
                <w:b/>
                <w:sz w:val="18"/>
                <w:szCs w:val="18"/>
              </w:rPr>
              <w:t>。</w:t>
            </w:r>
            <w:r w:rsidRPr="00D80691">
              <w:rPr>
                <w:rFonts w:ascii="方正仿宋简体" w:eastAsia="方正仿宋简体" w:hint="eastAsia"/>
                <w:sz w:val="18"/>
                <w:szCs w:val="18"/>
              </w:rPr>
              <w:t>“会员同行”项目、上期大学堂系列活动等，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团队积极派专</w:t>
            </w:r>
            <w:r w:rsidR="00FB29A5">
              <w:rPr>
                <w:rFonts w:ascii="方正仿宋简体" w:eastAsia="方正仿宋简体" w:hint="eastAsia"/>
                <w:sz w:val="18"/>
                <w:szCs w:val="18"/>
              </w:rPr>
              <w:t>人协办或承办关联活动（包括主题演讲、主持或圆桌交流等）。</w:t>
            </w:r>
          </w:p>
        </w:tc>
      </w:tr>
      <w:tr w:rsidR="00245725" w:rsidRPr="00DF0023" w:rsidTr="00CA0191">
        <w:tc>
          <w:tcPr>
            <w:tcW w:w="1413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5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新闻宣传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CA0191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10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</w:tcPr>
          <w:p w:rsidR="00245725" w:rsidRPr="00DF0023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5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 w:rsidRPr="001F5E9A">
              <w:rPr>
                <w:rFonts w:ascii="方正仿宋简体" w:eastAsia="方正仿宋简体" w:hint="eastAsia"/>
                <w:b/>
                <w:sz w:val="18"/>
                <w:szCs w:val="18"/>
              </w:rPr>
              <w:t>配合上期所/上期能源约稿，提供正面分析师观点素材、稿件。</w:t>
            </w:r>
            <w:r w:rsidRPr="000F0334">
              <w:rPr>
                <w:rFonts w:ascii="方正仿宋简体" w:eastAsia="方正仿宋简体" w:hint="eastAsia"/>
                <w:sz w:val="18"/>
                <w:szCs w:val="18"/>
              </w:rPr>
              <w:t>站位期货市场稳定运行、高质量发展，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积极主动利用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重要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公众媒体</w:t>
            </w:r>
            <w:r w:rsidR="009E12E7">
              <w:rPr>
                <w:rFonts w:ascii="方正仿宋简体" w:eastAsia="方正仿宋简体" w:hint="eastAsia"/>
                <w:sz w:val="18"/>
                <w:szCs w:val="18"/>
              </w:rPr>
              <w:t>（中央媒体、产业媒体、境外媒体等）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客观、</w:t>
            </w:r>
            <w:r w:rsidR="00213BF9">
              <w:rPr>
                <w:rFonts w:ascii="方正仿宋简体" w:eastAsia="方正仿宋简体" w:hint="eastAsia"/>
                <w:sz w:val="18"/>
                <w:szCs w:val="18"/>
              </w:rPr>
              <w:t>正面地宣传上海期货市场功能发挥，介绍相关品种市场和行情分析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  <w:r w:rsidRPr="00DF0023">
              <w:rPr>
                <w:rFonts w:ascii="方正仿宋简体" w:eastAsia="方正仿宋简体"/>
                <w:sz w:val="18"/>
                <w:szCs w:val="18"/>
              </w:rPr>
              <w:t xml:space="preserve"> </w:t>
            </w:r>
          </w:p>
        </w:tc>
      </w:tr>
      <w:tr w:rsidR="00245725" w:rsidRPr="00DF0023" w:rsidTr="00CA0191">
        <w:tc>
          <w:tcPr>
            <w:tcW w:w="1413" w:type="dxa"/>
            <w:vAlign w:val="center"/>
          </w:tcPr>
          <w:p w:rsidR="00245725" w:rsidRPr="00920109" w:rsidRDefault="00245725" w:rsidP="00CA0191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6</w:t>
            </w:r>
            <w:r>
              <w:rPr>
                <w:rFonts w:ascii="Times New Roman" w:eastAsia="方正仿宋简体" w:hAnsi="Times New Roman" w:cs="Times New Roman"/>
              </w:rPr>
              <w:t>.</w:t>
            </w:r>
            <w:r>
              <w:rPr>
                <w:rFonts w:ascii="Times New Roman" w:eastAsia="方正仿宋简体" w:hAnsi="Times New Roman" w:cs="Times New Roman" w:hint="eastAsia"/>
              </w:rPr>
              <w:t>案例宣讲</w:t>
            </w:r>
          </w:p>
        </w:tc>
        <w:tc>
          <w:tcPr>
            <w:tcW w:w="850" w:type="dxa"/>
            <w:vAlign w:val="center"/>
          </w:tcPr>
          <w:p w:rsidR="00245725" w:rsidRPr="00920109" w:rsidRDefault="00245725" w:rsidP="00CA0191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15</w:t>
            </w:r>
            <w:r>
              <w:rPr>
                <w:rFonts w:ascii="Times New Roman" w:eastAsia="方正仿宋简体" w:hAnsi="Times New Roman" w:cs="Times New Roman"/>
              </w:rPr>
              <w:t>分</w:t>
            </w:r>
          </w:p>
        </w:tc>
        <w:tc>
          <w:tcPr>
            <w:tcW w:w="5675" w:type="dxa"/>
          </w:tcPr>
          <w:p w:rsidR="00245725" w:rsidRPr="00380B05" w:rsidRDefault="00245725" w:rsidP="00CA0191">
            <w:pPr>
              <w:rPr>
                <w:rFonts w:ascii="方正仿宋简体" w:eastAsia="方正仿宋简体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sz w:val="18"/>
                <w:szCs w:val="18"/>
              </w:rPr>
              <w:t>参评团队提供</w:t>
            </w: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10</w:t>
            </w:r>
            <w:r>
              <w:rPr>
                <w:rFonts w:ascii="方正仿宋简体" w:eastAsia="方正仿宋简体"/>
                <w:sz w:val="18"/>
                <w:szCs w:val="18"/>
              </w:rPr>
              <w:t>分钟以内的服务案例宣讲视频，内容聚焦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案例简介、</w:t>
            </w:r>
            <w:r w:rsidRPr="001D4B92">
              <w:rPr>
                <w:rFonts w:ascii="方正仿宋简体" w:eastAsia="方正仿宋简体" w:hint="eastAsia"/>
                <w:sz w:val="18"/>
                <w:szCs w:val="18"/>
              </w:rPr>
              <w:t>背景介绍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、</w:t>
            </w:r>
            <w:r w:rsidRPr="001D4B92">
              <w:rPr>
                <w:rFonts w:ascii="方正仿宋简体" w:eastAsia="方正仿宋简体" w:hint="eastAsia"/>
                <w:sz w:val="18"/>
                <w:szCs w:val="18"/>
              </w:rPr>
              <w:t>服务模式、内容及成效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等。</w:t>
            </w:r>
            <w:r w:rsidRPr="00380B05">
              <w:rPr>
                <w:rFonts w:ascii="方正仿宋简体" w:eastAsia="方正仿宋简体" w:hint="eastAsia"/>
                <w:sz w:val="18"/>
                <w:szCs w:val="18"/>
              </w:rPr>
              <w:t>评委</w:t>
            </w:r>
            <w:r w:rsidR="006D1831">
              <w:rPr>
                <w:rFonts w:ascii="方正仿宋简体" w:eastAsia="方正仿宋简体" w:hint="eastAsia"/>
                <w:sz w:val="18"/>
                <w:szCs w:val="18"/>
              </w:rPr>
              <w:t>从表达能力、服务成效、可复制推广性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进行打分</w:t>
            </w:r>
            <w:r w:rsidRPr="00380B05"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</w:p>
        </w:tc>
      </w:tr>
    </w:tbl>
    <w:p w:rsidR="006345B0" w:rsidRDefault="006345B0" w:rsidP="006345B0">
      <w:pPr>
        <w:rPr>
          <w:rFonts w:ascii="Times New Roman" w:eastAsia="方正大标宋简体" w:hAnsi="Times New Roman" w:cs="Times New Roman"/>
          <w:sz w:val="36"/>
          <w:szCs w:val="42"/>
        </w:rPr>
      </w:pPr>
      <w:r w:rsidRPr="006345B0">
        <w:rPr>
          <w:rFonts w:ascii="Times New Roman" w:eastAsia="方正大标宋简体" w:hAnsi="Times New Roman" w:cs="Times New Roman"/>
          <w:sz w:val="36"/>
          <w:szCs w:val="42"/>
        </w:rPr>
        <w:t>附件</w:t>
      </w:r>
      <w:r w:rsidRPr="006345B0">
        <w:rPr>
          <w:rFonts w:ascii="Times New Roman" w:eastAsia="方正大标宋简体" w:hAnsi="Times New Roman" w:cs="Times New Roman"/>
          <w:sz w:val="36"/>
          <w:szCs w:val="42"/>
        </w:rPr>
        <w:t>1</w:t>
      </w:r>
    </w:p>
    <w:p w:rsidR="00156B37" w:rsidRPr="00CA0191" w:rsidRDefault="00156B37" w:rsidP="00156B37">
      <w:pPr>
        <w:jc w:val="center"/>
        <w:rPr>
          <w:rFonts w:ascii="Times New Roman" w:eastAsia="方正大标宋简体" w:hAnsi="Times New Roman" w:cs="Times New Roman"/>
          <w:sz w:val="40"/>
          <w:szCs w:val="42"/>
        </w:rPr>
      </w:pPr>
      <w:r w:rsidRPr="00CA0191">
        <w:rPr>
          <w:rFonts w:ascii="Times New Roman" w:eastAsia="方正大标宋简体" w:hAnsi="Times New Roman" w:cs="Times New Roman"/>
          <w:sz w:val="40"/>
          <w:szCs w:val="42"/>
        </w:rPr>
        <w:t>评分细则</w:t>
      </w:r>
      <w:bookmarkStart w:id="0" w:name="_GoBack"/>
      <w:bookmarkEnd w:id="0"/>
    </w:p>
    <w:p w:rsidR="00156B37" w:rsidRDefault="00156B37" w:rsidP="006345B0">
      <w:pPr>
        <w:rPr>
          <w:rFonts w:ascii="Times New Roman" w:eastAsia="方正大标宋简体" w:hAnsi="Times New Roman" w:cs="Times New Roman"/>
          <w:sz w:val="36"/>
          <w:szCs w:val="42"/>
        </w:rPr>
      </w:pPr>
    </w:p>
    <w:p w:rsidR="00156B37" w:rsidRPr="006345B0" w:rsidRDefault="00156B37" w:rsidP="006345B0">
      <w:pPr>
        <w:rPr>
          <w:rFonts w:ascii="Times New Roman" w:eastAsia="方正大标宋简体" w:hAnsi="Times New Roman" w:cs="Times New Roman"/>
          <w:sz w:val="36"/>
          <w:szCs w:val="42"/>
        </w:rPr>
      </w:pPr>
    </w:p>
    <w:p w:rsidR="00245725" w:rsidRDefault="00245725">
      <w:pPr>
        <w:widowControl/>
        <w:jc w:val="left"/>
      </w:pPr>
      <w:r>
        <w:br w:type="page"/>
      </w:r>
    </w:p>
    <w:tbl>
      <w:tblPr>
        <w:tblStyle w:val="a6"/>
        <w:tblW w:w="7938" w:type="dxa"/>
        <w:jc w:val="center"/>
        <w:tblLook w:val="04A0" w:firstRow="1" w:lastRow="0" w:firstColumn="1" w:lastColumn="0" w:noHBand="0" w:noVBand="1"/>
      </w:tblPr>
      <w:tblGrid>
        <w:gridCol w:w="1413"/>
        <w:gridCol w:w="850"/>
        <w:gridCol w:w="5675"/>
      </w:tblGrid>
      <w:tr w:rsidR="00245725" w:rsidRPr="00DF0023" w:rsidTr="00FB65B7">
        <w:trPr>
          <w:trHeight w:val="346"/>
          <w:jc w:val="center"/>
        </w:trPr>
        <w:tc>
          <w:tcPr>
            <w:tcW w:w="7938" w:type="dxa"/>
            <w:gridSpan w:val="3"/>
            <w:tcBorders>
              <w:tl2br w:val="nil"/>
            </w:tcBorders>
          </w:tcPr>
          <w:p w:rsidR="00245725" w:rsidRDefault="00245725" w:rsidP="00FB65B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lastRenderedPageBreak/>
              <w:t>个人</w:t>
            </w:r>
            <w:r w:rsidRPr="00960EDD">
              <w:rPr>
                <w:rFonts w:ascii="方正仿宋简体" w:eastAsia="方正仿宋简体" w:hint="eastAsia"/>
                <w:b/>
                <w:szCs w:val="21"/>
              </w:rPr>
              <w:t>类奖项评分细则</w:t>
            </w:r>
          </w:p>
          <w:p w:rsidR="00245725" w:rsidRPr="00960EDD" w:rsidRDefault="00245725" w:rsidP="00FB65B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（</w:t>
            </w:r>
            <w:r w:rsidRPr="00020BBC">
              <w:rPr>
                <w:rFonts w:ascii="方正仿宋简体" w:eastAsia="方正仿宋简体" w:hint="eastAsia"/>
                <w:b/>
                <w:szCs w:val="21"/>
              </w:rPr>
              <w:t>优秀宏观分析师奖</w:t>
            </w:r>
            <w:r>
              <w:rPr>
                <w:rFonts w:ascii="方正仿宋简体" w:eastAsia="方正仿宋简体"/>
                <w:b/>
                <w:szCs w:val="21"/>
              </w:rPr>
              <w:t>、</w:t>
            </w:r>
            <w:r w:rsidRPr="00020BBC">
              <w:rPr>
                <w:rFonts w:ascii="方正仿宋简体" w:eastAsia="方正仿宋简体" w:hint="eastAsia"/>
                <w:b/>
                <w:szCs w:val="21"/>
              </w:rPr>
              <w:t>各品种序列优秀分析师奖</w:t>
            </w:r>
            <w:r>
              <w:rPr>
                <w:rFonts w:ascii="方正仿宋简体" w:eastAsia="方正仿宋简体"/>
                <w:b/>
                <w:szCs w:val="21"/>
              </w:rPr>
              <w:t>、</w:t>
            </w:r>
            <w:r w:rsidRPr="00020BBC">
              <w:rPr>
                <w:rFonts w:ascii="方正仿宋简体" w:eastAsia="方正仿宋简体" w:hint="eastAsia"/>
                <w:b/>
                <w:szCs w:val="21"/>
              </w:rPr>
              <w:t>优秀分析师新锐奖</w:t>
            </w:r>
            <w:r>
              <w:rPr>
                <w:rFonts w:ascii="方正仿宋简体" w:eastAsia="方正仿宋简体"/>
                <w:b/>
                <w:szCs w:val="21"/>
              </w:rPr>
              <w:t>、</w:t>
            </w:r>
            <w:r w:rsidRPr="00020BBC">
              <w:rPr>
                <w:rFonts w:ascii="方正仿宋简体" w:eastAsia="方正仿宋简体" w:hint="eastAsia"/>
                <w:b/>
                <w:szCs w:val="21"/>
              </w:rPr>
              <w:t>优秀原油分析师奖（上期能源）</w:t>
            </w:r>
            <w:r>
              <w:rPr>
                <w:rFonts w:ascii="方正仿宋简体" w:eastAsia="方正仿宋简体" w:hint="eastAsia"/>
                <w:b/>
                <w:szCs w:val="21"/>
              </w:rPr>
              <w:t>、</w:t>
            </w:r>
            <w:r w:rsidRPr="00020BBC">
              <w:rPr>
                <w:rFonts w:ascii="方正仿宋简体" w:eastAsia="方正仿宋简体" w:hint="eastAsia"/>
                <w:b/>
                <w:szCs w:val="21"/>
              </w:rPr>
              <w:t>优秀航运指数分析师奖（上期能源）</w:t>
            </w:r>
            <w:r w:rsidRPr="00960EDD">
              <w:rPr>
                <w:rFonts w:ascii="方正仿宋简体" w:eastAsia="方正仿宋简体" w:hint="eastAsia"/>
                <w:b/>
                <w:szCs w:val="21"/>
              </w:rPr>
              <w:t>）</w:t>
            </w:r>
          </w:p>
        </w:tc>
      </w:tr>
      <w:tr w:rsidR="00245725" w:rsidRPr="00DF0023" w:rsidTr="00FB65B7">
        <w:trPr>
          <w:trHeight w:val="245"/>
          <w:jc w:val="center"/>
        </w:trPr>
        <w:tc>
          <w:tcPr>
            <w:tcW w:w="1413" w:type="dxa"/>
            <w:tcBorders>
              <w:tl2br w:val="nil"/>
            </w:tcBorders>
          </w:tcPr>
          <w:p w:rsidR="00245725" w:rsidRPr="00960EDD" w:rsidRDefault="00245725" w:rsidP="00FB65B7">
            <w:pPr>
              <w:tabs>
                <w:tab w:val="left" w:pos="666"/>
              </w:tabs>
              <w:jc w:val="center"/>
              <w:rPr>
                <w:rFonts w:ascii="方正仿宋简体" w:eastAsia="方正仿宋简体"/>
                <w:b/>
              </w:rPr>
            </w:pPr>
            <w:r w:rsidRPr="00960EDD">
              <w:rPr>
                <w:rFonts w:ascii="方正仿宋简体" w:eastAsia="方正仿宋简体" w:hint="eastAsia"/>
                <w:b/>
              </w:rPr>
              <w:t>评分项目</w:t>
            </w:r>
          </w:p>
        </w:tc>
        <w:tc>
          <w:tcPr>
            <w:tcW w:w="850" w:type="dxa"/>
          </w:tcPr>
          <w:p w:rsidR="00245725" w:rsidRPr="00960EDD" w:rsidRDefault="00245725" w:rsidP="00FB65B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分值</w:t>
            </w:r>
          </w:p>
        </w:tc>
        <w:tc>
          <w:tcPr>
            <w:tcW w:w="5675" w:type="dxa"/>
          </w:tcPr>
          <w:p w:rsidR="00245725" w:rsidRPr="00960EDD" w:rsidRDefault="00245725" w:rsidP="00FB65B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960EDD">
              <w:rPr>
                <w:rFonts w:ascii="方正仿宋简体" w:eastAsia="方正仿宋简体" w:hint="eastAsia"/>
                <w:b/>
                <w:szCs w:val="21"/>
              </w:rPr>
              <w:t>具体标准</w:t>
            </w:r>
          </w:p>
        </w:tc>
      </w:tr>
      <w:tr w:rsidR="00245725" w:rsidRPr="00DF0023" w:rsidTr="0067181F">
        <w:trPr>
          <w:cantSplit/>
          <w:trHeight w:val="1134"/>
          <w:jc w:val="center"/>
        </w:trPr>
        <w:tc>
          <w:tcPr>
            <w:tcW w:w="1413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</w:t>
            </w:r>
            <w:r w:rsidRPr="00DF0023">
              <w:rPr>
                <w:rFonts w:ascii="方正仿宋简体" w:eastAsia="方正仿宋简体" w:hint="eastAsia"/>
              </w:rPr>
              <w:t>.基本</w:t>
            </w:r>
            <w:r>
              <w:rPr>
                <w:rFonts w:ascii="方正仿宋简体" w:eastAsia="方正仿宋简体" w:hint="eastAsia"/>
              </w:rPr>
              <w:t>情况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5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Pr="00101E87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1</w:t>
            </w:r>
            <w:r>
              <w:rPr>
                <w:rFonts w:ascii="方正仿宋简体" w:eastAsia="方正仿宋简体"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1</w:t>
            </w:r>
            <w:r w:rsidRPr="005045E0">
              <w:rPr>
                <w:rFonts w:ascii="方正仿宋简体" w:eastAsia="方正仿宋简体"/>
                <w:b/>
                <w:sz w:val="18"/>
                <w:szCs w:val="18"/>
              </w:rPr>
              <w:t>从业年限</w:t>
            </w:r>
            <w:r>
              <w:rPr>
                <w:rFonts w:ascii="方正仿宋简体" w:eastAsia="方正仿宋简体"/>
                <w:b/>
                <w:sz w:val="18"/>
                <w:szCs w:val="18"/>
              </w:rPr>
              <w:t>。</w:t>
            </w:r>
            <w:r w:rsidR="008C7FC5">
              <w:rPr>
                <w:rFonts w:ascii="Times New Roman" w:eastAsia="方正仿宋简体" w:hAnsi="Times New Roman" w:cs="Times New Roman"/>
                <w:sz w:val="18"/>
                <w:szCs w:val="18"/>
              </w:rPr>
              <w:t>在我所会员单位从事投资咨询、分析研究等岗位工作年限。</w:t>
            </w:r>
          </w:p>
        </w:tc>
      </w:tr>
      <w:tr w:rsidR="00245725" w:rsidRPr="00DF0023" w:rsidTr="0067181F">
        <w:trPr>
          <w:cantSplit/>
          <w:trHeight w:val="1134"/>
          <w:jc w:val="center"/>
        </w:trPr>
        <w:tc>
          <w:tcPr>
            <w:tcW w:w="1413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2</w:t>
            </w:r>
            <w:r w:rsidRPr="00DF0023">
              <w:rPr>
                <w:rFonts w:ascii="方正仿宋简体" w:eastAsia="方正仿宋简体" w:hint="eastAsia"/>
              </w:rPr>
              <w:t>.研究能力（分值和评分标准）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915B66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4</w:t>
            </w:r>
            <w:r w:rsidR="00915B66">
              <w:rPr>
                <w:rFonts w:ascii="Times New Roman" w:eastAsia="方正仿宋简体" w:hAnsi="Times New Roman" w:cs="Times New Roman"/>
              </w:rPr>
              <w:t>0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Pr="001E0949" w:rsidRDefault="00245725" w:rsidP="00926C5E">
            <w:pPr>
              <w:rPr>
                <w:rFonts w:ascii="Times New Roman" w:eastAsia="方正仿宋简体" w:hAnsi="Times New Roman" w:cs="Times New Roman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深度研究报告</w:t>
            </w:r>
            <w:r>
              <w:rPr>
                <w:rFonts w:ascii="Times New Roman" w:eastAsia="方正仿宋简体" w:hAnsi="Times New Roman" w:cs="Times New Roman" w:hint="eastAsia"/>
                <w:b/>
                <w:sz w:val="18"/>
                <w:szCs w:val="18"/>
              </w:rPr>
              <w:t>。</w:t>
            </w:r>
            <w:r w:rsidR="002D1ACD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分析师</w:t>
            </w:r>
            <w:r w:rsidR="00281314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提交参选品类相关品种的深度研究报告（周报、月报、</w:t>
            </w:r>
            <w:r w:rsidR="00281314" w:rsidRPr="0082564E">
              <w:rPr>
                <w:rFonts w:ascii="方正仿宋简体" w:eastAsia="方正仿宋简体" w:hint="eastAsia"/>
                <w:sz w:val="18"/>
                <w:szCs w:val="18"/>
              </w:rPr>
              <w:t>季报</w:t>
            </w:r>
            <w:r w:rsidR="00281314" w:rsidRPr="0082564E">
              <w:rPr>
                <w:rFonts w:ascii="方正仿宋简体" w:eastAsia="方正仿宋简体"/>
                <w:sz w:val="18"/>
                <w:szCs w:val="18"/>
              </w:rPr>
              <w:t>、</w:t>
            </w:r>
            <w:r w:rsidR="00281314" w:rsidRPr="0082564E">
              <w:rPr>
                <w:rFonts w:ascii="方正仿宋简体" w:eastAsia="方正仿宋简体" w:hint="eastAsia"/>
                <w:sz w:val="18"/>
                <w:szCs w:val="18"/>
              </w:rPr>
              <w:t>半年报</w:t>
            </w:r>
            <w:r w:rsidR="00281314">
              <w:rPr>
                <w:rFonts w:ascii="方正仿宋简体" w:eastAsia="方正仿宋简体"/>
                <w:sz w:val="18"/>
                <w:szCs w:val="18"/>
              </w:rPr>
              <w:t>、年报除外</w:t>
            </w:r>
            <w:r w:rsidR="00281314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）</w:t>
            </w:r>
            <w:r w:rsidRPr="001E0949">
              <w:rPr>
                <w:rFonts w:ascii="Times New Roman" w:eastAsia="方正仿宋简体" w:hAnsi="Times New Roman" w:cs="Times New Roman" w:hint="eastAsia"/>
                <w:sz w:val="18"/>
                <w:szCs w:val="18"/>
              </w:rPr>
              <w:t>。深度研究报告内容应突出重点、论据准确、论证有力，对相关品种期现货市场进行有效的关联分析。</w:t>
            </w:r>
          </w:p>
          <w:p w:rsidR="00245725" w:rsidRPr="0082564E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 w:rsidRPr="0082564E">
              <w:rPr>
                <w:rFonts w:ascii="方正仿宋简体" w:eastAsia="方正仿宋简体" w:hint="eastAsia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2</w:t>
            </w:r>
            <w:r w:rsidRPr="0082564E">
              <w:rPr>
                <w:rFonts w:ascii="方正仿宋简体" w:eastAsia="方正仿宋简体" w:hint="eastAsia"/>
                <w:b/>
                <w:sz w:val="18"/>
                <w:szCs w:val="18"/>
              </w:rPr>
              <w:t>品种</w:t>
            </w:r>
            <w:r w:rsidRPr="0082564E">
              <w:rPr>
                <w:rFonts w:ascii="方正仿宋简体" w:eastAsia="方正仿宋简体"/>
                <w:b/>
                <w:sz w:val="18"/>
                <w:szCs w:val="18"/>
              </w:rPr>
              <w:t>研究报告。</w:t>
            </w:r>
            <w:r w:rsidRPr="008D6893">
              <w:rPr>
                <w:rFonts w:ascii="方正仿宋简体" w:eastAsia="方正仿宋简体" w:hint="eastAsia"/>
                <w:sz w:val="18"/>
                <w:szCs w:val="18"/>
              </w:rPr>
              <w:t>参评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奖项</w:t>
            </w:r>
            <w:r>
              <w:rPr>
                <w:rFonts w:ascii="方正仿宋简体" w:eastAsia="方正仿宋简体"/>
                <w:sz w:val="18"/>
                <w:szCs w:val="18"/>
              </w:rPr>
              <w:t>相关品种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季报</w:t>
            </w:r>
            <w:r>
              <w:rPr>
                <w:rFonts w:ascii="方正仿宋简体" w:eastAsia="方正仿宋简体"/>
                <w:sz w:val="18"/>
                <w:szCs w:val="18"/>
              </w:rPr>
              <w:t>、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半年报</w:t>
            </w:r>
            <w:r>
              <w:rPr>
                <w:rFonts w:ascii="方正仿宋简体" w:eastAsia="方正仿宋简体"/>
                <w:sz w:val="18"/>
                <w:szCs w:val="18"/>
              </w:rPr>
              <w:t>、年报等阶段性品种研究报告。</w:t>
            </w:r>
          </w:p>
        </w:tc>
      </w:tr>
      <w:tr w:rsidR="00245725" w:rsidRPr="00DF0023" w:rsidTr="0067181F">
        <w:trPr>
          <w:cantSplit/>
          <w:trHeight w:val="1134"/>
          <w:jc w:val="center"/>
        </w:trPr>
        <w:tc>
          <w:tcPr>
            <w:tcW w:w="1413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3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产业服务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915B66" w:rsidP="0067181F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Times New Roman" w:eastAsia="方正仿宋简体" w:hAnsi="Times New Roman" w:cs="Times New Roman"/>
              </w:rPr>
              <w:t>2</w:t>
            </w:r>
            <w:r w:rsidR="00245725" w:rsidRPr="00253705">
              <w:rPr>
                <w:rFonts w:ascii="Times New Roman" w:eastAsia="方正仿宋简体" w:hAnsi="Times New Roman" w:cs="Times New Roman"/>
              </w:rPr>
              <w:t>0</w:t>
            </w:r>
            <w:r w:rsidR="00245725"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Pr="006C3919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 w:rsidRPr="00D47CBB">
              <w:rPr>
                <w:rFonts w:ascii="方正仿宋简体" w:eastAsia="方正仿宋简体" w:hint="eastAsia"/>
                <w:b/>
                <w:sz w:val="18"/>
                <w:szCs w:val="18"/>
              </w:rPr>
              <w:t>服务案例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。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支持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所在</w:t>
            </w:r>
            <w:r>
              <w:rPr>
                <w:rFonts w:ascii="方正仿宋简体" w:eastAsia="方正仿宋简体"/>
                <w:sz w:val="18"/>
                <w:szCs w:val="18"/>
              </w:rPr>
              <w:t>公司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服务实体企业，</w:t>
            </w:r>
            <w:r>
              <w:rPr>
                <w:rFonts w:ascii="方正仿宋简体" w:eastAsia="方正仿宋简体"/>
                <w:sz w:val="18"/>
                <w:szCs w:val="18"/>
              </w:rPr>
              <w:t>开展套期保值、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风险管理业务、资产管理业务等方面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效果显著。需提交服务案例</w:t>
            </w:r>
            <w:r w:rsidRPr="00CE3FF8">
              <w:rPr>
                <w:rFonts w:ascii="方正仿宋简体" w:eastAsia="方正仿宋简体" w:hint="eastAsia"/>
                <w:b/>
                <w:sz w:val="18"/>
                <w:szCs w:val="18"/>
              </w:rPr>
              <w:t>基本信息表、案例报告正文</w:t>
            </w:r>
            <w:r w:rsidRPr="00CE3FF8">
              <w:rPr>
                <w:rFonts w:ascii="方正仿宋简体" w:eastAsia="方正仿宋简体"/>
                <w:b/>
                <w:sz w:val="18"/>
                <w:szCs w:val="18"/>
              </w:rPr>
              <w:t>以及</w:t>
            </w:r>
            <w:r w:rsidRPr="00CE3FF8">
              <w:rPr>
                <w:rFonts w:ascii="方正仿宋简体" w:eastAsia="方正仿宋简体" w:hint="eastAsia"/>
                <w:b/>
                <w:sz w:val="18"/>
                <w:szCs w:val="18"/>
              </w:rPr>
              <w:t>被服务企业加盖公章的推荐信。</w:t>
            </w:r>
          </w:p>
        </w:tc>
      </w:tr>
      <w:tr w:rsidR="00245725" w:rsidRPr="00DF0023" w:rsidTr="0067181F">
        <w:trPr>
          <w:cantSplit/>
          <w:trHeight w:val="1134"/>
          <w:jc w:val="center"/>
        </w:trPr>
        <w:tc>
          <w:tcPr>
            <w:tcW w:w="1413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4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市场服务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20</w:t>
            </w:r>
            <w:r>
              <w:rPr>
                <w:rFonts w:ascii="方正仿宋简体" w:eastAsia="方正仿宋简体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4</w:t>
            </w:r>
            <w:r>
              <w:rPr>
                <w:rFonts w:ascii="方正仿宋简体" w:eastAsia="方正仿宋简体"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1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配合</w:t>
            </w:r>
            <w:r w:rsidRPr="00323630">
              <w:rPr>
                <w:rFonts w:ascii="方正仿宋简体" w:eastAsia="方正仿宋简体" w:hint="eastAsia"/>
                <w:b/>
                <w:sz w:val="18"/>
                <w:szCs w:val="18"/>
              </w:rPr>
              <w:t>上期所/上期</w:t>
            </w:r>
            <w:r w:rsidRPr="00323630">
              <w:rPr>
                <w:rFonts w:ascii="方正仿宋简体" w:eastAsia="方正仿宋简体"/>
                <w:b/>
                <w:sz w:val="18"/>
                <w:szCs w:val="18"/>
              </w:rPr>
              <w:t>能源</w:t>
            </w:r>
            <w:r>
              <w:rPr>
                <w:rFonts w:ascii="方正仿宋简体" w:eastAsia="方正仿宋简体"/>
                <w:b/>
                <w:sz w:val="18"/>
                <w:szCs w:val="18"/>
              </w:rPr>
              <w:t>开展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市场活动</w:t>
            </w:r>
            <w:r w:rsidRPr="00323630">
              <w:rPr>
                <w:rFonts w:ascii="方正仿宋简体" w:eastAsia="方正仿宋简体" w:hint="eastAsia"/>
                <w:b/>
                <w:sz w:val="18"/>
                <w:szCs w:val="18"/>
              </w:rPr>
              <w:t>。</w:t>
            </w:r>
            <w:r w:rsidRPr="00D80691">
              <w:rPr>
                <w:rFonts w:ascii="方正仿宋简体" w:eastAsia="方正仿宋简体" w:hint="eastAsia"/>
                <w:sz w:val="18"/>
                <w:szCs w:val="18"/>
              </w:rPr>
              <w:t>“会员同行”项目、上期大学堂系列活动等，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团队积极派专人协办或承办关联活动（包括主题演讲、主持或圆桌交流等</w:t>
            </w:r>
            <w:r w:rsidR="00560F74">
              <w:rPr>
                <w:rFonts w:ascii="方正仿宋简体" w:eastAsia="方正仿宋简体" w:hint="eastAsia"/>
                <w:sz w:val="18"/>
                <w:szCs w:val="18"/>
              </w:rPr>
              <w:t>）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</w:p>
          <w:p w:rsidR="00245725" w:rsidRPr="0082564E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4</w:t>
            </w:r>
            <w:r>
              <w:rPr>
                <w:rFonts w:ascii="方正仿宋简体" w:eastAsia="方正仿宋简体"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sz w:val="18"/>
                <w:szCs w:val="18"/>
              </w:rPr>
              <w:t>2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配合上期所/上期</w:t>
            </w:r>
            <w:r>
              <w:rPr>
                <w:rFonts w:ascii="方正仿宋简体" w:eastAsia="方正仿宋简体"/>
                <w:b/>
                <w:sz w:val="18"/>
                <w:szCs w:val="18"/>
              </w:rPr>
              <w:t>能源业务拓展、品种</w:t>
            </w:r>
            <w:r>
              <w:rPr>
                <w:rFonts w:ascii="方正仿宋简体" w:eastAsia="方正仿宋简体" w:hint="eastAsia"/>
                <w:b/>
                <w:sz w:val="18"/>
                <w:szCs w:val="18"/>
              </w:rPr>
              <w:t>上新改旧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。</w:t>
            </w:r>
            <w:r w:rsidRPr="00DF0023">
              <w:rPr>
                <w:rFonts w:ascii="方正仿宋简体" w:eastAsia="方正仿宋简体" w:hint="eastAsia"/>
                <w:sz w:val="18"/>
                <w:szCs w:val="18"/>
              </w:rPr>
              <w:t>积极响应和配合交易所各业务部门工作，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参与</w:t>
            </w:r>
            <w:r>
              <w:rPr>
                <w:rFonts w:ascii="方正仿宋简体" w:eastAsia="方正仿宋简体"/>
                <w:sz w:val="18"/>
                <w:szCs w:val="18"/>
              </w:rPr>
              <w:t>相关座谈、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提供</w:t>
            </w:r>
            <w:r>
              <w:rPr>
                <w:rFonts w:ascii="方正仿宋简体" w:eastAsia="方正仿宋简体"/>
                <w:sz w:val="18"/>
                <w:szCs w:val="18"/>
              </w:rPr>
              <w:t>意见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建议</w:t>
            </w:r>
            <w:r>
              <w:rPr>
                <w:rFonts w:ascii="方正仿宋简体" w:eastAsia="方正仿宋简体"/>
                <w:sz w:val="18"/>
                <w:szCs w:val="18"/>
              </w:rPr>
              <w:t>素材等</w:t>
            </w:r>
            <w:r w:rsidR="009D12AD"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</w:p>
        </w:tc>
      </w:tr>
      <w:tr w:rsidR="00245725" w:rsidRPr="00DF0023" w:rsidTr="0067181F">
        <w:trPr>
          <w:jc w:val="center"/>
        </w:trPr>
        <w:tc>
          <w:tcPr>
            <w:tcW w:w="1413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5</w:t>
            </w:r>
            <w:r w:rsidRPr="00DF0023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新闻宣传</w:t>
            </w:r>
            <w:r w:rsidRPr="00DF0023">
              <w:rPr>
                <w:rFonts w:ascii="方正仿宋简体" w:eastAsia="方正仿宋简体" w:hint="eastAsia"/>
              </w:rPr>
              <w:t>（分值和评分标准）</w:t>
            </w:r>
          </w:p>
        </w:tc>
        <w:tc>
          <w:tcPr>
            <w:tcW w:w="850" w:type="dxa"/>
            <w:vAlign w:val="center"/>
          </w:tcPr>
          <w:p w:rsidR="00245725" w:rsidRPr="00DF0023" w:rsidRDefault="00245725" w:rsidP="0067181F">
            <w:pPr>
              <w:jc w:val="center"/>
              <w:rPr>
                <w:rFonts w:ascii="方正仿宋简体" w:eastAsia="方正仿宋简体"/>
              </w:rPr>
            </w:pPr>
            <w:r w:rsidRPr="00253705">
              <w:rPr>
                <w:rFonts w:ascii="Times New Roman" w:eastAsia="方正仿宋简体" w:hAnsi="Times New Roman" w:cs="Times New Roman"/>
              </w:rPr>
              <w:t>15</w:t>
            </w:r>
            <w:r w:rsidRPr="00DF0023">
              <w:rPr>
                <w:rFonts w:ascii="方正仿宋简体" w:eastAsia="方正仿宋简体" w:hint="eastAsia"/>
              </w:rPr>
              <w:t>分</w:t>
            </w:r>
          </w:p>
        </w:tc>
        <w:tc>
          <w:tcPr>
            <w:tcW w:w="5675" w:type="dxa"/>
            <w:vAlign w:val="center"/>
          </w:tcPr>
          <w:p w:rsidR="00245725" w:rsidRPr="00DF0023" w:rsidRDefault="00245725" w:rsidP="00926C5E">
            <w:pPr>
              <w:rPr>
                <w:rFonts w:ascii="方正仿宋简体" w:eastAsia="方正仿宋简体"/>
                <w:sz w:val="18"/>
                <w:szCs w:val="18"/>
              </w:rPr>
            </w:pP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5</w:t>
            </w:r>
            <w:r w:rsidRPr="00DF0023">
              <w:rPr>
                <w:rFonts w:ascii="方正仿宋简体" w:eastAsia="方正仿宋简体" w:hint="eastAsia"/>
                <w:b/>
                <w:sz w:val="18"/>
                <w:szCs w:val="18"/>
              </w:rPr>
              <w:t>.</w:t>
            </w:r>
            <w:r w:rsidRPr="00253705">
              <w:rPr>
                <w:rFonts w:ascii="Times New Roman" w:eastAsia="方正仿宋简体" w:hAnsi="Times New Roman" w:cs="Times New Roman"/>
                <w:b/>
                <w:sz w:val="18"/>
                <w:szCs w:val="18"/>
              </w:rPr>
              <w:t>1</w:t>
            </w:r>
            <w:r w:rsidRPr="00F1204B">
              <w:rPr>
                <w:rFonts w:ascii="方正仿宋简体" w:eastAsia="方正仿宋简体" w:hint="eastAsia"/>
                <w:b/>
                <w:sz w:val="18"/>
                <w:szCs w:val="18"/>
              </w:rPr>
              <w:t>配合上期所/上期能源约稿，提供正面分析师观点素材、稿件等。</w:t>
            </w:r>
            <w:r w:rsidR="00260EBF" w:rsidRPr="000F0334">
              <w:rPr>
                <w:rFonts w:ascii="方正仿宋简体" w:eastAsia="方正仿宋简体" w:hint="eastAsia"/>
                <w:sz w:val="18"/>
                <w:szCs w:val="18"/>
              </w:rPr>
              <w:t>站位期货市场稳定运行、高质量发展，</w:t>
            </w:r>
            <w:r w:rsidR="00260EBF" w:rsidRPr="00DF0023">
              <w:rPr>
                <w:rFonts w:ascii="方正仿宋简体" w:eastAsia="方正仿宋简体" w:hint="eastAsia"/>
                <w:sz w:val="18"/>
                <w:szCs w:val="18"/>
              </w:rPr>
              <w:t>积极主动利用</w:t>
            </w:r>
            <w:r w:rsidR="00260EBF">
              <w:rPr>
                <w:rFonts w:ascii="方正仿宋简体" w:eastAsia="方正仿宋简体" w:hint="eastAsia"/>
                <w:sz w:val="18"/>
                <w:szCs w:val="18"/>
              </w:rPr>
              <w:t>重要</w:t>
            </w:r>
            <w:r w:rsidR="00260EBF" w:rsidRPr="00DF0023">
              <w:rPr>
                <w:rFonts w:ascii="方正仿宋简体" w:eastAsia="方正仿宋简体" w:hint="eastAsia"/>
                <w:sz w:val="18"/>
                <w:szCs w:val="18"/>
              </w:rPr>
              <w:t>公众媒体</w:t>
            </w:r>
            <w:r w:rsidR="00260EBF">
              <w:rPr>
                <w:rFonts w:ascii="方正仿宋简体" w:eastAsia="方正仿宋简体" w:hint="eastAsia"/>
                <w:sz w:val="18"/>
                <w:szCs w:val="18"/>
              </w:rPr>
              <w:t>（中央媒体、产业媒体、境外媒体等）</w:t>
            </w:r>
            <w:r w:rsidR="00260EBF" w:rsidRPr="00DF0023">
              <w:rPr>
                <w:rFonts w:ascii="方正仿宋简体" w:eastAsia="方正仿宋简体" w:hint="eastAsia"/>
                <w:sz w:val="18"/>
                <w:szCs w:val="18"/>
              </w:rPr>
              <w:t>客观、</w:t>
            </w:r>
            <w:r w:rsidR="00260EBF">
              <w:rPr>
                <w:rFonts w:ascii="方正仿宋简体" w:eastAsia="方正仿宋简体" w:hint="eastAsia"/>
                <w:sz w:val="18"/>
                <w:szCs w:val="18"/>
              </w:rPr>
              <w:t>正面地宣传上海期货市场功能发挥，介绍相关品种市场和行情分析。</w:t>
            </w:r>
          </w:p>
        </w:tc>
      </w:tr>
    </w:tbl>
    <w:p w:rsidR="008B3F4D" w:rsidRPr="00245725" w:rsidRDefault="008B3F4D"/>
    <w:sectPr w:rsidR="008B3F4D" w:rsidRPr="0024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FB" w:rsidRDefault="00A90AFB" w:rsidP="00245725">
      <w:r>
        <w:separator/>
      </w:r>
    </w:p>
  </w:endnote>
  <w:endnote w:type="continuationSeparator" w:id="0">
    <w:p w:rsidR="00A90AFB" w:rsidRDefault="00A90AFB" w:rsidP="002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FB" w:rsidRDefault="00A90AFB" w:rsidP="00245725">
      <w:r>
        <w:separator/>
      </w:r>
    </w:p>
  </w:footnote>
  <w:footnote w:type="continuationSeparator" w:id="0">
    <w:p w:rsidR="00A90AFB" w:rsidRDefault="00A90AFB" w:rsidP="0024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C4"/>
    <w:multiLevelType w:val="multilevel"/>
    <w:tmpl w:val="59662A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6"/>
    <w:rsid w:val="00156B37"/>
    <w:rsid w:val="00213BF9"/>
    <w:rsid w:val="00216572"/>
    <w:rsid w:val="00245725"/>
    <w:rsid w:val="00260EBF"/>
    <w:rsid w:val="00281314"/>
    <w:rsid w:val="002D1ACD"/>
    <w:rsid w:val="003331C5"/>
    <w:rsid w:val="003810FE"/>
    <w:rsid w:val="004868FD"/>
    <w:rsid w:val="0049556A"/>
    <w:rsid w:val="004C0477"/>
    <w:rsid w:val="00560F74"/>
    <w:rsid w:val="006345B0"/>
    <w:rsid w:val="00653D59"/>
    <w:rsid w:val="0067181F"/>
    <w:rsid w:val="006D1831"/>
    <w:rsid w:val="006F67E4"/>
    <w:rsid w:val="0070368C"/>
    <w:rsid w:val="0071630E"/>
    <w:rsid w:val="00783A66"/>
    <w:rsid w:val="00866688"/>
    <w:rsid w:val="008B3F4D"/>
    <w:rsid w:val="008C7FC5"/>
    <w:rsid w:val="00915B66"/>
    <w:rsid w:val="00926C5E"/>
    <w:rsid w:val="009D12AD"/>
    <w:rsid w:val="009E12E7"/>
    <w:rsid w:val="00A90AFB"/>
    <w:rsid w:val="00C671EF"/>
    <w:rsid w:val="00CA0191"/>
    <w:rsid w:val="00EA464E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5C0B1-0EA9-41A2-82E3-FE1B457E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725"/>
    <w:rPr>
      <w:sz w:val="18"/>
      <w:szCs w:val="18"/>
    </w:rPr>
  </w:style>
  <w:style w:type="paragraph" w:styleId="a5">
    <w:name w:val="List Paragraph"/>
    <w:basedOn w:val="a"/>
    <w:uiPriority w:val="34"/>
    <w:qFormat/>
    <w:rsid w:val="00245725"/>
    <w:pPr>
      <w:ind w:firstLineChars="200" w:firstLine="420"/>
    </w:pPr>
  </w:style>
  <w:style w:type="table" w:styleId="a6">
    <w:name w:val="Table Grid"/>
    <w:basedOn w:val="a1"/>
    <w:uiPriority w:val="39"/>
    <w:rsid w:val="0024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3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4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孙启轩</dc:creator>
  <cp:keywords/>
  <dc:description/>
  <cp:lastModifiedBy>shfe</cp:lastModifiedBy>
  <cp:revision>41</cp:revision>
  <cp:lastPrinted>2024-12-02T08:10:00Z</cp:lastPrinted>
  <dcterms:created xsi:type="dcterms:W3CDTF">2024-11-20T08:50:00Z</dcterms:created>
  <dcterms:modified xsi:type="dcterms:W3CDTF">2024-12-02T08:37:00Z</dcterms:modified>
</cp:coreProperties>
</file>