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92" w:rsidRPr="0054593C" w:rsidRDefault="00D05B92" w:rsidP="00D05B92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54593C">
        <w:rPr>
          <w:rFonts w:ascii="Times New Roman" w:eastAsia="方正大标宋简体" w:hAnsi="Times New Roman"/>
          <w:sz w:val="42"/>
          <w:szCs w:val="42"/>
        </w:rPr>
        <w:t>附件</w:t>
      </w:r>
      <w:r w:rsidRPr="0054593C">
        <w:rPr>
          <w:rFonts w:ascii="Times New Roman" w:eastAsia="方正大标宋简体" w:hAnsi="Times New Roman"/>
          <w:sz w:val="42"/>
          <w:szCs w:val="42"/>
        </w:rPr>
        <w:t>3</w:t>
      </w:r>
    </w:p>
    <w:p w:rsidR="00D05B92" w:rsidRPr="00127D21" w:rsidRDefault="00D05B92" w:rsidP="00D05B92"/>
    <w:p w:rsidR="00D05B92" w:rsidRPr="002D03B1" w:rsidRDefault="00D05B92" w:rsidP="00D05B92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2D03B1">
        <w:rPr>
          <w:rFonts w:ascii="Times New Roman" w:eastAsia="方正大标宋简体" w:hAnsi="Times New Roman"/>
          <w:sz w:val="42"/>
          <w:szCs w:val="42"/>
        </w:rPr>
        <w:t>做市业务实施方案与</w:t>
      </w:r>
      <w:bookmarkStart w:id="0" w:name="_GoBack"/>
      <w:bookmarkEnd w:id="0"/>
      <w:r w:rsidRPr="002D03B1">
        <w:rPr>
          <w:rFonts w:ascii="Times New Roman" w:eastAsia="方正大标宋简体" w:hAnsi="Times New Roman"/>
          <w:sz w:val="42"/>
          <w:szCs w:val="42"/>
        </w:rPr>
        <w:t>管理制度参考要点</w:t>
      </w:r>
    </w:p>
    <w:p w:rsidR="00D05B92" w:rsidRPr="002D03B1" w:rsidRDefault="00D05B92" w:rsidP="00D05B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088"/>
        <w:gridCol w:w="4655"/>
      </w:tblGrid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主要方面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参考要点</w:t>
            </w:r>
          </w:p>
        </w:tc>
      </w:tr>
      <w:tr w:rsidR="00D05B92" w:rsidRPr="00AD1DBF" w:rsidTr="00F053E6">
        <w:tc>
          <w:tcPr>
            <w:tcW w:w="8522" w:type="dxa"/>
            <w:gridSpan w:val="3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做市业务实施方案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做市业务总体设想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投入申请品种做市业务的资金规模及用法、投入人员及详细情况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定价模型，不同情况下的报价策略、对冲策略、持仓管理、资金管理及决策流程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做市报价价差与参与率管理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报价价差、报价数量、合约覆盖情况，单边市等极端情况下的参与情况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做市策略预期评估结果与盈亏测算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每日测算做市评价预期结果</w:t>
            </w:r>
          </w:p>
        </w:tc>
      </w:tr>
      <w:tr w:rsidR="00D05B92" w:rsidRPr="00AD1DBF" w:rsidTr="00F053E6">
        <w:tc>
          <w:tcPr>
            <w:tcW w:w="8522" w:type="dxa"/>
            <w:gridSpan w:val="3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内部管理制度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业务运行管理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做市业务运行管理各要素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合规与内部控制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授权管理机制、投资决策流程和业务隔离机制等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公司对做市业务的监督管理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公司层面对做市业务的监督管理措施等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额度管理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公司内部关于做市持仓限额申请流程等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岗位设置与工作职责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做市业务相关部门、岗位人员及其职责</w:t>
            </w:r>
          </w:p>
        </w:tc>
      </w:tr>
      <w:tr w:rsidR="00D05B92" w:rsidRPr="00AD1DBF" w:rsidTr="00F053E6">
        <w:tc>
          <w:tcPr>
            <w:tcW w:w="8522" w:type="dxa"/>
            <w:gridSpan w:val="3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风险控制制度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保证金监控、强行平仓管理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市场风险管理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隔夜风险管理、市场大幅波动风险管理等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合约到期及结算风险管理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快到期持仓管理、结算风险管理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操作风险管理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持仓、交易和风险敞口的限额，合理性检查、授权权限等前端控制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模型失效下的应对等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流动性风险的应对等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预警设置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持仓限额、每秒报单数量等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盈亏管理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日间与日终的盈亏计算等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技术系统的风险种类、处理方式等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压力测试及报告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不同场景（含极端情况）下的保证金、收益及报价情况的压力测试</w:t>
            </w:r>
          </w:p>
        </w:tc>
      </w:tr>
      <w:tr w:rsidR="00D05B92" w:rsidRPr="00AD1DBF" w:rsidTr="00F053E6">
        <w:tc>
          <w:tcPr>
            <w:tcW w:w="8522" w:type="dxa"/>
            <w:gridSpan w:val="3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做市系统介绍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做市系统基本功能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做市策略交易、合约管理、订单管理、报价参数管理、报价模型管理、批量撤单、前端控制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数据管理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做市数据库所包括的数据内容、访问权限管理等</w:t>
            </w:r>
          </w:p>
        </w:tc>
      </w:tr>
      <w:tr w:rsidR="00D05B92" w:rsidRPr="00AD1DBF" w:rsidTr="00F053E6">
        <w:tc>
          <w:tcPr>
            <w:tcW w:w="8522" w:type="dxa"/>
            <w:gridSpan w:val="3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b/>
                <w:kern w:val="0"/>
                <w:sz w:val="24"/>
                <w:szCs w:val="24"/>
              </w:rPr>
              <w:t>应急预案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突发事件的情形的分类及分析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预警及响应机制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预警机制、响应机制及内部流程</w:t>
            </w:r>
          </w:p>
        </w:tc>
      </w:tr>
      <w:tr w:rsidR="00D05B92" w:rsidRPr="00AD1DBF" w:rsidTr="00F053E6">
        <w:tc>
          <w:tcPr>
            <w:tcW w:w="779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应急处理方式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D05B92" w:rsidRPr="00AD1DBF" w:rsidRDefault="00D05B92" w:rsidP="00F053E6">
            <w:pPr>
              <w:spacing w:line="440" w:lineRule="exact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  <w:r w:rsidRPr="00AD1DBF">
              <w:rPr>
                <w:rFonts w:ascii="Times New Roman" w:eastAsia="方正仿宋简体" w:hAnsi="Times New Roman"/>
                <w:kern w:val="0"/>
                <w:sz w:val="24"/>
                <w:szCs w:val="24"/>
              </w:rPr>
              <w:t>各类应急处理预案及内部流程</w:t>
            </w:r>
          </w:p>
        </w:tc>
      </w:tr>
    </w:tbl>
    <w:p w:rsidR="00D05B92" w:rsidRDefault="00D05B92" w:rsidP="00D05B92">
      <w:pPr>
        <w:spacing w:before="217" w:after="217" w:line="360" w:lineRule="auto"/>
        <w:jc w:val="left"/>
        <w:rPr>
          <w:rFonts w:ascii="方正大标宋简体" w:eastAsia="方正大标宋简体" w:hAnsi="Times New Roman"/>
          <w:sz w:val="42"/>
          <w:szCs w:val="42"/>
        </w:rPr>
      </w:pPr>
    </w:p>
    <w:p w:rsidR="00EA4A51" w:rsidRDefault="00EA4A51" w:rsidP="00D05B92"/>
    <w:sectPr w:rsidR="00EA4A51" w:rsidSect="00EA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30" w:rsidRDefault="00F96630" w:rsidP="00D05B92">
      <w:r>
        <w:separator/>
      </w:r>
    </w:p>
  </w:endnote>
  <w:endnote w:type="continuationSeparator" w:id="0">
    <w:p w:rsidR="00F96630" w:rsidRDefault="00F96630" w:rsidP="00D0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30" w:rsidRDefault="00F96630" w:rsidP="00D05B92">
      <w:r>
        <w:separator/>
      </w:r>
    </w:p>
  </w:footnote>
  <w:footnote w:type="continuationSeparator" w:id="0">
    <w:p w:rsidR="00F96630" w:rsidRDefault="00F96630" w:rsidP="00D05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B92"/>
    <w:rsid w:val="0054593C"/>
    <w:rsid w:val="00D05B92"/>
    <w:rsid w:val="00EA4A51"/>
    <w:rsid w:val="00F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64C4632-E1F7-4D63-8FAA-03EB5801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B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B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SHFE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3</cp:revision>
  <dcterms:created xsi:type="dcterms:W3CDTF">2025-01-16T08:34:00Z</dcterms:created>
  <dcterms:modified xsi:type="dcterms:W3CDTF">2025-01-16T09:27:00Z</dcterms:modified>
</cp:coreProperties>
</file>