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C0" w:rsidRPr="0052373D" w:rsidRDefault="008674C0" w:rsidP="008674C0">
      <w:pPr>
        <w:rPr>
          <w:rFonts w:eastAsia="方正大标宋简体"/>
          <w:sz w:val="42"/>
          <w:szCs w:val="42"/>
        </w:rPr>
      </w:pPr>
      <w:r w:rsidRPr="0052373D">
        <w:rPr>
          <w:rFonts w:eastAsia="方正大标宋简体" w:hint="eastAsia"/>
          <w:sz w:val="42"/>
          <w:szCs w:val="42"/>
        </w:rPr>
        <w:t>附件</w:t>
      </w:r>
    </w:p>
    <w:p w:rsidR="008674C0" w:rsidRDefault="008674C0" w:rsidP="008674C0">
      <w:pPr>
        <w:widowControl/>
        <w:spacing w:before="100" w:beforeAutospacing="1" w:after="100" w:afterAutospacing="1"/>
        <w:jc w:val="center"/>
        <w:outlineLvl w:val="0"/>
        <w:rPr>
          <w:rFonts w:eastAsia="方正大标宋简体"/>
          <w:sz w:val="36"/>
          <w:szCs w:val="36"/>
        </w:rPr>
      </w:pPr>
      <w:r>
        <w:rPr>
          <w:rFonts w:eastAsia="方正大标宋简体"/>
          <w:sz w:val="36"/>
          <w:szCs w:val="36"/>
        </w:rPr>
        <w:t>关于不锈钢期货交割商品补充规定的通知</w:t>
      </w:r>
      <w:r>
        <w:rPr>
          <w:rFonts w:eastAsia="方正大标宋简体" w:hint="eastAsia"/>
          <w:sz w:val="36"/>
          <w:szCs w:val="36"/>
        </w:rPr>
        <w:t>（修订版）</w:t>
      </w:r>
    </w:p>
    <w:p w:rsidR="008674C0" w:rsidRDefault="008674C0" w:rsidP="008674C0">
      <w:pPr>
        <w:widowControl/>
        <w:tabs>
          <w:tab w:val="left" w:pos="1230"/>
        </w:tabs>
        <w:jc w:val="right"/>
        <w:rPr>
          <w:rFonts w:ascii="宋体" w:hAnsi="宋体" w:cs="宋体"/>
          <w:kern w:val="0"/>
          <w:sz w:val="24"/>
        </w:rPr>
      </w:pPr>
      <w:r>
        <w:rPr>
          <w:rFonts w:ascii="方正仿宋简体" w:eastAsia="方正仿宋简体" w:cs="宋体" w:hint="eastAsia"/>
          <w:kern w:val="0"/>
          <w:sz w:val="30"/>
          <w:szCs w:val="30"/>
        </w:rPr>
        <w:t> </w:t>
      </w:r>
    </w:p>
    <w:p w:rsidR="008674C0" w:rsidRDefault="008674C0" w:rsidP="008674C0">
      <w:pPr>
        <w:widowControl/>
        <w:tabs>
          <w:tab w:val="left" w:pos="1230"/>
        </w:tabs>
        <w:jc w:val="left"/>
        <w:rPr>
          <w:rFonts w:eastAsia="方正仿宋简体" w:cs="仿宋"/>
          <w:sz w:val="30"/>
          <w:szCs w:val="30"/>
        </w:rPr>
      </w:pPr>
      <w:r>
        <w:rPr>
          <w:rFonts w:eastAsia="方正仿宋简体" w:cs="仿宋" w:hint="eastAsia"/>
          <w:sz w:val="30"/>
          <w:szCs w:val="30"/>
        </w:rPr>
        <w:t>各会员单位：</w:t>
      </w:r>
    </w:p>
    <w:p w:rsidR="008674C0" w:rsidRDefault="008674C0" w:rsidP="008674C0">
      <w:pPr>
        <w:widowControl/>
        <w:tabs>
          <w:tab w:val="left" w:pos="1230"/>
        </w:tabs>
        <w:ind w:firstLineChars="200" w:firstLine="600"/>
        <w:jc w:val="left"/>
        <w:rPr>
          <w:rFonts w:eastAsia="方正仿宋简体" w:cs="仿宋"/>
          <w:sz w:val="30"/>
          <w:szCs w:val="30"/>
        </w:rPr>
      </w:pPr>
      <w:r>
        <w:rPr>
          <w:rFonts w:eastAsia="方正仿宋简体" w:cs="仿宋" w:hint="eastAsia"/>
          <w:sz w:val="30"/>
          <w:szCs w:val="30"/>
        </w:rPr>
        <w:t>经研究决定，对不锈钢交割商品作如下补充规定。</w:t>
      </w:r>
    </w:p>
    <w:p w:rsidR="008674C0" w:rsidRDefault="008674C0" w:rsidP="008674C0">
      <w:pPr>
        <w:widowControl/>
        <w:tabs>
          <w:tab w:val="left" w:pos="1230"/>
        </w:tabs>
        <w:ind w:firstLineChars="200" w:firstLine="600"/>
        <w:jc w:val="left"/>
        <w:rPr>
          <w:rFonts w:eastAsia="方正仿宋简体" w:cs="仿宋"/>
          <w:sz w:val="30"/>
          <w:szCs w:val="30"/>
        </w:rPr>
      </w:pPr>
      <w:r>
        <w:rPr>
          <w:rFonts w:eastAsia="方正仿宋简体" w:cs="仿宋" w:hint="eastAsia"/>
          <w:sz w:val="30"/>
          <w:szCs w:val="30"/>
        </w:rPr>
        <w:t>客户在进行不锈钢期货合约卖出交割时，交割商品的仓单应当符合下列要求：</w:t>
      </w:r>
    </w:p>
    <w:p w:rsidR="008674C0" w:rsidRDefault="008674C0" w:rsidP="008674C0">
      <w:pPr>
        <w:widowControl/>
        <w:tabs>
          <w:tab w:val="left" w:pos="1230"/>
        </w:tabs>
        <w:ind w:firstLineChars="200" w:firstLine="600"/>
        <w:jc w:val="left"/>
        <w:rPr>
          <w:rFonts w:eastAsia="方正仿宋简体" w:cs="仿宋"/>
          <w:sz w:val="30"/>
          <w:szCs w:val="30"/>
        </w:rPr>
      </w:pPr>
      <w:r>
        <w:rPr>
          <w:rFonts w:eastAsia="方正仿宋简体" w:cs="仿宋" w:hint="eastAsia"/>
          <w:sz w:val="30"/>
          <w:szCs w:val="30"/>
        </w:rPr>
        <w:t>1</w:t>
      </w:r>
      <w:r>
        <w:rPr>
          <w:rFonts w:eastAsia="方正仿宋简体" w:cs="仿宋" w:hint="eastAsia"/>
          <w:sz w:val="30"/>
          <w:szCs w:val="30"/>
        </w:rPr>
        <w:t>．每批不锈钢应在生产日起的</w:t>
      </w:r>
      <w:r>
        <w:rPr>
          <w:rFonts w:eastAsia="方正仿宋简体" w:cs="仿宋" w:hint="eastAsia"/>
          <w:sz w:val="30"/>
          <w:szCs w:val="30"/>
        </w:rPr>
        <w:t>45</w:t>
      </w:r>
      <w:r>
        <w:rPr>
          <w:rFonts w:eastAsia="方正仿宋简体" w:cs="仿宋" w:hint="eastAsia"/>
          <w:sz w:val="30"/>
          <w:szCs w:val="30"/>
        </w:rPr>
        <w:t>天内入</w:t>
      </w:r>
      <w:r>
        <w:rPr>
          <w:rFonts w:eastAsia="方正仿宋简体" w:cs="仿宋" w:hint="eastAsia"/>
          <w:dstrike/>
          <w:sz w:val="30"/>
          <w:szCs w:val="30"/>
        </w:rPr>
        <w:t>指定</w:t>
      </w:r>
      <w:r>
        <w:rPr>
          <w:rFonts w:eastAsia="方正仿宋简体" w:cs="仿宋" w:hint="eastAsia"/>
          <w:sz w:val="30"/>
          <w:szCs w:val="30"/>
        </w:rPr>
        <w:t>交割仓库，方可制作仓库标准仓单。每一仓单的不锈钢生产日期应当不超过连续十五日。每一仓单的有效期限为生产日起的</w:t>
      </w:r>
      <w:r>
        <w:rPr>
          <w:rFonts w:eastAsia="方正仿宋简体" w:cs="仿宋" w:hint="eastAsia"/>
          <w:sz w:val="30"/>
          <w:szCs w:val="30"/>
        </w:rPr>
        <w:t>360</w:t>
      </w:r>
      <w:r>
        <w:rPr>
          <w:rFonts w:eastAsia="方正仿宋简体" w:cs="仿宋" w:hint="eastAsia"/>
          <w:sz w:val="30"/>
          <w:szCs w:val="30"/>
        </w:rPr>
        <w:t>天内，以其中不锈钢最早生产日期作为该仓单的生产日期，且有效期应当覆盖该次交割的第</w:t>
      </w:r>
      <w:r>
        <w:rPr>
          <w:rFonts w:eastAsia="方正仿宋简体" w:cs="仿宋" w:hint="eastAsia"/>
          <w:dstrike/>
          <w:sz w:val="30"/>
          <w:szCs w:val="30"/>
        </w:rPr>
        <w:t>五</w:t>
      </w:r>
      <w:r>
        <w:rPr>
          <w:rFonts w:eastAsia="方正仿宋简体" w:cs="仿宋" w:hint="eastAsia"/>
          <w:b/>
          <w:sz w:val="30"/>
          <w:szCs w:val="30"/>
          <w:shd w:val="pct10" w:color="auto" w:fill="FFFFFF"/>
        </w:rPr>
        <w:t>二</w:t>
      </w:r>
      <w:r>
        <w:rPr>
          <w:rFonts w:eastAsia="方正仿宋简体" w:cs="仿宋" w:hint="eastAsia"/>
          <w:sz w:val="30"/>
          <w:szCs w:val="30"/>
        </w:rPr>
        <w:t>交割日。</w:t>
      </w:r>
    </w:p>
    <w:p w:rsidR="008674C0" w:rsidRDefault="008674C0" w:rsidP="008674C0">
      <w:pPr>
        <w:widowControl/>
        <w:tabs>
          <w:tab w:val="left" w:pos="1230"/>
        </w:tabs>
        <w:ind w:firstLineChars="200" w:firstLine="600"/>
        <w:jc w:val="left"/>
        <w:rPr>
          <w:rFonts w:eastAsia="方正仿宋简体" w:cs="仿宋"/>
          <w:sz w:val="30"/>
          <w:szCs w:val="30"/>
        </w:rPr>
      </w:pPr>
      <w:r>
        <w:rPr>
          <w:rFonts w:eastAsia="方正仿宋简体" w:cs="仿宋" w:hint="eastAsia"/>
          <w:sz w:val="30"/>
          <w:szCs w:val="30"/>
        </w:rPr>
        <w:t>每一厂库标准仓单的不锈钢生产日期</w:t>
      </w:r>
      <w:r>
        <w:rPr>
          <w:rFonts w:eastAsia="方正仿宋简体" w:hint="eastAsia"/>
          <w:b/>
          <w:sz w:val="30"/>
          <w:szCs w:val="30"/>
          <w:shd w:val="pct10" w:color="auto" w:fill="FFFFFF"/>
        </w:rPr>
        <w:t>应在货主和厂库之间已经确定的提货日之前的三百六十日之内，组成每一厂库标准仓单出库的不锈钢生产日期应当不超过连续三十日。厂库标准仓单的有效期为厂库标准仓单生成之日起的</w:t>
      </w:r>
      <w:r>
        <w:rPr>
          <w:rFonts w:eastAsia="方正仿宋简体"/>
          <w:b/>
          <w:sz w:val="30"/>
          <w:szCs w:val="30"/>
          <w:shd w:val="pct10" w:color="auto" w:fill="FFFFFF"/>
        </w:rPr>
        <w:t>360</w:t>
      </w:r>
      <w:r>
        <w:rPr>
          <w:rFonts w:eastAsia="方正仿宋简体" w:hint="eastAsia"/>
          <w:b/>
          <w:sz w:val="30"/>
          <w:szCs w:val="30"/>
          <w:shd w:val="pct10" w:color="auto" w:fill="FFFFFF"/>
        </w:rPr>
        <w:t>天内，</w:t>
      </w:r>
      <w:r>
        <w:rPr>
          <w:rFonts w:eastAsia="方正仿宋简体" w:cs="仿宋" w:hint="eastAsia"/>
          <w:dstrike/>
          <w:sz w:val="30"/>
          <w:szCs w:val="30"/>
        </w:rPr>
        <w:t>应不早于仓单注册日前的</w:t>
      </w:r>
      <w:r>
        <w:rPr>
          <w:rFonts w:eastAsia="方正仿宋简体" w:cs="仿宋" w:hint="eastAsia"/>
          <w:dstrike/>
          <w:sz w:val="30"/>
          <w:szCs w:val="30"/>
        </w:rPr>
        <w:t>45</w:t>
      </w:r>
      <w:r>
        <w:rPr>
          <w:rFonts w:eastAsia="方正仿宋简体" w:cs="仿宋" w:hint="eastAsia"/>
          <w:dstrike/>
          <w:sz w:val="30"/>
          <w:szCs w:val="30"/>
        </w:rPr>
        <w:t>天。每一厂库标准仓单的不锈钢生产日期应当不超过连续十五日。每一厂库标准仓单的有效期限为仓单注册日起的</w:t>
      </w:r>
      <w:r>
        <w:rPr>
          <w:rFonts w:eastAsia="方正仿宋简体" w:cs="仿宋" w:hint="eastAsia"/>
          <w:dstrike/>
          <w:sz w:val="30"/>
          <w:szCs w:val="30"/>
        </w:rPr>
        <w:t>315</w:t>
      </w:r>
      <w:r>
        <w:rPr>
          <w:rFonts w:eastAsia="方正仿宋简体" w:cs="仿宋" w:hint="eastAsia"/>
          <w:dstrike/>
          <w:sz w:val="30"/>
          <w:szCs w:val="30"/>
        </w:rPr>
        <w:t>天内</w:t>
      </w:r>
      <w:r>
        <w:rPr>
          <w:rFonts w:eastAsia="方正仿宋简体" w:cs="仿宋" w:hint="eastAsia"/>
          <w:sz w:val="30"/>
          <w:szCs w:val="30"/>
        </w:rPr>
        <w:t>，且有效期应当覆盖该次交割的第</w:t>
      </w:r>
      <w:r>
        <w:rPr>
          <w:rFonts w:eastAsia="方正仿宋简体" w:cs="仿宋" w:hint="eastAsia"/>
          <w:dstrike/>
          <w:sz w:val="30"/>
          <w:szCs w:val="30"/>
        </w:rPr>
        <w:t>五</w:t>
      </w:r>
      <w:r>
        <w:rPr>
          <w:rFonts w:eastAsia="方正仿宋简体" w:cs="仿宋" w:hint="eastAsia"/>
          <w:sz w:val="30"/>
          <w:szCs w:val="30"/>
          <w:shd w:val="pct10" w:color="auto" w:fill="FFFFFF"/>
        </w:rPr>
        <w:t>二</w:t>
      </w:r>
      <w:r>
        <w:rPr>
          <w:rFonts w:eastAsia="方正仿宋简体" w:cs="仿宋" w:hint="eastAsia"/>
          <w:sz w:val="30"/>
          <w:szCs w:val="30"/>
        </w:rPr>
        <w:t>交割日。</w:t>
      </w:r>
    </w:p>
    <w:p w:rsidR="008674C0" w:rsidRDefault="008674C0" w:rsidP="008674C0">
      <w:pPr>
        <w:widowControl/>
        <w:tabs>
          <w:tab w:val="left" w:pos="1230"/>
        </w:tabs>
        <w:ind w:firstLineChars="200" w:firstLine="600"/>
        <w:jc w:val="left"/>
        <w:rPr>
          <w:rFonts w:eastAsia="方正仿宋简体" w:cs="仿宋"/>
          <w:sz w:val="30"/>
          <w:szCs w:val="30"/>
        </w:rPr>
      </w:pPr>
      <w:r>
        <w:rPr>
          <w:rFonts w:eastAsia="方正仿宋简体" w:cs="仿宋" w:hint="eastAsia"/>
          <w:sz w:val="30"/>
          <w:szCs w:val="30"/>
        </w:rPr>
        <w:lastRenderedPageBreak/>
        <w:t>2</w:t>
      </w:r>
      <w:r>
        <w:rPr>
          <w:rFonts w:eastAsia="方正仿宋简体" w:cs="仿宋" w:hint="eastAsia"/>
          <w:sz w:val="30"/>
          <w:szCs w:val="30"/>
        </w:rPr>
        <w:t>．不锈钢仓库标准仓单应当由本所</w:t>
      </w:r>
      <w:r>
        <w:rPr>
          <w:rFonts w:eastAsia="方正仿宋简体" w:cs="仿宋" w:hint="eastAsia"/>
          <w:dstrike/>
          <w:sz w:val="30"/>
          <w:szCs w:val="30"/>
        </w:rPr>
        <w:t>指定</w:t>
      </w:r>
      <w:r>
        <w:rPr>
          <w:rFonts w:eastAsia="方正仿宋简体" w:cs="仿宋" w:hint="eastAsia"/>
          <w:sz w:val="30"/>
          <w:szCs w:val="30"/>
        </w:rPr>
        <w:t>交割仓库按规定验收后出具。</w:t>
      </w:r>
    </w:p>
    <w:p w:rsidR="008674C0" w:rsidRDefault="008674C0" w:rsidP="008674C0">
      <w:pPr>
        <w:widowControl/>
        <w:tabs>
          <w:tab w:val="left" w:pos="1230"/>
        </w:tabs>
        <w:ind w:firstLineChars="200" w:firstLine="600"/>
        <w:jc w:val="left"/>
        <w:rPr>
          <w:rFonts w:eastAsia="方正仿宋简体" w:cs="仿宋"/>
          <w:sz w:val="30"/>
          <w:szCs w:val="30"/>
        </w:rPr>
      </w:pPr>
      <w:r>
        <w:rPr>
          <w:rFonts w:eastAsia="方正仿宋简体" w:cs="仿宋" w:hint="eastAsia"/>
          <w:sz w:val="30"/>
          <w:szCs w:val="30"/>
        </w:rPr>
        <w:t>3</w:t>
      </w:r>
      <w:r>
        <w:rPr>
          <w:rFonts w:eastAsia="方正仿宋简体" w:cs="仿宋" w:hint="eastAsia"/>
          <w:sz w:val="30"/>
          <w:szCs w:val="30"/>
        </w:rPr>
        <w:t>．可交割卷重范围为</w:t>
      </w:r>
      <w:r>
        <w:rPr>
          <w:rFonts w:eastAsia="方正仿宋简体" w:cs="仿宋" w:hint="eastAsia"/>
          <w:sz w:val="30"/>
          <w:szCs w:val="30"/>
        </w:rPr>
        <w:t>5</w:t>
      </w:r>
      <w:r>
        <w:rPr>
          <w:rFonts w:eastAsia="方正仿宋简体" w:cs="仿宋" w:hint="eastAsia"/>
          <w:sz w:val="30"/>
          <w:szCs w:val="30"/>
        </w:rPr>
        <w:t>～</w:t>
      </w:r>
      <w:r>
        <w:rPr>
          <w:rFonts w:eastAsia="方正仿宋简体" w:cs="仿宋" w:hint="eastAsia"/>
          <w:sz w:val="30"/>
          <w:szCs w:val="30"/>
        </w:rPr>
        <w:t>25</w:t>
      </w:r>
      <w:r>
        <w:rPr>
          <w:rFonts w:eastAsia="方正仿宋简体" w:cs="仿宋" w:hint="eastAsia"/>
          <w:sz w:val="30"/>
          <w:szCs w:val="30"/>
        </w:rPr>
        <w:t>吨</w:t>
      </w:r>
      <w:r>
        <w:rPr>
          <w:rFonts w:eastAsia="方正仿宋简体" w:cs="仿宋" w:hint="eastAsia"/>
          <w:sz w:val="30"/>
          <w:szCs w:val="30"/>
        </w:rPr>
        <w:t>/</w:t>
      </w:r>
      <w:r>
        <w:rPr>
          <w:rFonts w:eastAsia="方正仿宋简体" w:cs="仿宋" w:hint="eastAsia"/>
          <w:sz w:val="30"/>
          <w:szCs w:val="30"/>
        </w:rPr>
        <w:t>卷。</w:t>
      </w:r>
    </w:p>
    <w:p w:rsidR="008674C0" w:rsidRDefault="008674C0" w:rsidP="008674C0">
      <w:pPr>
        <w:widowControl/>
        <w:tabs>
          <w:tab w:val="left" w:pos="1230"/>
        </w:tabs>
        <w:ind w:firstLineChars="200" w:firstLine="600"/>
        <w:jc w:val="left"/>
        <w:rPr>
          <w:rFonts w:eastAsia="方正仿宋简体" w:cs="仿宋"/>
          <w:sz w:val="30"/>
          <w:szCs w:val="30"/>
        </w:rPr>
      </w:pPr>
      <w:r>
        <w:rPr>
          <w:rFonts w:eastAsia="方正仿宋简体" w:cs="仿宋" w:hint="eastAsia"/>
          <w:sz w:val="30"/>
          <w:szCs w:val="30"/>
        </w:rPr>
        <w:t>4</w:t>
      </w:r>
      <w:r>
        <w:rPr>
          <w:rFonts w:eastAsia="方正仿宋简体" w:cs="仿宋" w:hint="eastAsia"/>
          <w:sz w:val="30"/>
          <w:szCs w:val="30"/>
        </w:rPr>
        <w:t>．可交割的不锈钢厚度公差应当符合</w:t>
      </w:r>
      <w:r>
        <w:rPr>
          <w:rFonts w:eastAsia="方正仿宋简体" w:cs="仿宋" w:hint="eastAsia"/>
          <w:sz w:val="30"/>
          <w:szCs w:val="30"/>
        </w:rPr>
        <w:t>GB/T3280-2015</w:t>
      </w:r>
      <w:r>
        <w:rPr>
          <w:rFonts w:eastAsia="方正仿宋简体" w:cs="仿宋" w:hint="eastAsia"/>
          <w:sz w:val="30"/>
          <w:szCs w:val="30"/>
        </w:rPr>
        <w:t>《不锈钢冷轧钢板和钢带》或者符合</w:t>
      </w:r>
      <w:r>
        <w:rPr>
          <w:rFonts w:eastAsia="方正仿宋简体" w:cs="仿宋" w:hint="eastAsia"/>
          <w:sz w:val="30"/>
          <w:szCs w:val="30"/>
        </w:rPr>
        <w:t>JIS G 4305</w:t>
      </w:r>
      <w:r>
        <w:rPr>
          <w:rFonts w:eastAsia="方正仿宋简体" w:cs="仿宋" w:hint="eastAsia"/>
          <w:sz w:val="30"/>
          <w:szCs w:val="30"/>
        </w:rPr>
        <w:t>：</w:t>
      </w:r>
      <w:r>
        <w:rPr>
          <w:rFonts w:eastAsia="方正仿宋简体" w:cs="仿宋" w:hint="eastAsia"/>
          <w:sz w:val="30"/>
          <w:szCs w:val="30"/>
        </w:rPr>
        <w:t>2012</w:t>
      </w:r>
      <w:r>
        <w:rPr>
          <w:rFonts w:eastAsia="方正仿宋简体" w:cs="仿宋" w:hint="eastAsia"/>
          <w:sz w:val="30"/>
          <w:szCs w:val="30"/>
        </w:rPr>
        <w:t>《冷轧不锈钢钢板及钢带》的要求，且不允许正公差。</w:t>
      </w:r>
    </w:p>
    <w:p w:rsidR="008674C0" w:rsidRDefault="008674C0" w:rsidP="008674C0">
      <w:pPr>
        <w:widowControl/>
        <w:tabs>
          <w:tab w:val="left" w:pos="1230"/>
        </w:tabs>
        <w:ind w:firstLineChars="200" w:firstLine="600"/>
        <w:jc w:val="left"/>
        <w:rPr>
          <w:rFonts w:eastAsia="方正仿宋简体" w:cs="仿宋"/>
          <w:sz w:val="30"/>
          <w:szCs w:val="30"/>
        </w:rPr>
      </w:pPr>
      <w:r>
        <w:rPr>
          <w:rFonts w:eastAsia="方正仿宋简体" w:cs="仿宋" w:hint="eastAsia"/>
          <w:sz w:val="30"/>
          <w:szCs w:val="30"/>
        </w:rPr>
        <w:t>5</w:t>
      </w:r>
      <w:r>
        <w:rPr>
          <w:rFonts w:eastAsia="方正仿宋简体" w:cs="仿宋" w:hint="eastAsia"/>
          <w:sz w:val="30"/>
          <w:szCs w:val="30"/>
        </w:rPr>
        <w:t>．客户卖出交割时，交割商品的宽度和厚度分布应当符合下列要求：</w:t>
      </w:r>
    </w:p>
    <w:tbl>
      <w:tblPr>
        <w:tblW w:w="8374" w:type="dxa"/>
        <w:shd w:val="clear" w:color="auto" w:fill="FFFFFF"/>
        <w:tblLayout w:type="fixed"/>
        <w:tblCellMar>
          <w:left w:w="0" w:type="dxa"/>
          <w:right w:w="0" w:type="dxa"/>
        </w:tblCellMar>
        <w:tblLook w:val="04A0" w:firstRow="1" w:lastRow="0" w:firstColumn="1" w:lastColumn="0" w:noHBand="0" w:noVBand="1"/>
      </w:tblPr>
      <w:tblGrid>
        <w:gridCol w:w="1280"/>
        <w:gridCol w:w="3149"/>
        <w:gridCol w:w="3945"/>
      </w:tblGrid>
      <w:tr w:rsidR="008674C0" w:rsidTr="008F3BD3">
        <w:trPr>
          <w:trHeight w:val="2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总量</w:t>
            </w:r>
            <w:r>
              <w:rPr>
                <w:rFonts w:eastAsia="方正仿宋简体" w:cs="仿宋" w:hint="eastAsia"/>
                <w:szCs w:val="30"/>
              </w:rPr>
              <w:t>(</w:t>
            </w:r>
            <w:r>
              <w:rPr>
                <w:rFonts w:eastAsia="方正仿宋简体" w:cs="仿宋" w:hint="eastAsia"/>
                <w:szCs w:val="30"/>
              </w:rPr>
              <w:t>吨）</w:t>
            </w:r>
          </w:p>
        </w:tc>
        <w:tc>
          <w:tcPr>
            <w:tcW w:w="314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宽度（</w:t>
            </w:r>
            <w:r>
              <w:rPr>
                <w:rFonts w:eastAsia="方正仿宋简体" w:cs="仿宋" w:hint="eastAsia"/>
                <w:szCs w:val="30"/>
              </w:rPr>
              <w:t>1.219m</w:t>
            </w:r>
            <w:r>
              <w:rPr>
                <w:rFonts w:eastAsia="方正仿宋简体" w:cs="仿宋" w:hint="eastAsia"/>
                <w:szCs w:val="30"/>
              </w:rPr>
              <w:t>为标准品，</w:t>
            </w:r>
            <w:r>
              <w:rPr>
                <w:rFonts w:eastAsia="方正仿宋简体" w:cs="仿宋" w:hint="eastAsia"/>
                <w:szCs w:val="30"/>
              </w:rPr>
              <w:t>1m</w:t>
            </w:r>
            <w:r>
              <w:rPr>
                <w:rFonts w:eastAsia="方正仿宋简体" w:cs="仿宋" w:hint="eastAsia"/>
                <w:szCs w:val="30"/>
              </w:rPr>
              <w:t>、</w:t>
            </w:r>
            <w:r>
              <w:rPr>
                <w:rFonts w:eastAsia="方正仿宋简体" w:cs="仿宋" w:hint="eastAsia"/>
                <w:szCs w:val="30"/>
              </w:rPr>
              <w:t>1.5m</w:t>
            </w:r>
            <w:r>
              <w:rPr>
                <w:rFonts w:eastAsia="方正仿宋简体" w:cs="仿宋" w:hint="eastAsia"/>
                <w:szCs w:val="30"/>
              </w:rPr>
              <w:t>为替代品）</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厚度（</w:t>
            </w:r>
            <w:r>
              <w:rPr>
                <w:rFonts w:eastAsia="方正仿宋简体" w:cs="仿宋" w:hint="eastAsia"/>
                <w:szCs w:val="30"/>
              </w:rPr>
              <w:t>0.5</w:t>
            </w:r>
            <w:r>
              <w:rPr>
                <w:rFonts w:eastAsia="方正仿宋简体" w:cs="仿宋" w:hint="eastAsia"/>
                <w:szCs w:val="30"/>
              </w:rPr>
              <w:t>、</w:t>
            </w:r>
            <w:r>
              <w:rPr>
                <w:rFonts w:eastAsia="方正仿宋简体" w:cs="仿宋" w:hint="eastAsia"/>
                <w:szCs w:val="30"/>
              </w:rPr>
              <w:t>0.6</w:t>
            </w:r>
            <w:r>
              <w:rPr>
                <w:rFonts w:eastAsia="方正仿宋简体" w:cs="仿宋" w:hint="eastAsia"/>
                <w:szCs w:val="30"/>
              </w:rPr>
              <w:t>、</w:t>
            </w:r>
            <w:r>
              <w:rPr>
                <w:rFonts w:eastAsia="方正仿宋简体" w:cs="仿宋" w:hint="eastAsia"/>
                <w:szCs w:val="30"/>
              </w:rPr>
              <w:t>0.7</w:t>
            </w:r>
            <w:r>
              <w:rPr>
                <w:rFonts w:eastAsia="方正仿宋简体" w:cs="仿宋" w:hint="eastAsia"/>
                <w:szCs w:val="30"/>
              </w:rPr>
              <w:t>、</w:t>
            </w:r>
            <w:r>
              <w:rPr>
                <w:rFonts w:eastAsia="方正仿宋简体" w:cs="仿宋" w:hint="eastAsia"/>
                <w:szCs w:val="30"/>
              </w:rPr>
              <w:t>0.8</w:t>
            </w:r>
            <w:r>
              <w:rPr>
                <w:rFonts w:eastAsia="方正仿宋简体" w:cs="仿宋" w:hint="eastAsia"/>
                <w:szCs w:val="30"/>
              </w:rPr>
              <w:t>、</w:t>
            </w:r>
            <w:r>
              <w:rPr>
                <w:rFonts w:eastAsia="方正仿宋简体" w:cs="仿宋" w:hint="eastAsia"/>
                <w:szCs w:val="30"/>
              </w:rPr>
              <w:t>0.9</w:t>
            </w:r>
            <w:r>
              <w:rPr>
                <w:rFonts w:eastAsia="方正仿宋简体" w:cs="仿宋" w:hint="eastAsia"/>
                <w:szCs w:val="30"/>
              </w:rPr>
              <w:t>、</w:t>
            </w:r>
            <w:r>
              <w:rPr>
                <w:rFonts w:eastAsia="方正仿宋简体" w:cs="仿宋" w:hint="eastAsia"/>
                <w:szCs w:val="30"/>
              </w:rPr>
              <w:t>1.0</w:t>
            </w:r>
            <w:r>
              <w:rPr>
                <w:rFonts w:eastAsia="方正仿宋简体" w:cs="仿宋" w:hint="eastAsia"/>
                <w:szCs w:val="30"/>
              </w:rPr>
              <w:t>、</w:t>
            </w:r>
            <w:r>
              <w:rPr>
                <w:rFonts w:eastAsia="方正仿宋简体" w:cs="仿宋" w:hint="eastAsia"/>
                <w:szCs w:val="30"/>
              </w:rPr>
              <w:t>1.2</w:t>
            </w:r>
            <w:r>
              <w:rPr>
                <w:rFonts w:eastAsia="方正仿宋简体" w:cs="仿宋" w:hint="eastAsia"/>
                <w:szCs w:val="30"/>
              </w:rPr>
              <w:t>、</w:t>
            </w:r>
            <w:r>
              <w:rPr>
                <w:rFonts w:eastAsia="方正仿宋简体" w:cs="仿宋" w:hint="eastAsia"/>
                <w:szCs w:val="30"/>
              </w:rPr>
              <w:t>1.5</w:t>
            </w:r>
            <w:r>
              <w:rPr>
                <w:rFonts w:eastAsia="方正仿宋简体" w:cs="仿宋" w:hint="eastAsia"/>
                <w:szCs w:val="30"/>
              </w:rPr>
              <w:t>、</w:t>
            </w:r>
            <w:r>
              <w:rPr>
                <w:rFonts w:eastAsia="方正仿宋简体" w:cs="仿宋" w:hint="eastAsia"/>
                <w:szCs w:val="30"/>
              </w:rPr>
              <w:t>2.0</w:t>
            </w:r>
            <w:r>
              <w:rPr>
                <w:rFonts w:eastAsia="方正仿宋简体" w:cs="仿宋" w:hint="eastAsia"/>
                <w:szCs w:val="30"/>
              </w:rPr>
              <w:t>和</w:t>
            </w:r>
            <w:r>
              <w:rPr>
                <w:rFonts w:eastAsia="方正仿宋简体" w:cs="仿宋" w:hint="eastAsia"/>
                <w:szCs w:val="30"/>
              </w:rPr>
              <w:t>3.0mm</w:t>
            </w:r>
            <w:r>
              <w:rPr>
                <w:rFonts w:eastAsia="方正仿宋简体" w:cs="仿宋" w:hint="eastAsia"/>
                <w:szCs w:val="30"/>
              </w:rPr>
              <w:t>）</w:t>
            </w:r>
          </w:p>
        </w:tc>
      </w:tr>
      <w:tr w:rsidR="008674C0" w:rsidTr="008F3BD3">
        <w:trPr>
          <w:trHeight w:val="359"/>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[60,300]</w:t>
            </w:r>
          </w:p>
        </w:tc>
        <w:tc>
          <w:tcPr>
            <w:tcW w:w="314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必须</w:t>
            </w:r>
            <w:r>
              <w:rPr>
                <w:rFonts w:eastAsia="方正仿宋简体" w:cs="仿宋" w:hint="eastAsia"/>
                <w:szCs w:val="30"/>
              </w:rPr>
              <w:t>1.219m</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可以是同一厚度</w:t>
            </w:r>
          </w:p>
        </w:tc>
      </w:tr>
      <w:tr w:rsidR="008674C0" w:rsidTr="008F3BD3">
        <w:trPr>
          <w:trHeight w:val="2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(300,1200]</w:t>
            </w:r>
          </w:p>
        </w:tc>
        <w:tc>
          <w:tcPr>
            <w:tcW w:w="314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必须</w:t>
            </w:r>
            <w:r>
              <w:rPr>
                <w:rFonts w:eastAsia="方正仿宋简体" w:cs="仿宋" w:hint="eastAsia"/>
                <w:szCs w:val="30"/>
              </w:rPr>
              <w:t>1.219m</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至少</w:t>
            </w:r>
            <w:r>
              <w:rPr>
                <w:rFonts w:eastAsia="方正仿宋简体" w:cs="仿宋" w:hint="eastAsia"/>
                <w:szCs w:val="30"/>
              </w:rPr>
              <w:t>2</w:t>
            </w:r>
            <w:r>
              <w:rPr>
                <w:rFonts w:eastAsia="方正仿宋简体" w:cs="仿宋" w:hint="eastAsia"/>
                <w:szCs w:val="30"/>
              </w:rPr>
              <w:t>个厚度，单个厚度不超过总量的</w:t>
            </w:r>
            <w:r>
              <w:rPr>
                <w:rFonts w:eastAsia="方正仿宋简体" w:cs="仿宋" w:hint="eastAsia"/>
                <w:szCs w:val="30"/>
              </w:rPr>
              <w:t>60%</w:t>
            </w:r>
          </w:p>
        </w:tc>
      </w:tr>
      <w:tr w:rsidR="008674C0" w:rsidTr="008F3BD3">
        <w:trPr>
          <w:trHeight w:val="2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w:t>
            </w:r>
            <w:r>
              <w:rPr>
                <w:rFonts w:eastAsia="方正仿宋简体" w:cs="仿宋" w:hint="eastAsia"/>
                <w:szCs w:val="30"/>
              </w:rPr>
              <w:t>1200,2400]</w:t>
            </w:r>
          </w:p>
        </w:tc>
        <w:tc>
          <w:tcPr>
            <w:tcW w:w="314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最多两个宽度，</w:t>
            </w:r>
            <w:r>
              <w:rPr>
                <w:rFonts w:eastAsia="方正仿宋简体" w:cs="仿宋" w:hint="eastAsia"/>
                <w:szCs w:val="30"/>
              </w:rPr>
              <w:t>1.219m</w:t>
            </w:r>
            <w:r>
              <w:rPr>
                <w:rFonts w:eastAsia="方正仿宋简体" w:cs="仿宋" w:hint="eastAsia"/>
                <w:szCs w:val="30"/>
              </w:rPr>
              <w:t>不少于</w:t>
            </w:r>
            <w:r>
              <w:rPr>
                <w:rFonts w:eastAsia="方正仿宋简体" w:cs="仿宋" w:hint="eastAsia"/>
                <w:szCs w:val="30"/>
              </w:rPr>
              <w:t>80%</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至少</w:t>
            </w:r>
            <w:r>
              <w:rPr>
                <w:rFonts w:eastAsia="方正仿宋简体" w:cs="仿宋" w:hint="eastAsia"/>
                <w:szCs w:val="30"/>
              </w:rPr>
              <w:t>3</w:t>
            </w:r>
            <w:r>
              <w:rPr>
                <w:rFonts w:eastAsia="方正仿宋简体" w:cs="仿宋" w:hint="eastAsia"/>
                <w:szCs w:val="30"/>
              </w:rPr>
              <w:t>个厚度，单个厚度不超过总量的</w:t>
            </w:r>
            <w:r>
              <w:rPr>
                <w:rFonts w:eastAsia="方正仿宋简体" w:cs="仿宋" w:hint="eastAsia"/>
                <w:szCs w:val="30"/>
              </w:rPr>
              <w:t>40%</w:t>
            </w:r>
          </w:p>
        </w:tc>
      </w:tr>
      <w:tr w:rsidR="008674C0" w:rsidTr="008F3BD3">
        <w:trPr>
          <w:trHeight w:val="20"/>
        </w:trPr>
        <w:tc>
          <w:tcPr>
            <w:tcW w:w="1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(2400,+</w:t>
            </w:r>
            <w:r>
              <w:rPr>
                <w:rFonts w:eastAsia="方正仿宋简体" w:cs="仿宋" w:hint="eastAsia"/>
                <w:szCs w:val="30"/>
              </w:rPr>
              <w:t>∞</w:t>
            </w:r>
            <w:r>
              <w:rPr>
                <w:rFonts w:eastAsia="方正仿宋简体" w:cs="仿宋" w:hint="eastAsia"/>
                <w:szCs w:val="30"/>
              </w:rPr>
              <w:t>)</w:t>
            </w:r>
          </w:p>
        </w:tc>
        <w:tc>
          <w:tcPr>
            <w:tcW w:w="314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最多三个宽度，</w:t>
            </w:r>
            <w:r>
              <w:rPr>
                <w:rFonts w:eastAsia="方正仿宋简体" w:cs="仿宋" w:hint="eastAsia"/>
                <w:szCs w:val="30"/>
              </w:rPr>
              <w:t>1.219m</w:t>
            </w:r>
            <w:r>
              <w:rPr>
                <w:rFonts w:eastAsia="方正仿宋简体" w:cs="仿宋" w:hint="eastAsia"/>
                <w:szCs w:val="30"/>
              </w:rPr>
              <w:t>不少于</w:t>
            </w:r>
            <w:r>
              <w:rPr>
                <w:rFonts w:eastAsia="方正仿宋简体" w:cs="仿宋" w:hint="eastAsia"/>
                <w:szCs w:val="30"/>
              </w:rPr>
              <w:t>70%</w:t>
            </w:r>
          </w:p>
        </w:tc>
        <w:tc>
          <w:tcPr>
            <w:tcW w:w="394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8674C0" w:rsidRDefault="008674C0" w:rsidP="008F3BD3">
            <w:pPr>
              <w:widowControl/>
              <w:tabs>
                <w:tab w:val="left" w:pos="1230"/>
              </w:tabs>
              <w:jc w:val="left"/>
              <w:rPr>
                <w:rFonts w:eastAsia="方正仿宋简体" w:cs="仿宋"/>
                <w:szCs w:val="30"/>
              </w:rPr>
            </w:pPr>
            <w:r>
              <w:rPr>
                <w:rFonts w:eastAsia="方正仿宋简体" w:cs="仿宋" w:hint="eastAsia"/>
                <w:szCs w:val="30"/>
              </w:rPr>
              <w:t>至少</w:t>
            </w:r>
            <w:r>
              <w:rPr>
                <w:rFonts w:eastAsia="方正仿宋简体" w:cs="仿宋" w:hint="eastAsia"/>
                <w:szCs w:val="30"/>
              </w:rPr>
              <w:t>4</w:t>
            </w:r>
            <w:r>
              <w:rPr>
                <w:rFonts w:eastAsia="方正仿宋简体" w:cs="仿宋" w:hint="eastAsia"/>
                <w:szCs w:val="30"/>
              </w:rPr>
              <w:t>个厚度，单个厚度不超过总量的</w:t>
            </w:r>
            <w:r>
              <w:rPr>
                <w:rFonts w:eastAsia="方正仿宋简体" w:cs="仿宋" w:hint="eastAsia"/>
                <w:szCs w:val="30"/>
              </w:rPr>
              <w:t>30%</w:t>
            </w:r>
          </w:p>
        </w:tc>
      </w:tr>
    </w:tbl>
    <w:p w:rsidR="008674C0" w:rsidRDefault="008674C0" w:rsidP="008674C0">
      <w:pPr>
        <w:widowControl/>
        <w:tabs>
          <w:tab w:val="left" w:pos="1230"/>
        </w:tabs>
        <w:ind w:firstLineChars="200" w:firstLine="600"/>
        <w:jc w:val="left"/>
        <w:rPr>
          <w:rFonts w:eastAsia="方正仿宋简体" w:cs="仿宋"/>
          <w:sz w:val="30"/>
          <w:szCs w:val="30"/>
        </w:rPr>
      </w:pPr>
      <w:r>
        <w:rPr>
          <w:rFonts w:eastAsia="方正仿宋简体" w:cs="仿宋" w:hint="eastAsia"/>
          <w:sz w:val="30"/>
          <w:szCs w:val="30"/>
        </w:rPr>
        <w:t>同一客户从交易所买入再卖出交割的商品除外。</w:t>
      </w:r>
    </w:p>
    <w:p w:rsidR="008674C0" w:rsidRDefault="008674C0" w:rsidP="008674C0">
      <w:pPr>
        <w:widowControl/>
        <w:tabs>
          <w:tab w:val="left" w:pos="1230"/>
        </w:tabs>
        <w:ind w:firstLineChars="200" w:firstLine="600"/>
        <w:jc w:val="left"/>
        <w:rPr>
          <w:rFonts w:eastAsia="方正仿宋简体" w:cs="仿宋"/>
          <w:sz w:val="30"/>
          <w:szCs w:val="30"/>
        </w:rPr>
      </w:pPr>
    </w:p>
    <w:p w:rsidR="008674C0" w:rsidRDefault="008674C0" w:rsidP="008674C0">
      <w:pPr>
        <w:widowControl/>
        <w:tabs>
          <w:tab w:val="left" w:pos="1230"/>
        </w:tabs>
        <w:jc w:val="right"/>
        <w:rPr>
          <w:rFonts w:eastAsia="方正仿宋简体" w:cs="仿宋"/>
          <w:sz w:val="30"/>
          <w:szCs w:val="30"/>
        </w:rPr>
      </w:pPr>
      <w:r>
        <w:rPr>
          <w:rFonts w:eastAsia="方正仿宋简体" w:cs="仿宋" w:hint="eastAsia"/>
          <w:sz w:val="30"/>
          <w:szCs w:val="30"/>
        </w:rPr>
        <w:t>上海期货交易所</w:t>
      </w:r>
    </w:p>
    <w:p w:rsidR="008674C0" w:rsidRDefault="008674C0" w:rsidP="008674C0">
      <w:pPr>
        <w:widowControl/>
        <w:tabs>
          <w:tab w:val="left" w:pos="1230"/>
        </w:tabs>
        <w:jc w:val="right"/>
        <w:rPr>
          <w:rFonts w:eastAsia="方正仿宋简体" w:cs="仿宋"/>
          <w:sz w:val="30"/>
          <w:szCs w:val="30"/>
        </w:rPr>
      </w:pPr>
      <w:r>
        <w:rPr>
          <w:rFonts w:eastAsia="方正仿宋简体" w:cs="仿宋" w:hint="eastAsia"/>
          <w:sz w:val="30"/>
          <w:szCs w:val="30"/>
        </w:rPr>
        <w:t xml:space="preserve">    20</w:t>
      </w:r>
      <w:r>
        <w:rPr>
          <w:rFonts w:eastAsia="方正仿宋简体" w:cs="仿宋"/>
          <w:sz w:val="30"/>
          <w:szCs w:val="30"/>
        </w:rPr>
        <w:t>25</w:t>
      </w:r>
      <w:r>
        <w:rPr>
          <w:rFonts w:eastAsia="方正仿宋简体" w:cs="仿宋" w:hint="eastAsia"/>
          <w:sz w:val="30"/>
          <w:szCs w:val="30"/>
        </w:rPr>
        <w:t>年</w:t>
      </w:r>
      <w:r>
        <w:rPr>
          <w:rFonts w:eastAsia="方正仿宋简体" w:cs="仿宋" w:hint="eastAsia"/>
          <w:sz w:val="30"/>
          <w:szCs w:val="30"/>
        </w:rPr>
        <w:t>7</w:t>
      </w:r>
      <w:r>
        <w:rPr>
          <w:rFonts w:eastAsia="方正仿宋简体" w:cs="仿宋" w:hint="eastAsia"/>
          <w:sz w:val="30"/>
          <w:szCs w:val="30"/>
        </w:rPr>
        <w:t>月</w:t>
      </w:r>
      <w:r>
        <w:rPr>
          <w:rFonts w:eastAsia="方正仿宋简体" w:cs="仿宋" w:hint="eastAsia"/>
          <w:sz w:val="30"/>
          <w:szCs w:val="30"/>
        </w:rPr>
        <w:t>11</w:t>
      </w:r>
      <w:r>
        <w:rPr>
          <w:rFonts w:eastAsia="方正仿宋简体" w:cs="仿宋" w:hint="eastAsia"/>
          <w:sz w:val="30"/>
          <w:szCs w:val="30"/>
        </w:rPr>
        <w:t>日</w:t>
      </w:r>
    </w:p>
    <w:p w:rsidR="008674C0" w:rsidRDefault="008674C0" w:rsidP="008674C0">
      <w:pPr>
        <w:spacing w:line="560" w:lineRule="exact"/>
        <w:ind w:firstLineChars="200" w:firstLine="600"/>
        <w:rPr>
          <w:rFonts w:ascii="方正楷体简体" w:eastAsia="方正楷体简体"/>
          <w:sz w:val="30"/>
          <w:szCs w:val="30"/>
          <w:shd w:val="pct10" w:color="auto" w:fill="FFFFFF"/>
        </w:rPr>
      </w:pPr>
      <w:r>
        <w:rPr>
          <w:rFonts w:ascii="方正楷体简体" w:eastAsia="方正楷体简体"/>
          <w:sz w:val="30"/>
          <w:szCs w:val="30"/>
          <w:shd w:val="pct10" w:color="auto" w:fill="FFFFFF"/>
        </w:rPr>
        <w:t xml:space="preserve">注：双删除线部分为已删除的内容，灰色底纹且加粗部分为已作修订的内容。 </w:t>
      </w:r>
    </w:p>
    <w:p w:rsidR="008674C0" w:rsidRDefault="008674C0" w:rsidP="008674C0">
      <w:pPr>
        <w:ind w:firstLineChars="200" w:firstLine="600"/>
        <w:rPr>
          <w:rFonts w:eastAsia="方正仿宋简体" w:cs="仿宋"/>
          <w:sz w:val="30"/>
          <w:szCs w:val="30"/>
        </w:rPr>
      </w:pPr>
    </w:p>
    <w:p w:rsidR="008674C0" w:rsidRPr="0052373D" w:rsidRDefault="008674C0" w:rsidP="008674C0">
      <w:pPr>
        <w:spacing w:line="440" w:lineRule="exact"/>
        <w:ind w:firstLineChars="100" w:firstLine="280"/>
        <w:rPr>
          <w:rFonts w:eastAsia="方正仿宋简体" w:hint="eastAsia"/>
          <w:sz w:val="28"/>
          <w:szCs w:val="28"/>
        </w:rPr>
      </w:pPr>
    </w:p>
    <w:p w:rsidR="009F50CA" w:rsidRPr="008674C0" w:rsidRDefault="009F50CA">
      <w:bookmarkStart w:id="0" w:name="_GoBack"/>
      <w:bookmarkEnd w:id="0"/>
    </w:p>
    <w:sectPr w:rsidR="009F50CA" w:rsidRPr="008674C0" w:rsidSect="00CD45CE">
      <w:footerReference w:type="default" r:id="rId4"/>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FB" w:rsidRPr="00BC5DFB" w:rsidRDefault="008674C0">
    <w:pPr>
      <w:pStyle w:val="a3"/>
      <w:jc w:val="center"/>
      <w:rPr>
        <w:sz w:val="24"/>
        <w:szCs w:val="24"/>
      </w:rPr>
    </w:pPr>
    <w:r w:rsidRPr="00BC5DFB">
      <w:rPr>
        <w:sz w:val="24"/>
        <w:szCs w:val="24"/>
      </w:rPr>
      <w:fldChar w:fldCharType="begin"/>
    </w:r>
    <w:r w:rsidRPr="00BC5DFB">
      <w:rPr>
        <w:sz w:val="24"/>
        <w:szCs w:val="24"/>
      </w:rPr>
      <w:instrText>PAGE   \*</w:instrText>
    </w:r>
    <w:r w:rsidRPr="00BC5DFB">
      <w:rPr>
        <w:sz w:val="24"/>
        <w:szCs w:val="24"/>
      </w:rPr>
      <w:instrText xml:space="preserve"> MERGEFORMAT</w:instrText>
    </w:r>
    <w:r w:rsidRPr="00BC5DFB">
      <w:rPr>
        <w:sz w:val="24"/>
        <w:szCs w:val="24"/>
      </w:rPr>
      <w:fldChar w:fldCharType="separate"/>
    </w:r>
    <w:r w:rsidRPr="008674C0">
      <w:rPr>
        <w:noProof/>
        <w:sz w:val="24"/>
        <w:szCs w:val="24"/>
        <w:lang w:val="zh-CN"/>
      </w:rPr>
      <w:t>-</w:t>
    </w:r>
    <w:r>
      <w:rPr>
        <w:noProof/>
        <w:sz w:val="24"/>
        <w:szCs w:val="24"/>
      </w:rPr>
      <w:t xml:space="preserve"> 1 -</w:t>
    </w:r>
    <w:r w:rsidRPr="00BC5DFB">
      <w:rPr>
        <w:sz w:val="24"/>
        <w:szCs w:val="24"/>
      </w:rPr>
      <w:fldChar w:fldCharType="end"/>
    </w:r>
  </w:p>
  <w:p w:rsidR="00BC5DFB" w:rsidRDefault="008674C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C0"/>
    <w:rsid w:val="008674C0"/>
    <w:rsid w:val="009F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6558D-161C-4A74-80CF-6F8FCED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674C0"/>
    <w:pPr>
      <w:tabs>
        <w:tab w:val="center" w:pos="4153"/>
        <w:tab w:val="right" w:pos="8306"/>
      </w:tabs>
      <w:snapToGrid w:val="0"/>
      <w:jc w:val="left"/>
    </w:pPr>
    <w:rPr>
      <w:sz w:val="18"/>
      <w:szCs w:val="18"/>
    </w:rPr>
  </w:style>
  <w:style w:type="character" w:customStyle="1" w:styleId="Char">
    <w:name w:val="页脚 Char"/>
    <w:basedOn w:val="a0"/>
    <w:link w:val="a3"/>
    <w:uiPriority w:val="99"/>
    <w:rsid w:val="008674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1</cp:revision>
  <dcterms:created xsi:type="dcterms:W3CDTF">2025-07-11T08:37:00Z</dcterms:created>
  <dcterms:modified xsi:type="dcterms:W3CDTF">2025-07-11T08:38:00Z</dcterms:modified>
</cp:coreProperties>
</file>