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AEC38">
      <w:pPr>
        <w:rPr>
          <w:rFonts w:eastAsia="方正大标宋简体"/>
          <w:sz w:val="42"/>
          <w:szCs w:val="42"/>
        </w:rPr>
      </w:pPr>
      <w:r>
        <w:rPr>
          <w:rFonts w:eastAsia="方正大标宋简体"/>
          <w:sz w:val="42"/>
          <w:szCs w:val="42"/>
        </w:rPr>
        <w:t>附件2</w:t>
      </w:r>
    </w:p>
    <w:p w14:paraId="038D48D3">
      <w:pPr>
        <w:jc w:val="center"/>
        <w:rPr>
          <w:rFonts w:eastAsia="方正大标宋简体"/>
          <w:szCs w:val="21"/>
        </w:rPr>
      </w:pPr>
      <w:bookmarkStart w:id="0" w:name="_GoBack"/>
      <w:bookmarkEnd w:id="0"/>
      <w:r>
        <w:rPr>
          <w:rFonts w:hint="eastAsia" w:eastAsia="方正大标宋简体"/>
          <w:sz w:val="42"/>
          <w:szCs w:val="42"/>
        </w:rPr>
        <w:t>修订对照表</w:t>
      </w:r>
    </w:p>
    <w:p w14:paraId="4F32D4E7">
      <w:pPr>
        <w:ind w:firstLine="280" w:firstLineChars="100"/>
        <w:rPr>
          <w:rFonts w:eastAsia="方正楷体简体"/>
          <w:sz w:val="28"/>
          <w:szCs w:val="28"/>
        </w:rPr>
      </w:pPr>
      <w:r>
        <w:rPr>
          <w:rFonts w:hint="eastAsia" w:eastAsia="方正楷体简体"/>
          <w:sz w:val="28"/>
          <w:szCs w:val="28"/>
        </w:rPr>
        <w:t>注：标红加粗部分为新增内容，删除线部分为删除的内容。</w:t>
      </w:r>
    </w:p>
    <w:tbl>
      <w:tblPr>
        <w:tblStyle w:val="8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6409"/>
        <w:gridCol w:w="1046"/>
        <w:gridCol w:w="5603"/>
      </w:tblGrid>
      <w:tr w14:paraId="603C885E">
        <w:tc>
          <w:tcPr>
            <w:tcW w:w="7380" w:type="dxa"/>
            <w:gridSpan w:val="2"/>
            <w:shd w:val="clear" w:color="auto" w:fill="5B9BD5" w:themeFill="accent1"/>
          </w:tcPr>
          <w:p w14:paraId="01C3411D">
            <w:pPr>
              <w:spacing w:line="560" w:lineRule="exact"/>
              <w:jc w:val="center"/>
              <w:rPr>
                <w:rFonts w:eastAsia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eastAsia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修订版</w:t>
            </w:r>
          </w:p>
        </w:tc>
        <w:tc>
          <w:tcPr>
            <w:tcW w:w="6649" w:type="dxa"/>
            <w:gridSpan w:val="2"/>
            <w:shd w:val="clear" w:color="auto" w:fill="5B9BD5" w:themeFill="accent1"/>
          </w:tcPr>
          <w:p w14:paraId="4F9944B2">
            <w:pPr>
              <w:spacing w:line="560" w:lineRule="exact"/>
              <w:jc w:val="center"/>
              <w:rPr>
                <w:rFonts w:eastAsia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eastAsia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现行版本（2024年10月23日实施）</w:t>
            </w:r>
          </w:p>
        </w:tc>
      </w:tr>
      <w:tr w14:paraId="15CA27AE">
        <w:trPr>
          <w:trHeight w:val="1925" w:hRule="atLeast"/>
        </w:trPr>
        <w:tc>
          <w:tcPr>
            <w:tcW w:w="971" w:type="dxa"/>
            <w:vMerge w:val="restart"/>
            <w:vAlign w:val="center"/>
          </w:tcPr>
          <w:p w14:paraId="18910917">
            <w:pPr>
              <w:spacing w:line="56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</w:rPr>
              <w:t>交割品级</w:t>
            </w:r>
          </w:p>
        </w:tc>
        <w:tc>
          <w:tcPr>
            <w:tcW w:w="6409" w:type="dxa"/>
            <w:vAlign w:val="center"/>
          </w:tcPr>
          <w:p w14:paraId="77DD9991">
            <w:pPr>
              <w:spacing w:line="560" w:lineRule="exact"/>
              <w:rPr>
                <w:rFonts w:eastAsia="方正仿宋简体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标准品：电解镍，符合国标</w:t>
            </w:r>
            <w:r>
              <w:rPr>
                <w:rFonts w:hint="eastAsia" w:eastAsia="方正仿宋简体"/>
                <w:b/>
                <w:color w:val="FF0000"/>
                <w:sz w:val="28"/>
                <w:szCs w:val="28"/>
              </w:rPr>
              <w:t>GB/T 6516-2025 Ni9996</w:t>
            </w:r>
            <w:r>
              <w:rPr>
                <w:rFonts w:hint="eastAsia" w:eastAsia="方正仿宋简体" w:cs="仿宋"/>
                <w:dstrike/>
                <w:sz w:val="30"/>
                <w:szCs w:val="30"/>
              </w:rPr>
              <w:t>GB/T 6516-2010Ni9996</w:t>
            </w:r>
            <w:r>
              <w:rPr>
                <w:rFonts w:hint="eastAsia" w:eastAsia="方正仿宋简体"/>
                <w:sz w:val="28"/>
                <w:szCs w:val="28"/>
              </w:rPr>
              <w:t>规定，其中镍和钴的总含量不小于</w:t>
            </w:r>
            <w:r>
              <w:rPr>
                <w:rFonts w:eastAsia="方正仿宋简体"/>
                <w:sz w:val="28"/>
                <w:szCs w:val="28"/>
              </w:rPr>
              <w:t>99.96%</w:t>
            </w:r>
            <w:r>
              <w:rPr>
                <w:rFonts w:hint="eastAsia" w:eastAsia="方正仿宋简体"/>
                <w:sz w:val="28"/>
                <w:szCs w:val="28"/>
              </w:rPr>
              <w:t>。</w:t>
            </w:r>
          </w:p>
        </w:tc>
        <w:tc>
          <w:tcPr>
            <w:tcW w:w="1046" w:type="dxa"/>
            <w:vMerge w:val="restart"/>
            <w:vAlign w:val="center"/>
          </w:tcPr>
          <w:p w14:paraId="4F3C56F1">
            <w:pPr>
              <w:spacing w:line="56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</w:rPr>
              <w:t>交割品级</w:t>
            </w:r>
          </w:p>
        </w:tc>
        <w:tc>
          <w:tcPr>
            <w:tcW w:w="5603" w:type="dxa"/>
            <w:vAlign w:val="center"/>
          </w:tcPr>
          <w:p w14:paraId="19BDC99B">
            <w:pPr>
              <w:spacing w:line="56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标准品：电解镍，符合国标</w:t>
            </w:r>
            <w:r>
              <w:rPr>
                <w:rFonts w:hint="eastAsia" w:eastAsia="方正仿宋简体" w:cs="仿宋"/>
                <w:sz w:val="30"/>
                <w:szCs w:val="30"/>
              </w:rPr>
              <w:t>GB/T 6516-2010 Ni9996</w:t>
            </w:r>
            <w:r>
              <w:rPr>
                <w:rFonts w:hint="eastAsia" w:eastAsia="方正仿宋简体"/>
                <w:sz w:val="28"/>
                <w:szCs w:val="28"/>
              </w:rPr>
              <w:t>规定，其中镍和钴的总含量不小于</w:t>
            </w:r>
            <w:r>
              <w:rPr>
                <w:rFonts w:eastAsia="方正仿宋简体"/>
                <w:sz w:val="28"/>
                <w:szCs w:val="28"/>
              </w:rPr>
              <w:t>99.96%</w:t>
            </w:r>
            <w:r>
              <w:rPr>
                <w:rFonts w:hint="eastAsia" w:eastAsia="方正仿宋简体"/>
                <w:sz w:val="28"/>
                <w:szCs w:val="28"/>
              </w:rPr>
              <w:t>。</w:t>
            </w:r>
          </w:p>
        </w:tc>
      </w:tr>
      <w:tr w14:paraId="3E03ABD1">
        <w:trPr>
          <w:trHeight w:val="3596" w:hRule="atLeast"/>
        </w:trPr>
        <w:tc>
          <w:tcPr>
            <w:tcW w:w="971" w:type="dxa"/>
            <w:vMerge w:val="continue"/>
            <w:vAlign w:val="center"/>
          </w:tcPr>
          <w:p w14:paraId="6C8F1357">
            <w:pPr>
              <w:spacing w:line="560" w:lineRule="exact"/>
              <w:jc w:val="left"/>
            </w:pPr>
          </w:p>
        </w:tc>
        <w:tc>
          <w:tcPr>
            <w:tcW w:w="6409" w:type="dxa"/>
            <w:vAlign w:val="center"/>
          </w:tcPr>
          <w:p w14:paraId="7971201E">
            <w:pPr>
              <w:spacing w:line="560" w:lineRule="exact"/>
              <w:rPr>
                <w:rFonts w:eastAsia="方正仿宋简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sz w:val="28"/>
                <w:szCs w:val="28"/>
              </w:rPr>
              <w:t>替代品：电解镍，</w:t>
            </w:r>
            <w:r>
              <w:rPr>
                <w:rFonts w:hint="eastAsia" w:eastAsia="方正仿宋简体"/>
                <w:b/>
                <w:color w:val="FF0000"/>
                <w:sz w:val="28"/>
                <w:szCs w:val="28"/>
              </w:rPr>
              <w:t>符合国标GB/T 6516-2025 Ni9997规定，其中镍和钴的总含量不小于99.97%</w:t>
            </w:r>
            <w:r>
              <w:rPr>
                <w:rFonts w:hint="eastAsia" w:eastAsia="方正仿宋简体"/>
                <w:b/>
                <w:bCs/>
                <w:color w:val="FF0000"/>
                <w:sz w:val="28"/>
                <w:szCs w:val="28"/>
              </w:rPr>
              <w:t>；或</w:t>
            </w:r>
            <w:r>
              <w:rPr>
                <w:rFonts w:hint="eastAsia" w:eastAsia="方正仿宋简体"/>
                <w:sz w:val="28"/>
                <w:szCs w:val="28"/>
              </w:rPr>
              <w:t>符合国标</w:t>
            </w:r>
            <w:r>
              <w:rPr>
                <w:rFonts w:hint="eastAsia" w:eastAsia="方正仿宋简体"/>
                <w:b/>
                <w:color w:val="FF0000"/>
                <w:sz w:val="28"/>
                <w:szCs w:val="28"/>
              </w:rPr>
              <w:t>GB/T 6516-2025 Ni9999</w:t>
            </w:r>
            <w:r>
              <w:rPr>
                <w:rFonts w:hint="eastAsia" w:eastAsia="方正仿宋简体" w:cs="仿宋"/>
                <w:dstrike/>
                <w:sz w:val="30"/>
                <w:szCs w:val="30"/>
              </w:rPr>
              <w:t>GB/T 6516-2010 Ni9999</w:t>
            </w:r>
            <w:r>
              <w:rPr>
                <w:rFonts w:hint="eastAsia" w:eastAsia="方正仿宋简体"/>
                <w:sz w:val="28"/>
                <w:szCs w:val="28"/>
              </w:rPr>
              <w:t>规定，其中镍和钴的总含量不小于</w:t>
            </w:r>
            <w:r>
              <w:rPr>
                <w:rFonts w:eastAsia="方正仿宋简体"/>
                <w:sz w:val="28"/>
                <w:szCs w:val="28"/>
              </w:rPr>
              <w:t>99.99%</w:t>
            </w:r>
            <w:r>
              <w:rPr>
                <w:rFonts w:hint="eastAsia" w:eastAsia="方正仿宋简体"/>
                <w:sz w:val="28"/>
                <w:szCs w:val="28"/>
              </w:rPr>
              <w:t>；或符合</w:t>
            </w:r>
            <w:r>
              <w:rPr>
                <w:rFonts w:hint="eastAsia" w:eastAsia="方正仿宋简体"/>
                <w:b/>
                <w:color w:val="FF0000"/>
                <w:sz w:val="28"/>
                <w:szCs w:val="28"/>
              </w:rPr>
              <w:t>ASTM B39-79(2023)</w:t>
            </w:r>
            <w:r>
              <w:rPr>
                <w:rFonts w:hint="eastAsia" w:eastAsia="方正仿宋简体" w:cs="仿宋"/>
                <w:dstrike/>
                <w:sz w:val="30"/>
                <w:szCs w:val="30"/>
              </w:rPr>
              <w:t>ASTM B39-79(2013)</w:t>
            </w:r>
            <w:r>
              <w:rPr>
                <w:rFonts w:hint="eastAsia" w:eastAsia="方正仿宋简体"/>
                <w:sz w:val="28"/>
                <w:szCs w:val="28"/>
              </w:rPr>
              <w:t>规定，其中镍的含量不小于</w:t>
            </w:r>
            <w:r>
              <w:rPr>
                <w:rFonts w:eastAsia="方正仿宋简体"/>
                <w:sz w:val="28"/>
                <w:szCs w:val="28"/>
              </w:rPr>
              <w:t>99.8%</w:t>
            </w:r>
            <w:r>
              <w:rPr>
                <w:rFonts w:hint="eastAsia" w:eastAsia="方正仿宋简体"/>
                <w:sz w:val="28"/>
                <w:szCs w:val="28"/>
              </w:rPr>
              <w:t>。</w:t>
            </w:r>
          </w:p>
        </w:tc>
        <w:tc>
          <w:tcPr>
            <w:tcW w:w="1046" w:type="dxa"/>
            <w:vMerge w:val="continue"/>
            <w:vAlign w:val="center"/>
          </w:tcPr>
          <w:p w14:paraId="604B56A6">
            <w:pPr>
              <w:spacing w:line="560" w:lineRule="exact"/>
              <w:jc w:val="left"/>
              <w:rPr>
                <w:rFonts w:eastAsia="方正仿宋简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3" w:type="dxa"/>
            <w:vAlign w:val="center"/>
          </w:tcPr>
          <w:p w14:paraId="0C8CA283">
            <w:pPr>
              <w:spacing w:line="560" w:lineRule="exact"/>
              <w:rPr>
                <w:rFonts w:eastAsia="方正仿宋简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sz w:val="28"/>
                <w:szCs w:val="28"/>
              </w:rPr>
              <w:t>替代品：电解镍，符合国标</w:t>
            </w:r>
            <w:r>
              <w:rPr>
                <w:rFonts w:hint="eastAsia" w:eastAsia="方正仿宋简体" w:cs="仿宋"/>
                <w:sz w:val="30"/>
                <w:szCs w:val="30"/>
              </w:rPr>
              <w:t>GB/T 6516-2010 Ni9999</w:t>
            </w:r>
            <w:r>
              <w:rPr>
                <w:rFonts w:hint="eastAsia" w:eastAsia="方正仿宋简体"/>
                <w:sz w:val="28"/>
                <w:szCs w:val="28"/>
              </w:rPr>
              <w:t>规定，其中镍和钴的总含量不小于</w:t>
            </w:r>
            <w:r>
              <w:rPr>
                <w:rFonts w:eastAsia="方正仿宋简体"/>
                <w:sz w:val="28"/>
                <w:szCs w:val="28"/>
              </w:rPr>
              <w:t>99.99%</w:t>
            </w:r>
            <w:r>
              <w:rPr>
                <w:rFonts w:hint="eastAsia" w:eastAsia="方正仿宋简体"/>
                <w:sz w:val="28"/>
                <w:szCs w:val="28"/>
              </w:rPr>
              <w:t>；或符合</w:t>
            </w:r>
            <w:r>
              <w:rPr>
                <w:rFonts w:hint="eastAsia" w:eastAsia="方正仿宋简体" w:cs="仿宋"/>
                <w:sz w:val="30"/>
                <w:szCs w:val="30"/>
              </w:rPr>
              <w:t>ASTM B39-79(2013)</w:t>
            </w:r>
            <w:r>
              <w:rPr>
                <w:rFonts w:hint="eastAsia" w:eastAsia="方正仿宋简体"/>
                <w:sz w:val="28"/>
                <w:szCs w:val="28"/>
              </w:rPr>
              <w:t>规定，其中镍的含量不小于</w:t>
            </w:r>
            <w:r>
              <w:rPr>
                <w:rFonts w:eastAsia="方正仿宋简体"/>
                <w:sz w:val="28"/>
                <w:szCs w:val="28"/>
              </w:rPr>
              <w:t>99.8%</w:t>
            </w:r>
            <w:r>
              <w:rPr>
                <w:rFonts w:hint="eastAsia" w:eastAsia="方正仿宋简体"/>
                <w:sz w:val="28"/>
                <w:szCs w:val="28"/>
              </w:rPr>
              <w:t>。</w:t>
            </w:r>
          </w:p>
        </w:tc>
      </w:tr>
      <w:tr w14:paraId="71460866">
        <w:tc>
          <w:tcPr>
            <w:tcW w:w="14029" w:type="dxa"/>
            <w:gridSpan w:val="4"/>
          </w:tcPr>
          <w:p w14:paraId="08615D4D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 w:cs="Arial"/>
                <w:b/>
                <w:bCs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上海期货交易所铅期货合约附件</w:t>
            </w:r>
          </w:p>
        </w:tc>
      </w:tr>
      <w:tr w14:paraId="7313CE18">
        <w:tc>
          <w:tcPr>
            <w:tcW w:w="7380" w:type="dxa"/>
            <w:gridSpan w:val="2"/>
          </w:tcPr>
          <w:p w14:paraId="04D57385">
            <w:pPr>
              <w:widowControl/>
              <w:shd w:val="clear" w:color="auto" w:fill="FFFFFF"/>
              <w:spacing w:line="560" w:lineRule="exact"/>
              <w:ind w:firstLine="562" w:firstLineChars="200"/>
              <w:jc w:val="left"/>
              <w:rPr>
                <w:rFonts w:eastAsia="仿宋" w:cs="Arial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Arial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二、质量规定</w:t>
            </w:r>
          </w:p>
          <w:p w14:paraId="537C8784">
            <w:pPr>
              <w:spacing w:line="560" w:lineRule="exact"/>
              <w:ind w:firstLine="600" w:firstLineChars="200"/>
              <w:rPr>
                <w:rFonts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/>
                <w:sz w:val="30"/>
                <w:szCs w:val="30"/>
              </w:rPr>
              <w:t>1、用于本合约实物交割的电解镍，应当符合国标</w:t>
            </w:r>
            <w:r>
              <w:rPr>
                <w:rFonts w:hint="eastAsia" w:eastAsia="方正仿宋简体"/>
                <w:b/>
                <w:color w:val="FF0000"/>
                <w:sz w:val="30"/>
                <w:szCs w:val="30"/>
              </w:rPr>
              <w:t>GB/T 6516-2025 Ni9996</w:t>
            </w:r>
            <w:r>
              <w:rPr>
                <w:rFonts w:hint="eastAsia" w:eastAsia="方正仿宋简体" w:cs="仿宋"/>
                <w:dstrike/>
                <w:sz w:val="30"/>
                <w:szCs w:val="30"/>
              </w:rPr>
              <w:t xml:space="preserve">GB/T 6516-2010 Ni9996 </w:t>
            </w:r>
            <w:r>
              <w:rPr>
                <w:rFonts w:hint="eastAsia" w:eastAsia="方正仿宋简体"/>
                <w:color w:val="000000"/>
                <w:sz w:val="30"/>
                <w:szCs w:val="30"/>
              </w:rPr>
              <w:t>规定，其中镍和钴的总含量不小于</w:t>
            </w:r>
            <w:r>
              <w:rPr>
                <w:rFonts w:eastAsia="方正仿宋简体"/>
                <w:color w:val="000000"/>
                <w:sz w:val="30"/>
                <w:szCs w:val="30"/>
              </w:rPr>
              <w:t>99.96%</w:t>
            </w:r>
            <w:r>
              <w:rPr>
                <w:rFonts w:hint="eastAsia" w:eastAsia="方正仿宋简体"/>
                <w:color w:val="000000"/>
                <w:sz w:val="30"/>
                <w:szCs w:val="30"/>
              </w:rPr>
              <w:t>。</w:t>
            </w:r>
          </w:p>
        </w:tc>
        <w:tc>
          <w:tcPr>
            <w:tcW w:w="6649" w:type="dxa"/>
            <w:gridSpan w:val="2"/>
          </w:tcPr>
          <w:p w14:paraId="02E480F4">
            <w:pPr>
              <w:spacing w:line="560" w:lineRule="exact"/>
              <w:ind w:firstLine="562" w:firstLineChars="20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color w:val="212121"/>
                <w:sz w:val="28"/>
                <w:szCs w:val="28"/>
                <w:shd w:val="clear" w:color="auto" w:fill="FFFFFF"/>
              </w:rPr>
              <w:t>二、质量规定</w:t>
            </w:r>
          </w:p>
          <w:p w14:paraId="324D1789">
            <w:pPr>
              <w:spacing w:line="560" w:lineRule="exact"/>
              <w:ind w:firstLine="600" w:firstLineChars="20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30"/>
                <w:szCs w:val="30"/>
              </w:rPr>
              <w:t>1、用于本合约实物交割的电解镍，应当符合国标</w:t>
            </w:r>
            <w:r>
              <w:rPr>
                <w:rFonts w:hint="eastAsia" w:eastAsia="方正仿宋简体" w:cs="仿宋"/>
                <w:sz w:val="30"/>
                <w:szCs w:val="30"/>
              </w:rPr>
              <w:t>GB/T 6516-2010 Ni9996</w:t>
            </w:r>
            <w:r>
              <w:rPr>
                <w:rFonts w:hint="eastAsia" w:eastAsia="方正仿宋简体"/>
                <w:color w:val="000000"/>
                <w:sz w:val="30"/>
                <w:szCs w:val="30"/>
              </w:rPr>
              <w:t>规定，其中镍和钴的总含量不小于</w:t>
            </w:r>
            <w:r>
              <w:rPr>
                <w:rFonts w:eastAsia="方正仿宋简体"/>
                <w:color w:val="000000"/>
                <w:sz w:val="30"/>
                <w:szCs w:val="30"/>
              </w:rPr>
              <w:t>99.96%</w:t>
            </w:r>
            <w:r>
              <w:rPr>
                <w:rFonts w:hint="eastAsia" w:eastAsia="方正仿宋简体"/>
                <w:color w:val="000000"/>
                <w:sz w:val="30"/>
                <w:szCs w:val="30"/>
              </w:rPr>
              <w:t>。</w:t>
            </w:r>
          </w:p>
        </w:tc>
      </w:tr>
    </w:tbl>
    <w:p w14:paraId="04C19DDD">
      <w:pPr>
        <w:spacing w:line="560" w:lineRule="exact"/>
        <w:jc w:val="both"/>
        <w:rPr>
          <w:rFonts w:eastAsia="方正仿宋简体"/>
          <w:sz w:val="30"/>
          <w:szCs w:val="30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E0000AFF" w:usb1="4000247B" w:usb2="00000001" w:usb3="00000000" w:csb0="200001B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703020204020201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6768908"/>
      <w:docPartObj>
        <w:docPartGallery w:val="autotext"/>
      </w:docPartObj>
    </w:sdtPr>
    <w:sdtEndPr>
      <w:rPr>
        <w:sz w:val="24"/>
        <w:szCs w:val="24"/>
      </w:rPr>
    </w:sdtEndPr>
    <w:sdtContent>
      <w:p w14:paraId="387B3168">
        <w:pPr>
          <w:pStyle w:val="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11 -</w:t>
        </w:r>
        <w:r>
          <w:rPr>
            <w:sz w:val="24"/>
            <w:szCs w:val="24"/>
          </w:rPr>
          <w:fldChar w:fldCharType="end"/>
        </w:r>
      </w:p>
    </w:sdtContent>
  </w:sdt>
  <w:p w14:paraId="26ED909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66"/>
    <w:rsid w:val="00111E9F"/>
    <w:rsid w:val="00112841"/>
    <w:rsid w:val="001D4488"/>
    <w:rsid w:val="00224D19"/>
    <w:rsid w:val="00226DCC"/>
    <w:rsid w:val="0029026D"/>
    <w:rsid w:val="002A2BDD"/>
    <w:rsid w:val="002A5D89"/>
    <w:rsid w:val="002B5B00"/>
    <w:rsid w:val="002F2DB5"/>
    <w:rsid w:val="003564F1"/>
    <w:rsid w:val="00377960"/>
    <w:rsid w:val="0039743D"/>
    <w:rsid w:val="003A760B"/>
    <w:rsid w:val="003B544D"/>
    <w:rsid w:val="003F76E5"/>
    <w:rsid w:val="0043004F"/>
    <w:rsid w:val="00450254"/>
    <w:rsid w:val="00496D6E"/>
    <w:rsid w:val="00514E4C"/>
    <w:rsid w:val="005B6C00"/>
    <w:rsid w:val="005F5284"/>
    <w:rsid w:val="006869C0"/>
    <w:rsid w:val="00761331"/>
    <w:rsid w:val="00775B6A"/>
    <w:rsid w:val="0079017E"/>
    <w:rsid w:val="007B7959"/>
    <w:rsid w:val="007D1A0E"/>
    <w:rsid w:val="007D5AB5"/>
    <w:rsid w:val="00863A69"/>
    <w:rsid w:val="00883B99"/>
    <w:rsid w:val="00AB45ED"/>
    <w:rsid w:val="00AD3BFC"/>
    <w:rsid w:val="00BA680F"/>
    <w:rsid w:val="00BB10C1"/>
    <w:rsid w:val="00C501EF"/>
    <w:rsid w:val="00CA5C0B"/>
    <w:rsid w:val="00CB5EEB"/>
    <w:rsid w:val="00CD1A18"/>
    <w:rsid w:val="00CF6D06"/>
    <w:rsid w:val="00D13190"/>
    <w:rsid w:val="00D33D71"/>
    <w:rsid w:val="00D94DD3"/>
    <w:rsid w:val="00DD4E4E"/>
    <w:rsid w:val="00E15DFE"/>
    <w:rsid w:val="00E761C2"/>
    <w:rsid w:val="00F221E0"/>
    <w:rsid w:val="00F53766"/>
    <w:rsid w:val="00FD5F48"/>
    <w:rsid w:val="00FE56A3"/>
    <w:rsid w:val="00FF2609"/>
    <w:rsid w:val="00FF441D"/>
    <w:rsid w:val="0FFFDB14"/>
    <w:rsid w:val="13DF1BF8"/>
    <w:rsid w:val="1FEFCCCE"/>
    <w:rsid w:val="35553138"/>
    <w:rsid w:val="3FDEDAA3"/>
    <w:rsid w:val="50B16954"/>
    <w:rsid w:val="5EF7BE95"/>
    <w:rsid w:val="5FFFB289"/>
    <w:rsid w:val="6B7AA039"/>
    <w:rsid w:val="6E558113"/>
    <w:rsid w:val="6EFBD170"/>
    <w:rsid w:val="6FF53B4D"/>
    <w:rsid w:val="77FF5BD1"/>
    <w:rsid w:val="782F0F74"/>
    <w:rsid w:val="7BFF4744"/>
    <w:rsid w:val="7BFF8E40"/>
    <w:rsid w:val="7D9D4C03"/>
    <w:rsid w:val="7F71B741"/>
    <w:rsid w:val="9F792B29"/>
    <w:rsid w:val="B1E7CF21"/>
    <w:rsid w:val="BEE223FD"/>
    <w:rsid w:val="D74E68BF"/>
    <w:rsid w:val="D7F500F8"/>
    <w:rsid w:val="DDF3C677"/>
    <w:rsid w:val="DFDE7E7B"/>
    <w:rsid w:val="EFFFFB04"/>
    <w:rsid w:val="F7FF772A"/>
    <w:rsid w:val="FBFEAF8B"/>
    <w:rsid w:val="FDA6FCBC"/>
    <w:rsid w:val="FDC51752"/>
    <w:rsid w:val="FF53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1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  <w:rPr>
      <w:rFonts w:ascii="Times New Roman" w:hAnsi="Times New Roman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4B8B113F-F69A-49B0-9B0F-30663941DD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SHFE</Company>
  <Pages>2</Pages>
  <Words>799</Words>
  <Characters>4558</Characters>
  <Lines>37</Lines>
  <Paragraphs>10</Paragraphs>
  <TotalTime>8</TotalTime>
  <ScaleCrop>false</ScaleCrop>
  <LinksUpToDate>false</LinksUpToDate>
  <CharactersWithSpaces>5347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2024-03-31T13:38:00Z</dcterms:created>
  <dc:creator>季铄人</dc:creator>
  <cp:lastModifiedBy>guanz</cp:lastModifiedBy>
  <cp:lastPrinted>2024-04-01T11:01:00Z</cp:lastPrinted>
  <dcterms:modified xsi:type="dcterms:W3CDTF">2025-10-30T11:08:50Z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eyJoZGlkIjoiYTJjMDg3MGQzYWY4ZDZiNThmMjEzYzY4YTA5YWZmMTMiLCJ1c2VySWQiOiI0NDA0MjQ2MDgifQ==</vt:lpwstr>
  </property>
  <property fmtid="{D5CDD505-2E9C-101B-9397-08002B2CF9AE}" pid="3" name="KSOProductBuildVer">
    <vt:lpwstr>2052-12.1.23141.23141</vt:lpwstr>
  </property>
  <property fmtid="{D5CDD505-2E9C-101B-9397-08002B2CF9AE}" pid="4" name="ICV">
    <vt:lpwstr>803CFB9954794EA79B7E387B506D6BFA_12</vt:lpwstr>
  </property>
</Properties>
</file>