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C78D">
      <w:pPr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附件3</w:t>
      </w:r>
    </w:p>
    <w:p w14:paraId="1D82258C">
      <w:pPr>
        <w:rPr>
          <w:rFonts w:eastAsia="方正仿宋简体"/>
          <w:b/>
          <w:sz w:val="32"/>
        </w:rPr>
      </w:pPr>
    </w:p>
    <w:p w14:paraId="283F315B">
      <w:pPr>
        <w:jc w:val="center"/>
        <w:rPr>
          <w:rFonts w:hint="eastAsia" w:eastAsia="方正大标宋简体"/>
          <w:sz w:val="42"/>
          <w:szCs w:val="42"/>
          <w:lang w:eastAsia="zh-CN"/>
        </w:rPr>
      </w:pPr>
      <w:bookmarkStart w:id="0" w:name="_Toc1481252165"/>
      <w:r>
        <w:rPr>
          <w:rFonts w:hint="eastAsia" w:eastAsia="方正大标宋简体"/>
          <w:sz w:val="42"/>
          <w:szCs w:val="42"/>
        </w:rPr>
        <w:t>上海期货交易所镍期货合约</w:t>
      </w:r>
      <w:bookmarkEnd w:id="0"/>
    </w:p>
    <w:p w14:paraId="4B9EB9CA">
      <w:pPr>
        <w:spacing w:line="560" w:lineRule="exact"/>
        <w:jc w:val="center"/>
        <w:rPr>
          <w:rFonts w:eastAsia="方正大标宋简体"/>
          <w:sz w:val="42"/>
          <w:szCs w:val="42"/>
        </w:rPr>
      </w:pPr>
    </w:p>
    <w:tbl>
      <w:tblPr>
        <w:tblStyle w:val="7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958"/>
      </w:tblGrid>
      <w:tr w14:paraId="3345A66A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335104E3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交易品种</w:t>
            </w:r>
          </w:p>
        </w:tc>
        <w:tc>
          <w:tcPr>
            <w:tcW w:w="5958" w:type="dxa"/>
            <w:vAlign w:val="center"/>
          </w:tcPr>
          <w:p w14:paraId="3245257C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镍</w:t>
            </w:r>
          </w:p>
        </w:tc>
      </w:tr>
      <w:tr w14:paraId="341E04F5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33D5F18D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交易单位</w:t>
            </w:r>
          </w:p>
        </w:tc>
        <w:tc>
          <w:tcPr>
            <w:tcW w:w="5958" w:type="dxa"/>
            <w:vAlign w:val="center"/>
          </w:tcPr>
          <w:p w14:paraId="6BD2E696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手</w:t>
            </w:r>
          </w:p>
        </w:tc>
      </w:tr>
      <w:tr w14:paraId="49C7C3B8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1482D025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报价单位</w:t>
            </w:r>
          </w:p>
        </w:tc>
        <w:tc>
          <w:tcPr>
            <w:tcW w:w="5958" w:type="dxa"/>
            <w:vAlign w:val="center"/>
          </w:tcPr>
          <w:p w14:paraId="07174A28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元（人民币）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4F239ADA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77341B79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最小变动价位</w:t>
            </w:r>
          </w:p>
        </w:tc>
        <w:tc>
          <w:tcPr>
            <w:tcW w:w="5958" w:type="dxa"/>
            <w:vAlign w:val="center"/>
          </w:tcPr>
          <w:p w14:paraId="7D48898B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10</w:t>
            </w:r>
            <w:r>
              <w:rPr>
                <w:rFonts w:hint="eastAsia" w:eastAsia="方正仿宋简体"/>
                <w:sz w:val="28"/>
                <w:szCs w:val="28"/>
              </w:rPr>
              <w:t>元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3418D61A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036500D9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涨跌停板幅度</w:t>
            </w:r>
          </w:p>
        </w:tc>
        <w:tc>
          <w:tcPr>
            <w:tcW w:w="5958" w:type="dxa"/>
            <w:vAlign w:val="center"/>
          </w:tcPr>
          <w:p w14:paraId="3C42F194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上一交易日结算价</w:t>
            </w:r>
            <w:r>
              <w:rPr>
                <w:rFonts w:eastAsia="方正仿宋简体"/>
                <w:sz w:val="28"/>
                <w:szCs w:val="28"/>
              </w:rPr>
              <w:t>±4%</w:t>
            </w:r>
          </w:p>
        </w:tc>
      </w:tr>
      <w:tr w14:paraId="0645BAC6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2DF418C1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合约月份</w:t>
            </w:r>
          </w:p>
        </w:tc>
        <w:tc>
          <w:tcPr>
            <w:tcW w:w="5958" w:type="dxa"/>
            <w:vAlign w:val="center"/>
          </w:tcPr>
          <w:p w14:paraId="281DC44E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12月</w:t>
            </w:r>
          </w:p>
        </w:tc>
      </w:tr>
      <w:tr w14:paraId="02D794F6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5171EBDC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交易时间</w:t>
            </w:r>
          </w:p>
        </w:tc>
        <w:tc>
          <w:tcPr>
            <w:tcW w:w="5958" w:type="dxa"/>
            <w:vAlign w:val="center"/>
          </w:tcPr>
          <w:p w14:paraId="72A247FC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上午</w:t>
            </w:r>
            <w:r>
              <w:rPr>
                <w:rFonts w:eastAsia="方正仿宋简体"/>
                <w:sz w:val="28"/>
                <w:szCs w:val="28"/>
              </w:rPr>
              <w:t>9:00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11:30，下午1:30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3:00和交易所规定的其他交易时间</w:t>
            </w:r>
          </w:p>
        </w:tc>
      </w:tr>
      <w:tr w14:paraId="40431186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5C02C38D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最后交易日</w:t>
            </w:r>
          </w:p>
        </w:tc>
        <w:tc>
          <w:tcPr>
            <w:tcW w:w="5958" w:type="dxa"/>
            <w:vAlign w:val="center"/>
          </w:tcPr>
          <w:p w14:paraId="73D8B02E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合约月份的</w:t>
            </w:r>
            <w:r>
              <w:rPr>
                <w:rFonts w:eastAsia="方正仿宋简体"/>
                <w:sz w:val="28"/>
                <w:szCs w:val="28"/>
              </w:rPr>
              <w:t>15</w:t>
            </w:r>
            <w:r>
              <w:rPr>
                <w:rFonts w:hint="eastAsia" w:eastAsia="方正仿宋简体"/>
                <w:sz w:val="28"/>
                <w:szCs w:val="28"/>
              </w:rPr>
              <w:t>日（遇国家法定节假日顺延，春节月份等最后交易日交易所可另行调整并通知）</w:t>
            </w:r>
          </w:p>
        </w:tc>
      </w:tr>
      <w:tr w14:paraId="0844677C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1EFB0E42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交割日期</w:t>
            </w:r>
          </w:p>
        </w:tc>
        <w:tc>
          <w:tcPr>
            <w:tcW w:w="5958" w:type="dxa"/>
            <w:vAlign w:val="center"/>
          </w:tcPr>
          <w:p w14:paraId="6291EEF4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最后交易日后连续二</w:t>
            </w:r>
            <w:r>
              <w:rPr>
                <w:rFonts w:eastAsia="方正仿宋简体"/>
                <w:sz w:val="28"/>
                <w:szCs w:val="28"/>
              </w:rPr>
              <w:t>个工作日</w:t>
            </w:r>
          </w:p>
        </w:tc>
      </w:tr>
      <w:tr w14:paraId="6CFEFBF1">
        <w:trPr>
          <w:trHeight w:val="588" w:hRule="atLeast"/>
          <w:jc w:val="center"/>
        </w:trPr>
        <w:tc>
          <w:tcPr>
            <w:tcW w:w="2235" w:type="dxa"/>
            <w:vMerge w:val="restart"/>
            <w:vAlign w:val="center"/>
          </w:tcPr>
          <w:p w14:paraId="4243B328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交割品级</w:t>
            </w:r>
          </w:p>
        </w:tc>
        <w:tc>
          <w:tcPr>
            <w:tcW w:w="5958" w:type="dxa"/>
            <w:vAlign w:val="center"/>
          </w:tcPr>
          <w:p w14:paraId="2835B5C9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标准品：电解镍，符合国标GB/T 6516-2025 Ni9996规定，其中镍和钴的总含量不小于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99.96%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 w14:paraId="32671D21">
        <w:trPr>
          <w:trHeight w:val="588" w:hRule="atLeast"/>
          <w:jc w:val="center"/>
        </w:trPr>
        <w:tc>
          <w:tcPr>
            <w:tcW w:w="2235" w:type="dxa"/>
            <w:vMerge w:val="continue"/>
            <w:vAlign w:val="center"/>
          </w:tcPr>
          <w:p w14:paraId="4A44EC3A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58" w:type="dxa"/>
            <w:vAlign w:val="center"/>
          </w:tcPr>
          <w:p w14:paraId="6EC81F0E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替代品：电解镍，符合国标GB/T 6516-2025 Ni9997规定，其中镍</w:t>
            </w:r>
            <w:bookmarkStart w:id="1" w:name="_GoBack"/>
            <w:bookmarkEnd w:id="1"/>
            <w:r>
              <w:rPr>
                <w:rFonts w:hint="eastAsia" w:eastAsia="方正仿宋简体"/>
                <w:sz w:val="28"/>
                <w:szCs w:val="28"/>
              </w:rPr>
              <w:t>和钴的总含量不小于99.97%；或符合国标GB/T 6516-2025 Ni9999规定，其中镍和钴的总含量不小于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99.99%</w:t>
            </w:r>
            <w:r>
              <w:rPr>
                <w:rFonts w:hint="eastAsia" w:eastAsia="方正仿宋简体"/>
                <w:sz w:val="28"/>
                <w:szCs w:val="28"/>
              </w:rPr>
              <w:t>；或符合ASTM B39-79(2023)规定，其中镍的含量不小于</w:t>
            </w:r>
            <w:r>
              <w:rPr>
                <w:rFonts w:eastAsia="方正仿宋简体"/>
                <w:sz w:val="28"/>
                <w:szCs w:val="28"/>
              </w:rPr>
              <w:t>99.8%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 w14:paraId="70B7A005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7AAF4163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交割地点</w:t>
            </w:r>
          </w:p>
        </w:tc>
        <w:tc>
          <w:tcPr>
            <w:tcW w:w="5958" w:type="dxa"/>
            <w:vAlign w:val="center"/>
          </w:tcPr>
          <w:p w14:paraId="05A54029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交易所交割仓库</w:t>
            </w:r>
          </w:p>
        </w:tc>
      </w:tr>
      <w:tr w14:paraId="3BAFD198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21B557DC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最低交易保证金</w:t>
            </w:r>
          </w:p>
        </w:tc>
        <w:tc>
          <w:tcPr>
            <w:tcW w:w="5958" w:type="dxa"/>
            <w:vAlign w:val="center"/>
          </w:tcPr>
          <w:p w14:paraId="5D755253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合约价值的</w:t>
            </w:r>
            <w:r>
              <w:rPr>
                <w:rFonts w:eastAsia="方正仿宋简体"/>
                <w:sz w:val="28"/>
                <w:szCs w:val="28"/>
              </w:rPr>
              <w:t>5%</w:t>
            </w:r>
          </w:p>
        </w:tc>
      </w:tr>
      <w:tr w14:paraId="4BD5BC64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39C88FD4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交割方式</w:t>
            </w:r>
          </w:p>
        </w:tc>
        <w:tc>
          <w:tcPr>
            <w:tcW w:w="5958" w:type="dxa"/>
            <w:vAlign w:val="center"/>
          </w:tcPr>
          <w:p w14:paraId="5EBC74CB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实物交割</w:t>
            </w:r>
          </w:p>
        </w:tc>
      </w:tr>
      <w:tr w14:paraId="434FF32E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7BBEF83E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交割单位</w:t>
            </w:r>
          </w:p>
        </w:tc>
        <w:tc>
          <w:tcPr>
            <w:tcW w:w="5958" w:type="dxa"/>
            <w:vAlign w:val="center"/>
          </w:tcPr>
          <w:p w14:paraId="2D598C5C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1CAF82B6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40E95F91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交易代码</w:t>
            </w:r>
          </w:p>
        </w:tc>
        <w:tc>
          <w:tcPr>
            <w:tcW w:w="5958" w:type="dxa"/>
            <w:vAlign w:val="center"/>
          </w:tcPr>
          <w:p w14:paraId="7B6499F3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NI</w:t>
            </w:r>
          </w:p>
        </w:tc>
      </w:tr>
      <w:tr w14:paraId="02AC3809">
        <w:trPr>
          <w:trHeight w:val="588" w:hRule="atLeast"/>
          <w:jc w:val="center"/>
        </w:trPr>
        <w:tc>
          <w:tcPr>
            <w:tcW w:w="2235" w:type="dxa"/>
            <w:vAlign w:val="center"/>
          </w:tcPr>
          <w:p w14:paraId="180F77FE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上市交易所</w:t>
            </w:r>
          </w:p>
        </w:tc>
        <w:tc>
          <w:tcPr>
            <w:tcW w:w="5958" w:type="dxa"/>
            <w:vAlign w:val="center"/>
          </w:tcPr>
          <w:p w14:paraId="02F88F82">
            <w:pPr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上海期货交易所</w:t>
            </w:r>
          </w:p>
        </w:tc>
      </w:tr>
    </w:tbl>
    <w:p w14:paraId="5E4B7FFF">
      <w:pPr>
        <w:spacing w:line="560" w:lineRule="exact"/>
        <w:jc w:val="center"/>
        <w:rPr>
          <w:rFonts w:eastAsia="方正大标宋简体"/>
          <w:sz w:val="42"/>
          <w:szCs w:val="4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 w14:paraId="34E83C90">
      <w:pPr>
        <w:spacing w:line="560" w:lineRule="exact"/>
        <w:jc w:val="center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上海期货交易所镍期货合约附件</w:t>
      </w:r>
    </w:p>
    <w:p w14:paraId="73C533F9">
      <w:pPr>
        <w:spacing w:line="560" w:lineRule="exact"/>
        <w:jc w:val="center"/>
        <w:rPr>
          <w:rFonts w:eastAsia="方正大标宋简体"/>
          <w:sz w:val="42"/>
          <w:szCs w:val="42"/>
        </w:rPr>
      </w:pPr>
    </w:p>
    <w:p w14:paraId="57952E78">
      <w:pPr>
        <w:spacing w:line="560" w:lineRule="exact"/>
        <w:ind w:firstLine="600" w:firstLineChars="200"/>
        <w:rPr>
          <w:rFonts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一、交割单位</w:t>
      </w:r>
    </w:p>
    <w:p w14:paraId="595F4E7B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镍期货合约的交易单位为每手1吨，交割单位为每一</w:t>
      </w:r>
      <w:r>
        <w:rPr>
          <w:rFonts w:hint="eastAsia" w:eastAsia="方正仿宋简体"/>
          <w:color w:val="000000"/>
          <w:sz w:val="30"/>
          <w:szCs w:val="30"/>
        </w:rPr>
        <w:t>标准</w:t>
      </w:r>
      <w:r>
        <w:rPr>
          <w:rFonts w:eastAsia="方正仿宋简体"/>
          <w:color w:val="000000"/>
          <w:sz w:val="30"/>
          <w:szCs w:val="30"/>
        </w:rPr>
        <w:t>仓单6吨，交割应当以每一</w:t>
      </w:r>
      <w:r>
        <w:rPr>
          <w:rFonts w:hint="eastAsia" w:eastAsia="方正仿宋简体"/>
          <w:color w:val="000000"/>
          <w:sz w:val="30"/>
          <w:szCs w:val="30"/>
        </w:rPr>
        <w:t>标准</w:t>
      </w:r>
      <w:r>
        <w:rPr>
          <w:rFonts w:eastAsia="方正仿宋简体"/>
          <w:color w:val="000000"/>
          <w:sz w:val="30"/>
          <w:szCs w:val="30"/>
        </w:rPr>
        <w:t>仓单的整数倍交割。</w:t>
      </w:r>
    </w:p>
    <w:p w14:paraId="1F398BFB">
      <w:pPr>
        <w:spacing w:line="560" w:lineRule="exact"/>
        <w:ind w:firstLine="600" w:firstLineChars="200"/>
        <w:rPr>
          <w:rFonts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二、质量规定</w:t>
      </w:r>
    </w:p>
    <w:p w14:paraId="0AD8856D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1、用于本合约实物交</w:t>
      </w:r>
      <w:r>
        <w:rPr>
          <w:rFonts w:eastAsia="方正仿宋简体"/>
          <w:sz w:val="30"/>
          <w:szCs w:val="30"/>
        </w:rPr>
        <w:t>割的电解镍，应当符合国标</w:t>
      </w:r>
      <w:r>
        <w:rPr>
          <w:rFonts w:hint="eastAsia" w:eastAsia="方正仿宋简体"/>
          <w:sz w:val="30"/>
          <w:szCs w:val="30"/>
        </w:rPr>
        <w:t>GB/T 6516-2025 Ni9996规定，其中镍和钴</w:t>
      </w:r>
      <w:r>
        <w:rPr>
          <w:rFonts w:hint="eastAsia" w:eastAsia="方正仿宋简体"/>
          <w:color w:val="000000"/>
          <w:sz w:val="30"/>
          <w:szCs w:val="30"/>
        </w:rPr>
        <w:t>的总含量不小于</w:t>
      </w:r>
      <w:r>
        <w:rPr>
          <w:rFonts w:eastAsia="方正仿宋简体"/>
          <w:color w:val="000000"/>
          <w:sz w:val="30"/>
          <w:szCs w:val="30"/>
        </w:rPr>
        <w:t>99.96%</w:t>
      </w:r>
      <w:r>
        <w:rPr>
          <w:rFonts w:hint="eastAsia" w:eastAsia="方正仿宋简体"/>
          <w:color w:val="000000"/>
          <w:sz w:val="30"/>
          <w:szCs w:val="30"/>
        </w:rPr>
        <w:t>。</w:t>
      </w:r>
    </w:p>
    <w:p w14:paraId="48B38291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2</w:t>
      </w:r>
      <w:r>
        <w:rPr>
          <w:rFonts w:hint="eastAsia" w:eastAsia="方正仿宋简体"/>
          <w:color w:val="000000"/>
          <w:sz w:val="30"/>
          <w:szCs w:val="30"/>
        </w:rPr>
        <w:t>、每一标准</w:t>
      </w:r>
      <w:r>
        <w:rPr>
          <w:rFonts w:eastAsia="方正仿宋简体"/>
          <w:color w:val="000000"/>
          <w:sz w:val="30"/>
          <w:szCs w:val="30"/>
        </w:rPr>
        <w:t>仓单的溢短不超过±3%，磅差不超过±0.1%</w:t>
      </w:r>
      <w:r>
        <w:rPr>
          <w:rFonts w:hint="eastAsia" w:eastAsia="方正仿宋简体"/>
          <w:color w:val="000000"/>
          <w:sz w:val="30"/>
          <w:szCs w:val="30"/>
        </w:rPr>
        <w:t>。</w:t>
      </w:r>
    </w:p>
    <w:p w14:paraId="276077C4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3</w:t>
      </w:r>
      <w:r>
        <w:rPr>
          <w:rFonts w:hint="eastAsia" w:eastAsia="方正仿宋简体"/>
          <w:color w:val="000000"/>
          <w:sz w:val="30"/>
          <w:szCs w:val="30"/>
        </w:rPr>
        <w:t>、每一标准</w:t>
      </w:r>
      <w:r>
        <w:rPr>
          <w:rFonts w:eastAsia="方正仿宋简体"/>
          <w:color w:val="000000"/>
          <w:sz w:val="30"/>
          <w:szCs w:val="30"/>
        </w:rPr>
        <w:t>仓单的电解镍，应当是同一生产企业生产、同一牌号、同一注册或</w:t>
      </w:r>
      <w:r>
        <w:rPr>
          <w:rFonts w:hint="eastAsia" w:eastAsia="方正仿宋简体"/>
          <w:color w:val="000000"/>
          <w:sz w:val="30"/>
          <w:szCs w:val="30"/>
        </w:rPr>
        <w:t>者指定</w:t>
      </w:r>
      <w:r>
        <w:rPr>
          <w:rFonts w:eastAsia="方正仿宋简体"/>
          <w:color w:val="000000"/>
          <w:sz w:val="30"/>
          <w:szCs w:val="30"/>
        </w:rPr>
        <w:t>品牌、同一质量品级的商品组成。</w:t>
      </w:r>
    </w:p>
    <w:p w14:paraId="70A7D3AA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4</w:t>
      </w:r>
      <w:r>
        <w:rPr>
          <w:rFonts w:hint="eastAsia" w:eastAsia="方正仿宋简体"/>
          <w:color w:val="000000"/>
          <w:sz w:val="30"/>
          <w:szCs w:val="30"/>
        </w:rPr>
        <w:t>、每一标准</w:t>
      </w:r>
      <w:r>
        <w:rPr>
          <w:rFonts w:eastAsia="方正仿宋简体"/>
          <w:color w:val="000000"/>
          <w:sz w:val="30"/>
          <w:szCs w:val="30"/>
        </w:rPr>
        <w:t>仓单的电解镍，应当是交易所注册或</w:t>
      </w:r>
      <w:r>
        <w:rPr>
          <w:rFonts w:hint="eastAsia" w:eastAsia="方正仿宋简体"/>
          <w:color w:val="000000"/>
          <w:sz w:val="30"/>
          <w:szCs w:val="30"/>
        </w:rPr>
        <w:t>者指定</w:t>
      </w:r>
      <w:r>
        <w:rPr>
          <w:rFonts w:eastAsia="方正仿宋简体"/>
          <w:color w:val="000000"/>
          <w:sz w:val="30"/>
          <w:szCs w:val="30"/>
        </w:rPr>
        <w:t>的品牌，附有质量证明书。</w:t>
      </w:r>
    </w:p>
    <w:p w14:paraId="6BDDD186">
      <w:pPr>
        <w:spacing w:line="56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5</w:t>
      </w:r>
      <w:r>
        <w:rPr>
          <w:rFonts w:hint="eastAsia" w:eastAsia="方正仿宋简体"/>
          <w:color w:val="000000"/>
          <w:sz w:val="30"/>
          <w:szCs w:val="30"/>
        </w:rPr>
        <w:t>、标准</w:t>
      </w:r>
      <w:r>
        <w:rPr>
          <w:rFonts w:eastAsia="方正仿宋简体"/>
          <w:color w:val="000000"/>
          <w:sz w:val="30"/>
          <w:szCs w:val="30"/>
        </w:rPr>
        <w:t>仓单应当由交易所交割仓库按规定验收合格后出具。</w:t>
      </w:r>
    </w:p>
    <w:p w14:paraId="6D1F9B8F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三、交易所认可的注册品牌和指定品牌</w:t>
      </w:r>
    </w:p>
    <w:p w14:paraId="2594EEB2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用于实物交割的电解镍，应当是交易所注册</w:t>
      </w:r>
      <w:r>
        <w:rPr>
          <w:rFonts w:hint="eastAsia" w:eastAsia="方正仿宋简体"/>
          <w:sz w:val="30"/>
          <w:szCs w:val="30"/>
        </w:rPr>
        <w:t>的品牌</w:t>
      </w:r>
      <w:r>
        <w:rPr>
          <w:rFonts w:eastAsia="方正仿宋简体"/>
          <w:sz w:val="30"/>
          <w:szCs w:val="30"/>
        </w:rPr>
        <w:t>或</w:t>
      </w:r>
      <w:r>
        <w:rPr>
          <w:rFonts w:hint="eastAsia" w:eastAsia="方正仿宋简体"/>
          <w:sz w:val="30"/>
          <w:szCs w:val="30"/>
        </w:rPr>
        <w:t>者认可</w:t>
      </w:r>
      <w:r>
        <w:rPr>
          <w:rFonts w:eastAsia="方正仿宋简体"/>
          <w:sz w:val="30"/>
          <w:szCs w:val="30"/>
        </w:rPr>
        <w:t>的</w:t>
      </w:r>
      <w:r>
        <w:rPr>
          <w:rFonts w:hint="eastAsia" w:eastAsia="方正仿宋简体"/>
          <w:sz w:val="30"/>
          <w:szCs w:val="30"/>
        </w:rPr>
        <w:t>指定</w:t>
      </w:r>
      <w:r>
        <w:rPr>
          <w:rFonts w:eastAsia="方正仿宋简体"/>
          <w:sz w:val="30"/>
          <w:szCs w:val="30"/>
        </w:rPr>
        <w:t>品牌。具体的注册或</w:t>
      </w:r>
      <w:r>
        <w:rPr>
          <w:rFonts w:hint="eastAsia" w:eastAsia="方正仿宋简体"/>
          <w:sz w:val="30"/>
          <w:szCs w:val="30"/>
        </w:rPr>
        <w:t>者指定</w:t>
      </w:r>
      <w:r>
        <w:rPr>
          <w:rFonts w:eastAsia="方正仿宋简体"/>
          <w:sz w:val="30"/>
          <w:szCs w:val="30"/>
        </w:rPr>
        <w:t>品牌和升贴水标准，由交易所另行规定并公告。</w:t>
      </w:r>
    </w:p>
    <w:p w14:paraId="048134C0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四、交割仓库</w:t>
      </w:r>
    </w:p>
    <w:p w14:paraId="76F2CBF5">
      <w:pPr>
        <w:spacing w:line="560" w:lineRule="exact"/>
        <w:ind w:firstLine="600" w:firstLineChars="200"/>
        <w:rPr>
          <w:rFonts w:eastAsia="方正仿宋简体"/>
          <w:color w:val="212121"/>
          <w:kern w:val="0"/>
          <w:sz w:val="30"/>
          <w:szCs w:val="30"/>
        </w:rPr>
      </w:pPr>
      <w:r>
        <w:rPr>
          <w:rFonts w:eastAsia="方正仿宋简体"/>
          <w:sz w:val="30"/>
          <w:szCs w:val="30"/>
        </w:rPr>
        <w:t>由交易所另行公告，异地交割仓库升贴水标准由交易所规定并公告。</w:t>
      </w:r>
    </w:p>
    <w:p w14:paraId="04C19DDD">
      <w:pPr>
        <w:spacing w:line="560" w:lineRule="exact"/>
        <w:jc w:val="right"/>
        <w:rPr>
          <w:rFonts w:eastAsia="方正仿宋简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768908"/>
      <w:docPartObj>
        <w:docPartGallery w:val="autotext"/>
      </w:docPartObj>
    </w:sdtPr>
    <w:sdtEndPr>
      <w:rPr>
        <w:sz w:val="24"/>
        <w:szCs w:val="24"/>
      </w:rPr>
    </w:sdtEndPr>
    <w:sdtContent>
      <w:p w14:paraId="387B3168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11 -</w:t>
        </w:r>
        <w:r>
          <w:rPr>
            <w:sz w:val="24"/>
            <w:szCs w:val="24"/>
          </w:rPr>
          <w:fldChar w:fldCharType="end"/>
        </w:r>
      </w:p>
    </w:sdtContent>
  </w:sdt>
  <w:p w14:paraId="26ED909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1E9F"/>
    <w:rsid w:val="00112841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3004F"/>
    <w:rsid w:val="00450254"/>
    <w:rsid w:val="00496D6E"/>
    <w:rsid w:val="00514E4C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F221E0"/>
    <w:rsid w:val="00F53766"/>
    <w:rsid w:val="00FD5F48"/>
    <w:rsid w:val="00FE56A3"/>
    <w:rsid w:val="00FF2609"/>
    <w:rsid w:val="00FF441D"/>
    <w:rsid w:val="0FFFDB14"/>
    <w:rsid w:val="13DF1BF8"/>
    <w:rsid w:val="1FEFCCCE"/>
    <w:rsid w:val="35553138"/>
    <w:rsid w:val="50B16954"/>
    <w:rsid w:val="5EF7BE95"/>
    <w:rsid w:val="5FFFB289"/>
    <w:rsid w:val="6B7AA039"/>
    <w:rsid w:val="6E558113"/>
    <w:rsid w:val="6EFBD170"/>
    <w:rsid w:val="6FF53B4D"/>
    <w:rsid w:val="77FF5BD1"/>
    <w:rsid w:val="782F0F74"/>
    <w:rsid w:val="7BFF4744"/>
    <w:rsid w:val="7BFF8E40"/>
    <w:rsid w:val="7D9D4C03"/>
    <w:rsid w:val="7DF68785"/>
    <w:rsid w:val="7F71B741"/>
    <w:rsid w:val="9F792B29"/>
    <w:rsid w:val="B1E7CF21"/>
    <w:rsid w:val="BEE223FD"/>
    <w:rsid w:val="D74E68BF"/>
    <w:rsid w:val="DDF3C677"/>
    <w:rsid w:val="DFDE7E7B"/>
    <w:rsid w:val="EFFFFB04"/>
    <w:rsid w:val="F7FF772A"/>
    <w:rsid w:val="FBFEAF8B"/>
    <w:rsid w:val="FDA6FCBC"/>
    <w:rsid w:val="FDC51752"/>
    <w:rsid w:val="FF53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B8B113F-F69A-49B0-9B0F-30663941D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3</Pages>
  <Words>799</Words>
  <Characters>4558</Characters>
  <Lines>37</Lines>
  <Paragraphs>10</Paragraphs>
  <TotalTime>8</TotalTime>
  <ScaleCrop>false</ScaleCrop>
  <LinksUpToDate>false</LinksUpToDate>
  <CharactersWithSpaces>5347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2024-03-31T13:38:00Z</dcterms:created>
  <dc:creator>季铄人</dc:creator>
  <cp:lastModifiedBy>guanz</cp:lastModifiedBy>
  <cp:lastPrinted>2024-04-01T11:01:00Z</cp:lastPrinted>
  <dcterms:modified xsi:type="dcterms:W3CDTF">2025-10-30T11:09:31Z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