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D29DF" w14:textId="390C3F0C" w:rsidR="00BF3068" w:rsidRDefault="00B620C0">
      <w:pPr>
        <w:rPr>
          <w:rFonts w:eastAsia="方正大标宋简体"/>
          <w:sz w:val="42"/>
          <w:szCs w:val="42"/>
        </w:rPr>
      </w:pPr>
      <w:bookmarkStart w:id="0" w:name="_Toc667809213"/>
      <w:r>
        <w:rPr>
          <w:rFonts w:eastAsia="方正大标宋简体"/>
          <w:sz w:val="42"/>
          <w:szCs w:val="42"/>
        </w:rPr>
        <w:t>附件</w:t>
      </w:r>
      <w:r w:rsidR="00F410BF">
        <w:rPr>
          <w:rFonts w:eastAsia="方正大标宋简体"/>
          <w:sz w:val="42"/>
          <w:szCs w:val="42"/>
        </w:rPr>
        <w:t>5</w:t>
      </w:r>
      <w:bookmarkStart w:id="1" w:name="_GoBack"/>
      <w:bookmarkEnd w:id="1"/>
    </w:p>
    <w:p w14:paraId="28D2AD15" w14:textId="77777777" w:rsidR="00BF3068" w:rsidRDefault="00BF3068">
      <w:pPr>
        <w:pStyle w:val="1"/>
        <w:spacing w:before="0" w:after="0"/>
      </w:pPr>
    </w:p>
    <w:p w14:paraId="48E2ED6A" w14:textId="77777777" w:rsidR="00BF3068" w:rsidRDefault="00B620C0">
      <w:pPr>
        <w:pStyle w:val="1"/>
        <w:spacing w:before="0" w:after="0"/>
      </w:pPr>
      <w:r>
        <w:t>上海期货交易所热轧卷板期货业务细则</w:t>
      </w:r>
      <w:bookmarkEnd w:id="0"/>
    </w:p>
    <w:p w14:paraId="75C574D5" w14:textId="77777777" w:rsidR="00BF3068" w:rsidRDefault="00BF3068">
      <w:pPr>
        <w:spacing w:line="560" w:lineRule="exact"/>
      </w:pPr>
    </w:p>
    <w:p w14:paraId="427DC1C5" w14:textId="77777777" w:rsidR="00BF3068" w:rsidRDefault="00B620C0">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14:paraId="2F4CCD29"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为了规范上海期货交易所（以下简称交易所）热轧卷板期货相关业务，根据《上海期货交易所交易规则》《上海期货交易所热轧卷板期货合约》以及相关业务规则，制定本细则。</w:t>
      </w:r>
    </w:p>
    <w:p w14:paraId="3DF12058"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14:paraId="3C0CB6B5" w14:textId="77777777" w:rsidR="00BF3068" w:rsidRDefault="00B620C0">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14:paraId="5A993F36" w14:textId="77777777" w:rsidR="00BF3068" w:rsidRDefault="00B620C0">
      <w:pPr>
        <w:spacing w:line="560" w:lineRule="exact"/>
        <w:ind w:firstLineChars="200" w:firstLine="602"/>
        <w:rPr>
          <w:rFonts w:eastAsia="方正仿宋简体"/>
          <w:b/>
          <w:sz w:val="30"/>
          <w:szCs w:val="30"/>
          <w:shd w:val="pct10" w:color="auto" w:fill="FFFFFF"/>
        </w:rPr>
      </w:pPr>
      <w:r>
        <w:rPr>
          <w:rFonts w:eastAsia="方正仿宋简体"/>
          <w:b/>
          <w:sz w:val="30"/>
          <w:szCs w:val="30"/>
        </w:rPr>
        <w:t>第三条</w:t>
      </w:r>
      <w:r>
        <w:rPr>
          <w:rFonts w:eastAsia="方正仿宋简体"/>
          <w:sz w:val="30"/>
          <w:szCs w:val="30"/>
        </w:rPr>
        <w:t xml:space="preserve"> </w:t>
      </w:r>
      <w:r>
        <w:rPr>
          <w:rFonts w:eastAsia="方正仿宋简体"/>
          <w:sz w:val="30"/>
          <w:szCs w:val="30"/>
        </w:rPr>
        <w:t>热轧卷板期货合约的交易单位为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14:paraId="1320BC4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热轧卷板期货合约的报价单位为元（人民币）</w:t>
      </w:r>
      <w:r>
        <w:rPr>
          <w:rFonts w:eastAsia="方正仿宋简体"/>
          <w:sz w:val="30"/>
          <w:szCs w:val="30"/>
        </w:rPr>
        <w:t>/</w:t>
      </w:r>
      <w:r>
        <w:rPr>
          <w:rFonts w:eastAsia="方正仿宋简体"/>
          <w:sz w:val="30"/>
          <w:szCs w:val="30"/>
        </w:rPr>
        <w:t>吨。</w:t>
      </w:r>
    </w:p>
    <w:p w14:paraId="0A7AD7C0"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热轧卷板期货合约的最小变动价位为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14:paraId="6FB5B268" w14:textId="77777777" w:rsidR="00BF3068" w:rsidRDefault="00B620C0">
      <w:pPr>
        <w:spacing w:line="560" w:lineRule="exact"/>
        <w:ind w:firstLineChars="200" w:firstLine="602"/>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热轧卷板期货合约月份为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14:paraId="43C9DB6B" w14:textId="77777777" w:rsidR="00BF3068" w:rsidRDefault="00B620C0">
      <w:pPr>
        <w:spacing w:line="560" w:lineRule="exact"/>
        <w:ind w:firstLineChars="200" w:firstLine="602"/>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sz w:val="30"/>
          <w:szCs w:val="30"/>
        </w:rPr>
        <w:t>热轧卷板</w:t>
      </w:r>
      <w:r>
        <w:rPr>
          <w:rFonts w:eastAsia="方正仿宋简体"/>
          <w:color w:val="000000"/>
          <w:sz w:val="30"/>
          <w:szCs w:val="30"/>
        </w:rPr>
        <w:t>期货合约的交易时间为上午</w:t>
      </w:r>
      <w:r>
        <w:rPr>
          <w:rFonts w:eastAsia="方正仿宋简体"/>
          <w:color w:val="000000"/>
          <w:sz w:val="30"/>
          <w:szCs w:val="30"/>
        </w:rPr>
        <w:t>9:00</w:t>
      </w:r>
      <w:r>
        <w:rPr>
          <w:rFonts w:eastAsia="方正仿宋简体"/>
          <w:color w:val="000000"/>
          <w:sz w:val="30"/>
          <w:szCs w:val="30"/>
        </w:rPr>
        <w:t>～</w:t>
      </w:r>
      <w:r>
        <w:rPr>
          <w:rFonts w:eastAsia="方正仿宋简体"/>
          <w:color w:val="000000"/>
          <w:sz w:val="30"/>
          <w:szCs w:val="30"/>
        </w:rPr>
        <w:t>11:30</w:t>
      </w:r>
      <w:r>
        <w:rPr>
          <w:rFonts w:eastAsia="方正仿宋简体"/>
          <w:color w:val="000000"/>
          <w:sz w:val="30"/>
          <w:szCs w:val="30"/>
        </w:rPr>
        <w:t>，下午</w:t>
      </w:r>
      <w:r>
        <w:rPr>
          <w:rFonts w:eastAsia="方正仿宋简体"/>
          <w:color w:val="000000"/>
          <w:sz w:val="30"/>
          <w:szCs w:val="30"/>
        </w:rPr>
        <w:t>1:30</w:t>
      </w:r>
      <w:r>
        <w:rPr>
          <w:rFonts w:eastAsia="方正仿宋简体"/>
          <w:color w:val="000000"/>
          <w:sz w:val="30"/>
          <w:szCs w:val="30"/>
        </w:rPr>
        <w:t>～</w:t>
      </w:r>
      <w:r>
        <w:rPr>
          <w:rFonts w:eastAsia="方正仿宋简体"/>
          <w:color w:val="000000"/>
          <w:sz w:val="30"/>
          <w:szCs w:val="30"/>
        </w:rPr>
        <w:t>3:00</w:t>
      </w:r>
      <w:r>
        <w:rPr>
          <w:rFonts w:eastAsia="方正仿宋简体"/>
          <w:color w:val="000000"/>
          <w:sz w:val="30"/>
          <w:szCs w:val="30"/>
        </w:rPr>
        <w:t>和交易所规定的其他交易时间。</w:t>
      </w:r>
    </w:p>
    <w:p w14:paraId="5D61AFA9"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热轧卷板期货合约的最后交易日为合约月份的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14:paraId="3D31E4AA"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热轧卷板期货合约的交易代码为</w:t>
      </w:r>
      <w:r>
        <w:rPr>
          <w:rFonts w:eastAsia="方正仿宋简体"/>
          <w:sz w:val="30"/>
          <w:szCs w:val="30"/>
        </w:rPr>
        <w:t>HC</w:t>
      </w:r>
      <w:r>
        <w:rPr>
          <w:rFonts w:eastAsia="方正仿宋简体"/>
          <w:sz w:val="30"/>
          <w:szCs w:val="30"/>
        </w:rPr>
        <w:t>。</w:t>
      </w:r>
    </w:p>
    <w:p w14:paraId="10F0183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热轧卷板</w:t>
      </w:r>
      <w:r>
        <w:rPr>
          <w:rFonts w:eastAsia="方正仿宋简体"/>
          <w:sz w:val="30"/>
          <w:szCs w:val="30"/>
        </w:rPr>
        <w:t>期货套期保值交易</w:t>
      </w:r>
      <w:r>
        <w:rPr>
          <w:rFonts w:eastAsia="方正仿宋简体" w:hint="eastAsia"/>
          <w:color w:val="000000"/>
          <w:sz w:val="30"/>
          <w:szCs w:val="30"/>
        </w:rPr>
        <w:t>持仓额度</w:t>
      </w:r>
      <w:r>
        <w:rPr>
          <w:rFonts w:eastAsia="方正仿宋简体"/>
          <w:sz w:val="30"/>
          <w:szCs w:val="30"/>
        </w:rPr>
        <w:t>和套利交易</w:t>
      </w:r>
      <w:r>
        <w:rPr>
          <w:rFonts w:eastAsia="方正仿宋简体" w:hint="eastAsia"/>
          <w:color w:val="000000"/>
          <w:sz w:val="30"/>
          <w:szCs w:val="30"/>
        </w:rPr>
        <w:t>持仓额度</w:t>
      </w:r>
      <w:r>
        <w:rPr>
          <w:rFonts w:eastAsia="方正仿宋简体"/>
          <w:sz w:val="30"/>
          <w:szCs w:val="30"/>
        </w:rPr>
        <w:t>，所涉的一般月份是指合约挂牌至交割月前第二月的最后一个交易日，所涉的临近交割月份是指交割月前第一月和交割月</w:t>
      </w:r>
      <w:r>
        <w:rPr>
          <w:rFonts w:eastAsia="方正仿宋简体"/>
          <w:sz w:val="30"/>
          <w:szCs w:val="30"/>
        </w:rPr>
        <w:lastRenderedPageBreak/>
        <w:t>份</w:t>
      </w:r>
      <w:r>
        <w:rPr>
          <w:rFonts w:eastAsia="方正仿宋简体" w:hint="eastAsia"/>
          <w:sz w:val="30"/>
          <w:szCs w:val="30"/>
        </w:rPr>
        <w:t>。</w:t>
      </w:r>
    </w:p>
    <w:p w14:paraId="6D661EC0" w14:textId="77777777" w:rsidR="00BF3068" w:rsidRDefault="00B620C0">
      <w:pPr>
        <w:spacing w:line="560" w:lineRule="exact"/>
        <w:ind w:firstLineChars="200" w:firstLine="602"/>
        <w:rPr>
          <w:rFonts w:eastAsia="方正仿宋简体"/>
          <w:color w:val="000000"/>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sz w:val="30"/>
          <w:szCs w:val="30"/>
        </w:rPr>
        <w:t>热轧卷板期货一般月份套期保值交易</w:t>
      </w:r>
      <w:r>
        <w:rPr>
          <w:rFonts w:eastAsia="方正仿宋简体" w:hint="eastAsia"/>
          <w:color w:val="000000"/>
          <w:sz w:val="30"/>
          <w:szCs w:val="30"/>
        </w:rPr>
        <w:t>持仓额度</w:t>
      </w:r>
      <w:r>
        <w:rPr>
          <w:rFonts w:eastAsia="方正仿宋简体"/>
          <w:sz w:val="30"/>
          <w:szCs w:val="30"/>
        </w:rPr>
        <w:t>的申请应当在该套期保值所涉合约交割月前第二月的最后一个交易日之前提出，逾期交易所不再受理。</w:t>
      </w:r>
    </w:p>
    <w:p w14:paraId="3DCD8692"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热轧卷板期货临近交割月份套期保值交易</w:t>
      </w:r>
      <w:r>
        <w:rPr>
          <w:rFonts w:eastAsia="方正仿宋简体" w:hint="eastAsia"/>
          <w:color w:val="000000"/>
          <w:sz w:val="30"/>
          <w:szCs w:val="30"/>
        </w:rPr>
        <w:t>持仓额度</w:t>
      </w:r>
      <w:r>
        <w:rPr>
          <w:rFonts w:eastAsia="方正仿宋简体"/>
          <w:sz w:val="30"/>
          <w:szCs w:val="30"/>
        </w:rPr>
        <w:t>的申请应当在该套期保值所涉合约交割月前第三月的第一个交易日至交割月前第一月的最后一个交易日之间提出，逾期交易所不再受理；热轧卷板期货临近交割月份套利交易</w:t>
      </w:r>
      <w:r>
        <w:rPr>
          <w:rFonts w:eastAsia="方正仿宋简体" w:hint="eastAsia"/>
          <w:color w:val="000000"/>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14:paraId="5BBB5A41"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热轧卷板期货套期保值交易</w:t>
      </w:r>
      <w:r>
        <w:rPr>
          <w:rFonts w:eastAsia="方正仿宋简体" w:hint="eastAsia"/>
          <w:color w:val="000000"/>
          <w:sz w:val="30"/>
          <w:szCs w:val="30"/>
        </w:rPr>
        <w:t>持仓额度</w:t>
      </w:r>
      <w:r>
        <w:rPr>
          <w:rFonts w:eastAsia="方正仿宋简体"/>
          <w:sz w:val="30"/>
          <w:szCs w:val="30"/>
        </w:rPr>
        <w:t>自交割月份第一交易日起不得重复使用。</w:t>
      </w:r>
    </w:p>
    <w:p w14:paraId="0D9FAC46" w14:textId="77777777" w:rsidR="00BF3068" w:rsidRDefault="00B620C0">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14:paraId="59358BE1" w14:textId="77777777" w:rsidR="00BF3068" w:rsidRDefault="00B620C0">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14:paraId="40F5E30B"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热轧卷板期货适用期货转现货、仓库交割、厂库交割。</w:t>
      </w:r>
    </w:p>
    <w:p w14:paraId="7BC4F334"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热轧卷板期货实行完税交割。</w:t>
      </w:r>
    </w:p>
    <w:p w14:paraId="152B7678" w14:textId="77777777" w:rsidR="00BF3068" w:rsidRDefault="00B620C0">
      <w:pPr>
        <w:spacing w:line="560" w:lineRule="exact"/>
        <w:ind w:firstLineChars="200" w:firstLine="602"/>
        <w:jc w:val="left"/>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热轧卷板期货的交割品级详见《上海期货交易所热轧卷板期货合约》。</w:t>
      </w:r>
    </w:p>
    <w:p w14:paraId="7E6E09CC" w14:textId="77777777" w:rsidR="00BF3068" w:rsidRDefault="00B620C0">
      <w:pPr>
        <w:spacing w:line="56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交割热轧卷板质量规定</w:t>
      </w:r>
    </w:p>
    <w:p w14:paraId="744A2FE3" w14:textId="77777777" w:rsidR="00BF3068" w:rsidRDefault="00B620C0">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交割热轧卷板应当是在交易所注册的生产企业生产的注册商品</w:t>
      </w:r>
      <w:r>
        <w:rPr>
          <w:rFonts w:eastAsia="方正仿宋简体" w:hint="eastAsia"/>
          <w:color w:val="000000"/>
          <w:kern w:val="0"/>
          <w:sz w:val="30"/>
          <w:szCs w:val="30"/>
        </w:rPr>
        <w:t>。</w:t>
      </w:r>
    </w:p>
    <w:p w14:paraId="48AB3584" w14:textId="77777777" w:rsidR="00BF3068" w:rsidRDefault="00B620C0">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w:t>
      </w:r>
      <w:r>
        <w:rPr>
          <w:rFonts w:eastAsia="方正仿宋简体"/>
          <w:color w:val="000000"/>
          <w:kern w:val="0"/>
          <w:sz w:val="30"/>
          <w:szCs w:val="30"/>
        </w:rPr>
        <w:t>GB/T3274-2017</w:t>
      </w:r>
      <w:r>
        <w:rPr>
          <w:rFonts w:eastAsia="方正仿宋简体"/>
          <w:color w:val="000000"/>
          <w:kern w:val="0"/>
          <w:sz w:val="30"/>
          <w:szCs w:val="30"/>
        </w:rPr>
        <w:t>《碳素结构钢和低合金结构钢热轧厚钢板和钢带》或</w:t>
      </w:r>
      <w:r>
        <w:rPr>
          <w:rFonts w:eastAsia="方正仿宋简体" w:hint="eastAsia"/>
          <w:color w:val="000000"/>
          <w:kern w:val="0"/>
          <w:sz w:val="30"/>
          <w:szCs w:val="30"/>
        </w:rPr>
        <w:t>JIS G 3101-2024</w:t>
      </w:r>
      <w:r>
        <w:rPr>
          <w:rFonts w:eastAsia="方正仿宋简体"/>
          <w:color w:val="000000"/>
          <w:kern w:val="0"/>
          <w:sz w:val="30"/>
          <w:szCs w:val="30"/>
        </w:rPr>
        <w:t>《一般结构用轧制钢材》等相关规定。</w:t>
      </w:r>
    </w:p>
    <w:p w14:paraId="127D17EA"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交割商品的规格</w:t>
      </w:r>
    </w:p>
    <w:p w14:paraId="206E3BC2" w14:textId="77777777" w:rsidR="00BF3068" w:rsidRDefault="00B620C0">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每一标准仓单的热轧卷板，应当是同一生产企业、同一牌号和宽度、厚度的商品组成</w:t>
      </w:r>
      <w:r>
        <w:rPr>
          <w:rFonts w:eastAsia="方正仿宋简体" w:hint="eastAsia"/>
          <w:color w:val="000000"/>
          <w:kern w:val="0"/>
          <w:sz w:val="30"/>
          <w:szCs w:val="30"/>
        </w:rPr>
        <w:t>。</w:t>
      </w:r>
    </w:p>
    <w:p w14:paraId="7A1EC5D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交割热轧卷板的包装</w:t>
      </w:r>
    </w:p>
    <w:p w14:paraId="2CD97808" w14:textId="77777777" w:rsidR="00BF3068" w:rsidRDefault="00B620C0">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交割热轧卷板包装、标志及质量证明书等应当符合</w:t>
      </w:r>
      <w:r>
        <w:rPr>
          <w:rFonts w:eastAsia="方正仿宋简体"/>
          <w:color w:val="000000"/>
          <w:kern w:val="0"/>
          <w:sz w:val="30"/>
          <w:szCs w:val="30"/>
        </w:rPr>
        <w:t>GB/T 3274-2017</w:t>
      </w:r>
      <w:r>
        <w:rPr>
          <w:rFonts w:eastAsia="方正仿宋简体"/>
          <w:color w:val="000000"/>
          <w:kern w:val="0"/>
          <w:sz w:val="30"/>
          <w:szCs w:val="30"/>
        </w:rPr>
        <w:t>《碳素结构钢和低合金结构钢热轧厚钢板和钢带》或</w:t>
      </w:r>
      <w:r>
        <w:rPr>
          <w:rFonts w:eastAsia="方正仿宋简体" w:hint="eastAsia"/>
          <w:color w:val="000000"/>
          <w:kern w:val="0"/>
          <w:sz w:val="30"/>
          <w:szCs w:val="30"/>
        </w:rPr>
        <w:t>JIS G 3101-2024</w:t>
      </w:r>
      <w:r>
        <w:rPr>
          <w:rFonts w:eastAsia="方正仿宋简体"/>
          <w:color w:val="000000"/>
          <w:kern w:val="0"/>
          <w:sz w:val="30"/>
          <w:szCs w:val="30"/>
        </w:rPr>
        <w:t>《一般结构用轧制钢材》等相关规定。</w:t>
      </w:r>
    </w:p>
    <w:p w14:paraId="1DBB81E4"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14:paraId="114B0437"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应当提供注册生产企业出具的产品质量证明书</w:t>
      </w:r>
      <w:r>
        <w:rPr>
          <w:rFonts w:eastAsia="方正仿宋简体" w:hint="eastAsia"/>
          <w:sz w:val="30"/>
          <w:szCs w:val="30"/>
        </w:rPr>
        <w:t>。</w:t>
      </w:r>
    </w:p>
    <w:p w14:paraId="4FCD08F1"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计量和溢短</w:t>
      </w:r>
    </w:p>
    <w:p w14:paraId="43D25587" w14:textId="77777777" w:rsidR="00BF3068" w:rsidRDefault="00B620C0">
      <w:pPr>
        <w:spacing w:line="560" w:lineRule="exact"/>
        <w:ind w:firstLineChars="200" w:firstLine="600"/>
        <w:rPr>
          <w:rFonts w:eastAsia="方正仿宋简体"/>
          <w:sz w:val="30"/>
          <w:szCs w:val="30"/>
        </w:rPr>
      </w:pPr>
      <w:r>
        <w:rPr>
          <w:rFonts w:eastAsia="方正仿宋简体"/>
          <w:color w:val="000000"/>
          <w:kern w:val="0"/>
          <w:sz w:val="30"/>
          <w:szCs w:val="30"/>
        </w:rPr>
        <w:t>交割热轧卷板以实际称重方式计量。每张热轧卷板标准仓单的</w:t>
      </w:r>
      <w:r>
        <w:rPr>
          <w:rFonts w:eastAsia="方正仿宋简体" w:hint="eastAsia"/>
          <w:color w:val="000000"/>
          <w:kern w:val="0"/>
          <w:sz w:val="30"/>
          <w:szCs w:val="30"/>
        </w:rPr>
        <w:t>溢短</w:t>
      </w:r>
      <w:r>
        <w:rPr>
          <w:rFonts w:eastAsia="方正仿宋简体"/>
          <w:color w:val="000000"/>
          <w:kern w:val="0"/>
          <w:sz w:val="30"/>
          <w:szCs w:val="30"/>
        </w:rPr>
        <w:t>不超过</w:t>
      </w:r>
      <w:r>
        <w:rPr>
          <w:rFonts w:eastAsia="方正仿宋简体"/>
          <w:color w:val="000000"/>
          <w:kern w:val="0"/>
          <w:sz w:val="30"/>
          <w:szCs w:val="30"/>
        </w:rPr>
        <w:t>±5%</w:t>
      </w:r>
      <w:r>
        <w:rPr>
          <w:rFonts w:eastAsia="方正仿宋简体"/>
          <w:color w:val="000000"/>
          <w:kern w:val="0"/>
          <w:sz w:val="30"/>
          <w:szCs w:val="30"/>
        </w:rPr>
        <w:t>。磅差不超过</w:t>
      </w:r>
      <w:r>
        <w:rPr>
          <w:rFonts w:eastAsia="方正仿宋简体"/>
          <w:color w:val="000000"/>
          <w:kern w:val="0"/>
          <w:sz w:val="30"/>
          <w:szCs w:val="30"/>
        </w:rPr>
        <w:t>±0.3%</w:t>
      </w:r>
      <w:r>
        <w:rPr>
          <w:rFonts w:eastAsia="方正仿宋简体" w:hint="eastAsia"/>
          <w:color w:val="000000"/>
          <w:kern w:val="0"/>
          <w:sz w:val="30"/>
          <w:szCs w:val="30"/>
        </w:rPr>
        <w:t>。</w:t>
      </w:r>
    </w:p>
    <w:p w14:paraId="433D275C"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热轧卷板期货合约的交割单位为</w:t>
      </w:r>
      <w:r>
        <w:rPr>
          <w:rFonts w:eastAsia="方正仿宋简体"/>
          <w:sz w:val="30"/>
          <w:szCs w:val="30"/>
        </w:rPr>
        <w:t>300</w:t>
      </w:r>
      <w:r>
        <w:rPr>
          <w:rFonts w:eastAsia="方正仿宋简体"/>
          <w:sz w:val="30"/>
          <w:szCs w:val="30"/>
        </w:rPr>
        <w:t>吨。</w:t>
      </w:r>
    </w:p>
    <w:p w14:paraId="75450AB9"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热轧卷板期货合约的交割日期为最后交易日后连续二个工作日。</w:t>
      </w:r>
    </w:p>
    <w:p w14:paraId="5D16FFAD"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热轧卷板期货合约交割结算的基准价为该期货合约最后交易日的结算价。</w:t>
      </w:r>
    </w:p>
    <w:p w14:paraId="63404D6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交割地点：交易所交割仓库和交割厂库，由交易所另行公告。</w:t>
      </w:r>
    </w:p>
    <w:p w14:paraId="56CB4308" w14:textId="77777777" w:rsidR="00BF3068" w:rsidRDefault="00B620C0">
      <w:pPr>
        <w:spacing w:line="560" w:lineRule="exact"/>
        <w:ind w:firstLineChars="200" w:firstLine="602"/>
        <w:rPr>
          <w:rFonts w:eastAsia="方正仿宋简体"/>
          <w:color w:val="000000"/>
          <w:kern w:val="0"/>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期转现使用标准仓单并通过交易所结算发生</w:t>
      </w:r>
      <w:r>
        <w:rPr>
          <w:rFonts w:eastAsia="方正仿宋简体"/>
          <w:color w:val="000000"/>
          <w:kern w:val="0"/>
          <w:sz w:val="30"/>
          <w:szCs w:val="30"/>
        </w:rPr>
        <w:t>热轧卷板</w:t>
      </w:r>
      <w:r>
        <w:rPr>
          <w:rFonts w:eastAsia="方正仿宋简体"/>
          <w:sz w:val="30"/>
          <w:szCs w:val="30"/>
        </w:rPr>
        <w:t>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14:paraId="49D58E3D" w14:textId="77777777" w:rsidR="00BF3068" w:rsidRDefault="00B620C0">
      <w:pPr>
        <w:spacing w:line="560" w:lineRule="exact"/>
        <w:jc w:val="center"/>
        <w:rPr>
          <w:rFonts w:eastAsia="方正仿宋简体"/>
          <w:b/>
          <w:sz w:val="30"/>
          <w:szCs w:val="30"/>
          <w:highlight w:val="yellow"/>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14:paraId="3F3A0716" w14:textId="77777777" w:rsidR="00BF3068" w:rsidRDefault="00B620C0">
      <w:pPr>
        <w:spacing w:line="560" w:lineRule="exact"/>
        <w:ind w:firstLineChars="200" w:firstLine="602"/>
        <w:rPr>
          <w:rFonts w:eastAsia="方正仿宋简体"/>
          <w:b/>
          <w:sz w:val="30"/>
          <w:szCs w:val="30"/>
          <w:shd w:val="pct10" w:color="auto" w:fill="FFFFFF"/>
        </w:rPr>
      </w:pPr>
      <w:r>
        <w:rPr>
          <w:rFonts w:eastAsia="方正仿宋简体"/>
          <w:b/>
          <w:sz w:val="30"/>
          <w:szCs w:val="30"/>
        </w:rPr>
        <w:t>第二十五条</w:t>
      </w:r>
      <w:r>
        <w:rPr>
          <w:rFonts w:eastAsia="方正仿宋简体"/>
          <w:b/>
          <w:sz w:val="30"/>
          <w:szCs w:val="30"/>
        </w:rPr>
        <w:t xml:space="preserve"> </w:t>
      </w:r>
      <w:r>
        <w:rPr>
          <w:rFonts w:eastAsia="方正仿宋简体"/>
          <w:color w:val="000000"/>
          <w:kern w:val="0"/>
          <w:sz w:val="30"/>
          <w:szCs w:val="30"/>
        </w:rPr>
        <w:t>交割热轧卷板的每批商品的有效期限为生产日起的</w:t>
      </w:r>
      <w:r>
        <w:rPr>
          <w:rFonts w:eastAsia="方正仿宋简体"/>
          <w:color w:val="000000"/>
          <w:kern w:val="0"/>
          <w:sz w:val="30"/>
          <w:szCs w:val="30"/>
        </w:rPr>
        <w:t>360</w:t>
      </w:r>
      <w:r>
        <w:rPr>
          <w:rFonts w:eastAsia="方正仿宋简体"/>
          <w:color w:val="000000"/>
          <w:kern w:val="0"/>
          <w:sz w:val="30"/>
          <w:szCs w:val="30"/>
        </w:rPr>
        <w:t>天内，每一仓库标准仓单的热轧卷板以其中最早的生产日期作为该标准仓单的生产日期</w:t>
      </w:r>
      <w:r>
        <w:rPr>
          <w:rFonts w:eastAsia="方正仿宋简体"/>
          <w:sz w:val="30"/>
          <w:szCs w:val="30"/>
        </w:rPr>
        <w:t>。</w:t>
      </w:r>
    </w:p>
    <w:p w14:paraId="44E80B91" w14:textId="77777777" w:rsidR="00BF3068" w:rsidRDefault="00B620C0">
      <w:pPr>
        <w:spacing w:line="560" w:lineRule="exact"/>
        <w:ind w:firstLineChars="200" w:firstLine="602"/>
        <w:rPr>
          <w:rFonts w:eastAsia="方正仿宋简体"/>
          <w:sz w:val="30"/>
          <w:szCs w:val="30"/>
          <w:highlight w:val="yellow"/>
        </w:rPr>
      </w:pPr>
      <w:r>
        <w:rPr>
          <w:rFonts w:eastAsia="方正仿宋简体"/>
          <w:b/>
          <w:sz w:val="30"/>
          <w:szCs w:val="30"/>
        </w:rPr>
        <w:t>第二十六条</w:t>
      </w:r>
      <w:r>
        <w:rPr>
          <w:rFonts w:eastAsia="方正仿宋简体"/>
          <w:b/>
          <w:sz w:val="30"/>
          <w:szCs w:val="30"/>
        </w:rPr>
        <w:t xml:space="preserve"> </w:t>
      </w:r>
      <w:r>
        <w:rPr>
          <w:rFonts w:eastAsia="方正仿宋简体"/>
          <w:color w:val="000000"/>
          <w:kern w:val="0"/>
          <w:sz w:val="30"/>
          <w:szCs w:val="30"/>
        </w:rPr>
        <w:t>用于交割的热轧卷板每一仓库标准仓单的标的实物应当作为一个堆放垛位进行堆放</w:t>
      </w:r>
      <w:r>
        <w:rPr>
          <w:rFonts w:eastAsia="方正仿宋简体"/>
          <w:sz w:val="30"/>
          <w:szCs w:val="30"/>
        </w:rPr>
        <w:t>。</w:t>
      </w:r>
    </w:p>
    <w:p w14:paraId="60784A6A" w14:textId="77777777" w:rsidR="00BF3068" w:rsidRDefault="00B620C0">
      <w:pPr>
        <w:spacing w:line="560" w:lineRule="exact"/>
        <w:ind w:firstLineChars="200" w:firstLine="602"/>
        <w:rPr>
          <w:rFonts w:eastAsia="方正仿宋简体"/>
          <w:color w:val="000000"/>
          <w:kern w:val="0"/>
          <w:sz w:val="30"/>
          <w:szCs w:val="30"/>
        </w:rPr>
      </w:pPr>
      <w:r>
        <w:rPr>
          <w:rFonts w:eastAsia="方正仿宋简体"/>
          <w:b/>
          <w:sz w:val="30"/>
          <w:szCs w:val="30"/>
        </w:rPr>
        <w:t>第二十七条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实物交割完成后，若买方对交割商品的质量、数量有异议的（有异议的热轧卷板应当在交割仓库内），应当在实物交割月份的下一月份的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热轧卷板每批商品的有效期应当涵盖本次交割的最后交割日。即使交割热轧卷板每批商品的有效期截止时间早于质量异议期的提交截止时间，如果该批商品的质量鉴定结论不合格，卖方对该批交割商品的实际质量仍需承担全部责任。</w:t>
      </w:r>
    </w:p>
    <w:p w14:paraId="595755B4" w14:textId="77777777" w:rsidR="00BF3068" w:rsidRDefault="00B620C0">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14:paraId="1443DA02" w14:textId="77777777" w:rsidR="00BF3068" w:rsidRDefault="00B620C0">
      <w:pPr>
        <w:spacing w:line="560" w:lineRule="exact"/>
        <w:ind w:firstLineChars="200" w:firstLine="602"/>
        <w:rPr>
          <w:rFonts w:eastAsia="方正仿宋简体"/>
          <w:sz w:val="30"/>
          <w:szCs w:val="30"/>
        </w:rPr>
      </w:pPr>
      <w:r>
        <w:rPr>
          <w:rFonts w:eastAsia="方正仿宋简体" w:hint="eastAsia"/>
          <w:b/>
          <w:sz w:val="30"/>
          <w:szCs w:val="30"/>
        </w:rPr>
        <w:t>第二十八</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申请单位申请交割厂库，净资产不足</w:t>
      </w:r>
      <w:r>
        <w:rPr>
          <w:rFonts w:eastAsia="方正仿宋简体" w:hint="eastAsia"/>
          <w:sz w:val="30"/>
          <w:szCs w:val="30"/>
        </w:rPr>
        <w:t>1</w:t>
      </w:r>
      <w:r>
        <w:rPr>
          <w:rFonts w:eastAsia="方正仿宋简体" w:hint="eastAsia"/>
          <w:sz w:val="30"/>
          <w:szCs w:val="30"/>
        </w:rPr>
        <w:t>亿元的，应当向交易所提供有关单位出具的担保函。</w:t>
      </w:r>
    </w:p>
    <w:p w14:paraId="75B87395" w14:textId="77777777" w:rsidR="00BF3068" w:rsidRDefault="00B620C0">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14:paraId="4F81CCED" w14:textId="77777777" w:rsidR="00BF3068" w:rsidRDefault="00B620C0">
      <w:pPr>
        <w:spacing w:line="56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厂库提货地分为基准提货地和非基准提货地。</w:t>
      </w:r>
    </w:p>
    <w:p w14:paraId="71DD8259" w14:textId="77777777" w:rsidR="00BF3068" w:rsidRDefault="00B620C0">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基准提货地名单以及对应的提货升贴水由交易所确定并公告。</w:t>
      </w:r>
    </w:p>
    <w:p w14:paraId="663FC32A" w14:textId="77777777" w:rsidR="00BF3068" w:rsidRDefault="00B620C0">
      <w:pPr>
        <w:spacing w:line="560" w:lineRule="exact"/>
        <w:ind w:firstLineChars="200" w:firstLine="600"/>
        <w:rPr>
          <w:rFonts w:eastAsia="方正仿宋简体"/>
          <w:sz w:val="30"/>
          <w:szCs w:val="30"/>
        </w:rPr>
      </w:pPr>
      <w:r>
        <w:rPr>
          <w:rFonts w:eastAsia="方正仿宋简体" w:hint="eastAsia"/>
          <w:sz w:val="30"/>
          <w:szCs w:val="30"/>
        </w:rPr>
        <w:t>非基准提货地名单以及对应的提货升贴水由厂库确定、调整，并通过交易所网站公布。</w:t>
      </w:r>
    </w:p>
    <w:p w14:paraId="4A678000" w14:textId="77777777" w:rsidR="00BF3068" w:rsidRDefault="00B620C0">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14:paraId="5B1E7DCB" w14:textId="77777777" w:rsidR="00BF3068" w:rsidRDefault="00B620C0">
      <w:pPr>
        <w:spacing w:line="560" w:lineRule="exact"/>
        <w:ind w:firstLineChars="200" w:firstLine="600"/>
        <w:rPr>
          <w:rFonts w:eastAsia="方正仿宋简体"/>
          <w:b/>
          <w:sz w:val="30"/>
          <w:szCs w:val="30"/>
        </w:rPr>
      </w:pPr>
      <w:r>
        <w:rPr>
          <w:rFonts w:eastAsia="方正仿宋简体" w:hint="eastAsia"/>
          <w:sz w:val="30"/>
          <w:szCs w:val="30"/>
        </w:rPr>
        <w:t>厂库标准仓单货主在提交提货申请时，应当选择并确认提货地。</w:t>
      </w:r>
    </w:p>
    <w:p w14:paraId="47144EA0"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14:paraId="1776F1BB" w14:textId="77777777" w:rsidR="00BF3068" w:rsidRDefault="00B620C0">
      <w:pPr>
        <w:spacing w:line="560" w:lineRule="exact"/>
        <w:ind w:firstLineChars="200" w:firstLine="600"/>
        <w:rPr>
          <w:rFonts w:eastAsia="方正仿宋简体"/>
          <w:b/>
          <w:bCs/>
          <w:sz w:val="30"/>
          <w:szCs w:val="30"/>
          <w:shd w:val="clear" w:color="FFFFFF" w:fill="D9D9D9"/>
        </w:rPr>
      </w:pPr>
      <w:r>
        <w:rPr>
          <w:rFonts w:eastAsia="方正仿宋简体"/>
          <w:sz w:val="30"/>
          <w:szCs w:val="30"/>
        </w:rPr>
        <w:t>厂库签发厂库标准仓单前，须向交易所提交签发申请。申请内容包括品种、牌号、商标、会员单位、货主名称、拟申请签发标准仓单数量等。</w:t>
      </w:r>
    </w:p>
    <w:p w14:paraId="0667303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厂库标准仓单交割有效期的规定</w:t>
      </w:r>
    </w:p>
    <w:p w14:paraId="1C79019B"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厂库标准仓单的交割有效期为厂库标准仓单生成之日起</w:t>
      </w:r>
      <w:r>
        <w:rPr>
          <w:rFonts w:eastAsia="方正仿宋简体" w:hint="eastAsia"/>
          <w:sz w:val="30"/>
          <w:szCs w:val="30"/>
        </w:rPr>
        <w:t>1</w:t>
      </w:r>
      <w:r>
        <w:rPr>
          <w:rFonts w:eastAsia="方正仿宋简体"/>
          <w:sz w:val="30"/>
          <w:szCs w:val="30"/>
        </w:rPr>
        <w:t>80</w:t>
      </w:r>
      <w:r>
        <w:rPr>
          <w:rFonts w:eastAsia="方正仿宋简体" w:hint="eastAsia"/>
          <w:sz w:val="30"/>
          <w:szCs w:val="30"/>
        </w:rPr>
        <w:t>日</w:t>
      </w:r>
      <w:r>
        <w:rPr>
          <w:rFonts w:eastAsia="方正仿宋简体"/>
          <w:sz w:val="30"/>
          <w:szCs w:val="30"/>
        </w:rPr>
        <w:t>。</w:t>
      </w:r>
    </w:p>
    <w:p w14:paraId="20F6FADE"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14:paraId="36E56DF9"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eastAsia="方正仿宋简体" w:hint="eastAsia"/>
          <w:sz w:val="30"/>
          <w:szCs w:val="30"/>
        </w:rPr>
        <w:t>。</w:t>
      </w:r>
    </w:p>
    <w:p w14:paraId="55EA2E73"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个工作日内、参照货主提交的提货日、规格及企业的生产计划等，确认货主的提货申请</w:t>
      </w:r>
      <w:r>
        <w:rPr>
          <w:rFonts w:eastAsia="方正仿宋简体" w:hint="eastAsia"/>
          <w:sz w:val="30"/>
          <w:szCs w:val="30"/>
        </w:rPr>
        <w:t>。</w:t>
      </w:r>
    </w:p>
    <w:p w14:paraId="54182689"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eastAsia="方正仿宋简体" w:hint="eastAsia"/>
          <w:sz w:val="30"/>
          <w:szCs w:val="30"/>
        </w:rPr>
        <w:t>。</w:t>
      </w:r>
    </w:p>
    <w:p w14:paraId="296109DE"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14:paraId="050E61CE" w14:textId="77777777" w:rsidR="00BF3068" w:rsidRDefault="00B620C0">
      <w:pPr>
        <w:spacing w:line="560" w:lineRule="exact"/>
        <w:ind w:firstLineChars="200" w:firstLine="602"/>
        <w:rPr>
          <w:rFonts w:eastAsia="方正仿宋简体"/>
          <w:sz w:val="30"/>
          <w:szCs w:val="30"/>
        </w:rPr>
      </w:pPr>
      <w:r>
        <w:rPr>
          <w:rFonts w:eastAsia="方正仿宋简体" w:hint="eastAsia"/>
          <w:b/>
          <w:sz w:val="30"/>
          <w:szCs w:val="30"/>
        </w:rPr>
        <w:t>第三十四</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热轧卷板厂库标准仓单货主向对应厂库申请提货的，厂库提供的出库商品规格（厚度分布）应当符合下列要求：</w:t>
      </w:r>
    </w:p>
    <w:p w14:paraId="55A77476" w14:textId="77777777" w:rsidR="00BF3068" w:rsidRDefault="00B620C0">
      <w:pPr>
        <w:numPr>
          <w:ilvl w:val="0"/>
          <w:numId w:val="1"/>
        </w:numPr>
        <w:spacing w:line="560" w:lineRule="exact"/>
        <w:ind w:firstLineChars="200" w:firstLine="600"/>
        <w:rPr>
          <w:rFonts w:eastAsia="方正仿宋简体"/>
          <w:sz w:val="30"/>
          <w:szCs w:val="30"/>
        </w:rPr>
      </w:pPr>
      <w:r>
        <w:rPr>
          <w:rFonts w:eastAsia="方正仿宋简体" w:hint="eastAsia"/>
          <w:sz w:val="30"/>
          <w:szCs w:val="30"/>
        </w:rPr>
        <w:t>厂库标准仓单货主提货数量≤</w:t>
      </w:r>
      <w:r>
        <w:rPr>
          <w:rFonts w:eastAsia="方正仿宋简体" w:hint="eastAsia"/>
          <w:sz w:val="30"/>
          <w:szCs w:val="30"/>
        </w:rPr>
        <w:t>900</w:t>
      </w:r>
      <w:r>
        <w:rPr>
          <w:rFonts w:eastAsia="方正仿宋简体" w:hint="eastAsia"/>
          <w:sz w:val="30"/>
          <w:szCs w:val="30"/>
        </w:rPr>
        <w:t>吨，出库商品可以是同一厚度。</w:t>
      </w:r>
    </w:p>
    <w:p w14:paraId="519CEC42" w14:textId="77777777" w:rsidR="00BF3068" w:rsidRDefault="00B620C0">
      <w:pPr>
        <w:spacing w:line="560" w:lineRule="exact"/>
        <w:ind w:firstLineChars="200" w:firstLine="600"/>
        <w:rPr>
          <w:rFonts w:eastAsia="方正仿宋简体"/>
          <w:sz w:val="30"/>
          <w:szCs w:val="30"/>
        </w:rPr>
      </w:pPr>
      <w:r>
        <w:rPr>
          <w:rFonts w:eastAsia="方正仿宋简体" w:hint="eastAsia"/>
          <w:sz w:val="30"/>
          <w:szCs w:val="30"/>
        </w:rPr>
        <w:t>2. 900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1800</w:t>
      </w:r>
      <w:r>
        <w:rPr>
          <w:rFonts w:eastAsia="方正仿宋简体" w:hint="eastAsia"/>
          <w:sz w:val="30"/>
          <w:szCs w:val="30"/>
        </w:rPr>
        <w:t>吨，出库商品至少是两个厚度，并且每一厚度提货数量不得高于其总提货数量的</w:t>
      </w:r>
      <w:r>
        <w:rPr>
          <w:rFonts w:eastAsia="方正仿宋简体" w:hint="eastAsia"/>
          <w:sz w:val="30"/>
          <w:szCs w:val="30"/>
        </w:rPr>
        <w:t>60%</w:t>
      </w:r>
      <w:r>
        <w:rPr>
          <w:rFonts w:eastAsia="方正仿宋简体" w:hint="eastAsia"/>
          <w:sz w:val="30"/>
          <w:szCs w:val="30"/>
        </w:rPr>
        <w:t>。</w:t>
      </w:r>
    </w:p>
    <w:p w14:paraId="46CD020C" w14:textId="77777777" w:rsidR="00BF3068" w:rsidRDefault="00B620C0">
      <w:pPr>
        <w:numPr>
          <w:ilvl w:val="0"/>
          <w:numId w:val="2"/>
        </w:numPr>
        <w:spacing w:line="560" w:lineRule="exact"/>
        <w:ind w:firstLineChars="200" w:firstLine="600"/>
        <w:rPr>
          <w:rFonts w:eastAsia="方正仿宋简体"/>
          <w:sz w:val="30"/>
          <w:szCs w:val="30"/>
        </w:rPr>
      </w:pPr>
      <w:r>
        <w:rPr>
          <w:rFonts w:eastAsia="方正仿宋简体" w:hint="eastAsia"/>
          <w:sz w:val="30"/>
          <w:szCs w:val="30"/>
        </w:rPr>
        <w:t>1800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3600</w:t>
      </w:r>
      <w:r>
        <w:rPr>
          <w:rFonts w:eastAsia="方正仿宋简体" w:hint="eastAsia"/>
          <w:sz w:val="30"/>
          <w:szCs w:val="30"/>
        </w:rPr>
        <w:t>吨，出库商品至少是三个厚度，并且每一厚度提货数量不得高于其总提货数量的</w:t>
      </w:r>
      <w:r>
        <w:rPr>
          <w:rFonts w:eastAsia="方正仿宋简体" w:hint="eastAsia"/>
          <w:sz w:val="30"/>
          <w:szCs w:val="30"/>
        </w:rPr>
        <w:t>45%</w:t>
      </w:r>
      <w:r>
        <w:rPr>
          <w:rFonts w:eastAsia="方正仿宋简体" w:hint="eastAsia"/>
          <w:sz w:val="30"/>
          <w:szCs w:val="30"/>
        </w:rPr>
        <w:t>。</w:t>
      </w:r>
    </w:p>
    <w:p w14:paraId="479837F4" w14:textId="77777777" w:rsidR="00BF3068" w:rsidRDefault="00B620C0">
      <w:pPr>
        <w:numPr>
          <w:ilvl w:val="0"/>
          <w:numId w:val="3"/>
        </w:numPr>
        <w:spacing w:line="560" w:lineRule="exact"/>
        <w:ind w:firstLineChars="200" w:firstLine="600"/>
        <w:rPr>
          <w:rFonts w:eastAsia="方正仿宋简体"/>
          <w:sz w:val="30"/>
          <w:szCs w:val="30"/>
        </w:rPr>
      </w:pPr>
      <w:r>
        <w:rPr>
          <w:rFonts w:eastAsia="方正仿宋简体" w:hint="eastAsia"/>
          <w:sz w:val="30"/>
          <w:szCs w:val="30"/>
        </w:rPr>
        <w:t>3600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7200</w:t>
      </w:r>
      <w:r>
        <w:rPr>
          <w:rFonts w:eastAsia="方正仿宋简体" w:hint="eastAsia"/>
          <w:sz w:val="30"/>
          <w:szCs w:val="30"/>
        </w:rPr>
        <w:t>吨，出库商品至少是四个厚度，并且每一厚度提货数量不得高于其总提货数量的</w:t>
      </w:r>
      <w:r>
        <w:rPr>
          <w:rFonts w:eastAsia="方正仿宋简体" w:hint="eastAsia"/>
          <w:sz w:val="30"/>
          <w:szCs w:val="30"/>
        </w:rPr>
        <w:t>35%</w:t>
      </w:r>
      <w:r>
        <w:rPr>
          <w:rFonts w:eastAsia="方正仿宋简体" w:hint="eastAsia"/>
          <w:sz w:val="30"/>
          <w:szCs w:val="30"/>
        </w:rPr>
        <w:t>。</w:t>
      </w:r>
    </w:p>
    <w:p w14:paraId="2E9148C5" w14:textId="77777777" w:rsidR="00BF3068" w:rsidRDefault="00B620C0">
      <w:pPr>
        <w:numPr>
          <w:ilvl w:val="0"/>
          <w:numId w:val="3"/>
        </w:numPr>
        <w:spacing w:line="560" w:lineRule="exact"/>
        <w:ind w:firstLineChars="200" w:firstLine="600"/>
        <w:rPr>
          <w:rFonts w:eastAsia="方正仿宋简体"/>
          <w:sz w:val="30"/>
          <w:szCs w:val="30"/>
        </w:rPr>
      </w:pPr>
      <w:r>
        <w:rPr>
          <w:rFonts w:eastAsia="方正仿宋简体" w:hint="eastAsia"/>
          <w:sz w:val="30"/>
          <w:szCs w:val="30"/>
        </w:rPr>
        <w:t>7200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12000</w:t>
      </w:r>
      <w:r>
        <w:rPr>
          <w:rFonts w:eastAsia="方正仿宋简体" w:hint="eastAsia"/>
          <w:sz w:val="30"/>
          <w:szCs w:val="30"/>
        </w:rPr>
        <w:t>吨，出库商品至少是五个厚度，并且每一厚度提货数量不得高于其总提货数量的</w:t>
      </w:r>
      <w:r>
        <w:rPr>
          <w:rFonts w:eastAsia="方正仿宋简体" w:hint="eastAsia"/>
          <w:sz w:val="30"/>
          <w:szCs w:val="30"/>
        </w:rPr>
        <w:t>25%</w:t>
      </w:r>
      <w:r>
        <w:rPr>
          <w:rFonts w:eastAsia="方正仿宋简体" w:hint="eastAsia"/>
          <w:sz w:val="30"/>
          <w:szCs w:val="30"/>
        </w:rPr>
        <w:t>。</w:t>
      </w:r>
    </w:p>
    <w:p w14:paraId="2EF61273" w14:textId="77777777" w:rsidR="00BF3068" w:rsidRDefault="00B620C0">
      <w:pPr>
        <w:numPr>
          <w:ilvl w:val="0"/>
          <w:numId w:val="3"/>
        </w:numPr>
        <w:spacing w:line="560" w:lineRule="exact"/>
        <w:ind w:firstLineChars="200" w:firstLine="600"/>
        <w:rPr>
          <w:rFonts w:eastAsia="方正仿宋简体"/>
          <w:sz w:val="30"/>
          <w:szCs w:val="30"/>
        </w:rPr>
      </w:pPr>
      <w:r>
        <w:rPr>
          <w:rFonts w:eastAsia="方正仿宋简体" w:hint="eastAsia"/>
          <w:sz w:val="30"/>
          <w:szCs w:val="30"/>
        </w:rPr>
        <w:t>厂库标准仓单货主提货数量</w:t>
      </w:r>
      <w:r>
        <w:rPr>
          <w:rFonts w:eastAsia="方正仿宋简体" w:hint="eastAsia"/>
          <w:sz w:val="30"/>
          <w:szCs w:val="30"/>
        </w:rPr>
        <w:t>&gt;12000</w:t>
      </w:r>
      <w:r>
        <w:rPr>
          <w:rFonts w:eastAsia="方正仿宋简体" w:hint="eastAsia"/>
          <w:sz w:val="30"/>
          <w:szCs w:val="30"/>
        </w:rPr>
        <w:t>吨，出库商品至少是六个厚度，并且每一厚度提货数量不得高于其总提货数量的</w:t>
      </w:r>
      <w:r>
        <w:rPr>
          <w:rFonts w:eastAsia="方正仿宋简体" w:hint="eastAsia"/>
          <w:sz w:val="30"/>
          <w:szCs w:val="30"/>
        </w:rPr>
        <w:t>20%</w:t>
      </w:r>
      <w:r>
        <w:rPr>
          <w:rFonts w:eastAsia="方正仿宋简体" w:hint="eastAsia"/>
          <w:sz w:val="30"/>
          <w:szCs w:val="30"/>
        </w:rPr>
        <w:t>。</w:t>
      </w:r>
    </w:p>
    <w:p w14:paraId="76732EBC"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出库商品生产日期的规定</w:t>
      </w:r>
    </w:p>
    <w:p w14:paraId="7126EBD6"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出库商品的生产日期应在货主和厂库之间已经确定的提货日之前的</w:t>
      </w:r>
      <w:r>
        <w:rPr>
          <w:rFonts w:eastAsia="方正仿宋简体" w:hint="eastAsia"/>
          <w:sz w:val="30"/>
          <w:szCs w:val="30"/>
        </w:rPr>
        <w:t>三百六十日</w:t>
      </w:r>
      <w:r>
        <w:rPr>
          <w:rFonts w:eastAsia="方正仿宋简体"/>
          <w:sz w:val="30"/>
          <w:szCs w:val="30"/>
        </w:rPr>
        <w:t>之内</w:t>
      </w:r>
      <w:r>
        <w:rPr>
          <w:rFonts w:eastAsia="方正仿宋简体" w:hint="eastAsia"/>
          <w:sz w:val="30"/>
          <w:szCs w:val="30"/>
        </w:rPr>
        <w:t>，组成每一厂库标准仓单出库的热轧卷板生产日期应当不超过连续三十日。</w:t>
      </w:r>
    </w:p>
    <w:p w14:paraId="2A1ADAFB"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出库商品重量以厂库检重为准。</w:t>
      </w:r>
    </w:p>
    <w:p w14:paraId="7B5C95F8"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eastAsia="方正仿宋简体" w:hint="eastAsia"/>
          <w:sz w:val="30"/>
          <w:szCs w:val="30"/>
        </w:rPr>
        <w:t>。</w:t>
      </w:r>
    </w:p>
    <w:p w14:paraId="28536DA4"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14:paraId="3050F959"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14:paraId="7E0B9376"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日内（含第十五日）到厂库提货，厂库标准仓单被注销，货主须向厂库支付滞纳金，对应商品转为现货，具体提货事宜由双方自行协商</w:t>
      </w:r>
      <w:r>
        <w:rPr>
          <w:rFonts w:eastAsia="方正仿宋简体" w:hint="eastAsia"/>
          <w:sz w:val="30"/>
          <w:szCs w:val="30"/>
        </w:rPr>
        <w:t>。</w:t>
      </w:r>
    </w:p>
    <w:p w14:paraId="46765C38"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14:paraId="27BD92A0"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r>
        <w:rPr>
          <w:rFonts w:eastAsia="方正仿宋简体" w:hint="eastAsia"/>
          <w:sz w:val="30"/>
          <w:szCs w:val="30"/>
        </w:rPr>
        <w:t>。</w:t>
      </w:r>
    </w:p>
    <w:p w14:paraId="2A2468A5"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14:paraId="059D5B83"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日（含第十五日）内未完成按日发货计划相应商品的发货，货主可做如下选择：</w:t>
      </w:r>
    </w:p>
    <w:p w14:paraId="4E82A5F7"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日起，终止接受厂库应发而未发的剩余商品，厂库须向货主返还货款并支付追加赔偿金</w:t>
      </w:r>
      <w:r>
        <w:rPr>
          <w:rFonts w:eastAsia="方正仿宋简体" w:hint="eastAsia"/>
          <w:sz w:val="30"/>
          <w:szCs w:val="30"/>
        </w:rPr>
        <w:t>。</w:t>
      </w:r>
    </w:p>
    <w:p w14:paraId="48EF33FD"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14:paraId="0AB757D5"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r>
        <w:rPr>
          <w:rFonts w:eastAsia="方正仿宋简体" w:hint="eastAsia"/>
          <w:sz w:val="30"/>
          <w:szCs w:val="30"/>
        </w:rPr>
        <w:t>。</w:t>
      </w:r>
    </w:p>
    <w:p w14:paraId="346A8AEA"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14:paraId="1AECDE66"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sz w:val="30"/>
          <w:szCs w:val="30"/>
        </w:rPr>
        <w:t>当厂库发生第</w:t>
      </w:r>
      <w:r>
        <w:rPr>
          <w:rFonts w:eastAsia="方正仿宋简体" w:hint="eastAsia"/>
          <w:sz w:val="30"/>
          <w:szCs w:val="30"/>
        </w:rPr>
        <w:t>三十九</w:t>
      </w:r>
      <w:r>
        <w:rPr>
          <w:rFonts w:eastAsia="方正仿宋简体"/>
          <w:sz w:val="30"/>
          <w:szCs w:val="30"/>
        </w:rPr>
        <w:t>条、第</w:t>
      </w:r>
      <w:r>
        <w:rPr>
          <w:rFonts w:eastAsia="方正仿宋简体" w:hint="eastAsia"/>
          <w:sz w:val="30"/>
          <w:szCs w:val="30"/>
        </w:rPr>
        <w:t>四十</w:t>
      </w:r>
      <w:r>
        <w:rPr>
          <w:rFonts w:eastAsia="方正仿宋简体"/>
          <w:sz w:val="30"/>
          <w:szCs w:val="30"/>
        </w:rPr>
        <w:t>条中的违约行为时，首先由厂库直接向货主支付赔偿金。厂库未支付的或支付数额不足的，交易所按照以下步骤向货主支付赔偿金：</w:t>
      </w:r>
    </w:p>
    <w:p w14:paraId="4C790679"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（一）动用厂库提供的担保方式支付</w:t>
      </w:r>
      <w:r>
        <w:rPr>
          <w:rFonts w:eastAsia="方正仿宋简体" w:hint="eastAsia"/>
          <w:sz w:val="30"/>
          <w:szCs w:val="30"/>
        </w:rPr>
        <w:t>；</w:t>
      </w:r>
    </w:p>
    <w:p w14:paraId="775BF53E"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r>
        <w:rPr>
          <w:rFonts w:eastAsia="方正仿宋简体" w:hint="eastAsia"/>
          <w:sz w:val="30"/>
          <w:szCs w:val="30"/>
        </w:rPr>
        <w:t>。</w:t>
      </w:r>
    </w:p>
    <w:p w14:paraId="7AC85C3E"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w:t>
      </w:r>
      <w:r>
        <w:rPr>
          <w:rFonts w:eastAsia="方正仿宋简体" w:hint="eastAsia"/>
          <w:sz w:val="30"/>
          <w:szCs w:val="30"/>
        </w:rPr>
        <w:t>三十七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条中的违约行为时，首先由货主直接向厂库支付赔偿金。货主未支付的或支付数额不足的，厂库可通过包括法律程序在内的其他手段向货主追索。</w:t>
      </w:r>
    </w:p>
    <w:p w14:paraId="0E324C1C"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四十三</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条、第三十</w:t>
      </w:r>
      <w:r>
        <w:rPr>
          <w:rFonts w:eastAsia="方正仿宋简体" w:hint="eastAsia"/>
          <w:sz w:val="30"/>
          <w:szCs w:val="30"/>
        </w:rPr>
        <w:t>九</w:t>
      </w:r>
      <w:r>
        <w:rPr>
          <w:rFonts w:eastAsia="方正仿宋简体"/>
          <w:sz w:val="30"/>
          <w:szCs w:val="30"/>
        </w:rPr>
        <w:t>条、第</w:t>
      </w:r>
      <w:r>
        <w:rPr>
          <w:rFonts w:eastAsia="方正仿宋简体" w:hint="eastAsia"/>
          <w:sz w:val="30"/>
          <w:szCs w:val="30"/>
        </w:rPr>
        <w:t>四十</w:t>
      </w:r>
      <w:r>
        <w:rPr>
          <w:rFonts w:eastAsia="方正仿宋简体"/>
          <w:sz w:val="30"/>
          <w:szCs w:val="30"/>
        </w:rPr>
        <w:t>条所述情况而给厂库或货主其中一方造成损失，如双方约定另行协商处理，则按双方协议而定，书面协议报交易所备案。</w:t>
      </w:r>
    </w:p>
    <w:p w14:paraId="1715A357"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14:paraId="69FA52C1"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若提货方对交割商品的质量有异议的，须在实物交收完成后</w:t>
      </w:r>
      <w:r>
        <w:rPr>
          <w:rFonts w:eastAsia="方正仿宋简体" w:hint="eastAsia"/>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14:paraId="0DD2A253" w14:textId="77777777" w:rsidR="00BF3068" w:rsidRDefault="00B620C0">
      <w:pPr>
        <w:spacing w:line="560" w:lineRule="exact"/>
        <w:ind w:firstLineChars="200" w:firstLine="602"/>
        <w:rPr>
          <w:rFonts w:eastAsia="方正仿宋简体"/>
          <w:sz w:val="30"/>
          <w:szCs w:val="30"/>
        </w:rPr>
      </w:pPr>
      <w:r>
        <w:rPr>
          <w:rFonts w:eastAsia="方正仿宋简体" w:hint="eastAsia"/>
          <w:b/>
          <w:sz w:val="30"/>
          <w:szCs w:val="30"/>
        </w:rPr>
        <w:t>第四十五</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14:paraId="133D5E55" w14:textId="77777777" w:rsidR="00BF3068" w:rsidRDefault="00B620C0">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14:paraId="7C7CD5D0" w14:textId="77777777" w:rsidR="00BF3068" w:rsidRDefault="00B620C0">
      <w:pPr>
        <w:spacing w:line="560" w:lineRule="exact"/>
        <w:ind w:firstLineChars="200" w:firstLine="602"/>
        <w:jc w:val="left"/>
        <w:rPr>
          <w:rFonts w:eastAsia="方正仿宋简体"/>
          <w:sz w:val="30"/>
          <w:szCs w:val="30"/>
        </w:rPr>
      </w:pPr>
      <w:r>
        <w:rPr>
          <w:rFonts w:eastAsia="方正仿宋简体"/>
          <w:b/>
          <w:sz w:val="30"/>
          <w:szCs w:val="30"/>
        </w:rPr>
        <w:t>第四十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热轧卷板期货合约的最低交易保证金为合约价值的</w:t>
      </w:r>
      <w:r>
        <w:rPr>
          <w:rFonts w:eastAsia="方正仿宋简体"/>
          <w:sz w:val="30"/>
          <w:szCs w:val="30"/>
        </w:rPr>
        <w:t>4%</w:t>
      </w:r>
      <w:r>
        <w:rPr>
          <w:rFonts w:eastAsia="方正仿宋简体"/>
          <w:sz w:val="30"/>
          <w:szCs w:val="30"/>
        </w:rPr>
        <w:t>。</w:t>
      </w:r>
    </w:p>
    <w:p w14:paraId="7CD7077A" w14:textId="77777777" w:rsidR="00BF3068" w:rsidRDefault="00B620C0">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热轧卷板期货合约上市运行不同阶段的交易保证金收取标准为：</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3808"/>
      </w:tblGrid>
      <w:tr w:rsidR="00BF3068" w14:paraId="53E0D682" w14:textId="77777777" w:rsidTr="00633B0C">
        <w:trPr>
          <w:cantSplit/>
          <w:trHeight w:hRule="exact" w:val="520"/>
          <w:jc w:val="center"/>
        </w:trPr>
        <w:tc>
          <w:tcPr>
            <w:tcW w:w="4585" w:type="dxa"/>
            <w:tcBorders>
              <w:top w:val="single" w:sz="4" w:space="0" w:color="auto"/>
              <w:left w:val="single" w:sz="4" w:space="0" w:color="auto"/>
              <w:bottom w:val="single" w:sz="4" w:space="0" w:color="auto"/>
              <w:right w:val="single" w:sz="4" w:space="0" w:color="auto"/>
            </w:tcBorders>
            <w:vAlign w:val="center"/>
          </w:tcPr>
          <w:p w14:paraId="29A8CB07" w14:textId="77777777" w:rsidR="00BF3068" w:rsidRDefault="00B620C0">
            <w:pPr>
              <w:spacing w:line="560" w:lineRule="exact"/>
              <w:jc w:val="center"/>
              <w:rPr>
                <w:rFonts w:eastAsia="方正仿宋简体"/>
                <w:b/>
                <w:bCs/>
                <w:color w:val="000000"/>
                <w:sz w:val="24"/>
              </w:rPr>
            </w:pPr>
            <w:r>
              <w:rPr>
                <w:rFonts w:eastAsia="方正仿宋简体"/>
                <w:b/>
                <w:bCs/>
                <w:color w:val="000000"/>
                <w:sz w:val="24"/>
              </w:rPr>
              <w:t>交易时间段</w:t>
            </w:r>
          </w:p>
        </w:tc>
        <w:tc>
          <w:tcPr>
            <w:tcW w:w="3808" w:type="dxa"/>
            <w:tcBorders>
              <w:top w:val="single" w:sz="4" w:space="0" w:color="auto"/>
              <w:left w:val="single" w:sz="4" w:space="0" w:color="auto"/>
              <w:bottom w:val="single" w:sz="4" w:space="0" w:color="auto"/>
              <w:right w:val="single" w:sz="4" w:space="0" w:color="auto"/>
            </w:tcBorders>
            <w:vAlign w:val="center"/>
          </w:tcPr>
          <w:p w14:paraId="604FE3E8" w14:textId="77777777" w:rsidR="00BF3068" w:rsidRDefault="00B620C0">
            <w:pPr>
              <w:spacing w:line="560" w:lineRule="exact"/>
              <w:jc w:val="center"/>
              <w:rPr>
                <w:rFonts w:eastAsia="方正仿宋简体"/>
                <w:b/>
                <w:bCs/>
                <w:color w:val="000000"/>
                <w:sz w:val="24"/>
              </w:rPr>
            </w:pPr>
            <w:r>
              <w:rPr>
                <w:rFonts w:eastAsia="方正仿宋简体"/>
                <w:b/>
                <w:bCs/>
                <w:color w:val="000000"/>
                <w:sz w:val="24"/>
              </w:rPr>
              <w:t>热轧卷板交易保证金比例</w:t>
            </w:r>
          </w:p>
        </w:tc>
      </w:tr>
      <w:tr w:rsidR="00BF3068" w14:paraId="192B0518" w14:textId="77777777" w:rsidTr="00633B0C">
        <w:trPr>
          <w:cantSplit/>
          <w:trHeight w:hRule="exact" w:val="520"/>
          <w:jc w:val="center"/>
        </w:trPr>
        <w:tc>
          <w:tcPr>
            <w:tcW w:w="4585" w:type="dxa"/>
            <w:tcBorders>
              <w:top w:val="single" w:sz="4" w:space="0" w:color="auto"/>
              <w:left w:val="single" w:sz="4" w:space="0" w:color="auto"/>
              <w:bottom w:val="single" w:sz="4" w:space="0" w:color="auto"/>
              <w:right w:val="single" w:sz="4" w:space="0" w:color="auto"/>
            </w:tcBorders>
            <w:vAlign w:val="center"/>
          </w:tcPr>
          <w:p w14:paraId="3F1BD4A8" w14:textId="77777777" w:rsidR="00BF3068" w:rsidRDefault="00B620C0">
            <w:pPr>
              <w:spacing w:line="560" w:lineRule="exact"/>
              <w:jc w:val="center"/>
              <w:rPr>
                <w:rFonts w:eastAsia="方正仿宋简体"/>
                <w:bCs/>
                <w:color w:val="000000"/>
                <w:sz w:val="24"/>
              </w:rPr>
            </w:pPr>
            <w:r>
              <w:rPr>
                <w:rFonts w:eastAsia="方正仿宋简体"/>
                <w:bCs/>
                <w:color w:val="000000"/>
                <w:sz w:val="24"/>
              </w:rPr>
              <w:t>合约挂牌之日起</w:t>
            </w:r>
          </w:p>
        </w:tc>
        <w:tc>
          <w:tcPr>
            <w:tcW w:w="3808" w:type="dxa"/>
            <w:tcBorders>
              <w:top w:val="single" w:sz="4" w:space="0" w:color="auto"/>
              <w:left w:val="single" w:sz="4" w:space="0" w:color="auto"/>
              <w:bottom w:val="single" w:sz="4" w:space="0" w:color="auto"/>
              <w:right w:val="single" w:sz="4" w:space="0" w:color="auto"/>
            </w:tcBorders>
            <w:vAlign w:val="center"/>
          </w:tcPr>
          <w:p w14:paraId="3D2C6883" w14:textId="77777777" w:rsidR="00BF3068" w:rsidRDefault="00B620C0">
            <w:pPr>
              <w:spacing w:line="560" w:lineRule="exact"/>
              <w:jc w:val="center"/>
              <w:rPr>
                <w:rFonts w:eastAsia="方正仿宋简体"/>
                <w:bCs/>
                <w:color w:val="000000"/>
                <w:sz w:val="24"/>
              </w:rPr>
            </w:pPr>
            <w:r>
              <w:rPr>
                <w:rFonts w:eastAsia="方正仿宋简体"/>
                <w:bCs/>
                <w:color w:val="000000"/>
                <w:sz w:val="24"/>
              </w:rPr>
              <w:t>4%</w:t>
            </w:r>
          </w:p>
        </w:tc>
      </w:tr>
      <w:tr w:rsidR="00BF3068" w14:paraId="2A7D204E" w14:textId="77777777" w:rsidTr="00633B0C">
        <w:trPr>
          <w:cantSplit/>
          <w:trHeight w:hRule="exact" w:val="520"/>
          <w:jc w:val="center"/>
        </w:trPr>
        <w:tc>
          <w:tcPr>
            <w:tcW w:w="4585" w:type="dxa"/>
            <w:tcBorders>
              <w:top w:val="single" w:sz="4" w:space="0" w:color="auto"/>
              <w:left w:val="single" w:sz="4" w:space="0" w:color="auto"/>
              <w:bottom w:val="single" w:sz="4" w:space="0" w:color="auto"/>
              <w:right w:val="single" w:sz="4" w:space="0" w:color="auto"/>
            </w:tcBorders>
            <w:vAlign w:val="center"/>
          </w:tcPr>
          <w:p w14:paraId="1B75B1E8" w14:textId="77777777" w:rsidR="00BF3068" w:rsidRDefault="00B620C0">
            <w:pPr>
              <w:spacing w:line="560" w:lineRule="exact"/>
              <w:jc w:val="center"/>
              <w:rPr>
                <w:rFonts w:eastAsia="方正仿宋简体"/>
                <w:bCs/>
                <w:color w:val="000000"/>
                <w:sz w:val="24"/>
              </w:rPr>
            </w:pPr>
            <w:r>
              <w:rPr>
                <w:rFonts w:eastAsia="方正仿宋简体"/>
                <w:bCs/>
                <w:color w:val="000000"/>
                <w:sz w:val="24"/>
              </w:rPr>
              <w:t>交割月前第一月的第一个交易日起</w:t>
            </w:r>
          </w:p>
        </w:tc>
        <w:tc>
          <w:tcPr>
            <w:tcW w:w="3808" w:type="dxa"/>
            <w:tcBorders>
              <w:top w:val="single" w:sz="4" w:space="0" w:color="auto"/>
              <w:left w:val="single" w:sz="4" w:space="0" w:color="auto"/>
              <w:bottom w:val="single" w:sz="4" w:space="0" w:color="auto"/>
              <w:right w:val="single" w:sz="4" w:space="0" w:color="auto"/>
            </w:tcBorders>
            <w:vAlign w:val="center"/>
          </w:tcPr>
          <w:p w14:paraId="5A824EC4" w14:textId="77777777" w:rsidR="00BF3068" w:rsidRDefault="00B620C0">
            <w:pPr>
              <w:spacing w:line="560" w:lineRule="exact"/>
              <w:jc w:val="center"/>
              <w:rPr>
                <w:rFonts w:eastAsia="方正仿宋简体"/>
                <w:bCs/>
                <w:color w:val="000000"/>
                <w:sz w:val="24"/>
              </w:rPr>
            </w:pPr>
            <w:r>
              <w:rPr>
                <w:rFonts w:eastAsia="方正仿宋简体"/>
                <w:bCs/>
                <w:color w:val="000000"/>
                <w:sz w:val="24"/>
              </w:rPr>
              <w:t>10%</w:t>
            </w:r>
          </w:p>
        </w:tc>
      </w:tr>
      <w:tr w:rsidR="00BF3068" w14:paraId="415CCEEF" w14:textId="77777777" w:rsidTr="00633B0C">
        <w:trPr>
          <w:cantSplit/>
          <w:trHeight w:hRule="exact" w:val="520"/>
          <w:jc w:val="center"/>
        </w:trPr>
        <w:tc>
          <w:tcPr>
            <w:tcW w:w="4585" w:type="dxa"/>
            <w:tcBorders>
              <w:top w:val="single" w:sz="4" w:space="0" w:color="auto"/>
              <w:left w:val="single" w:sz="4" w:space="0" w:color="auto"/>
              <w:bottom w:val="single" w:sz="4" w:space="0" w:color="auto"/>
              <w:right w:val="single" w:sz="4" w:space="0" w:color="auto"/>
            </w:tcBorders>
            <w:vAlign w:val="center"/>
          </w:tcPr>
          <w:p w14:paraId="4EC2557C" w14:textId="77777777" w:rsidR="00BF3068" w:rsidRDefault="00B620C0">
            <w:pPr>
              <w:spacing w:line="560" w:lineRule="exact"/>
              <w:jc w:val="center"/>
              <w:rPr>
                <w:rFonts w:eastAsia="方正仿宋简体"/>
                <w:bCs/>
                <w:color w:val="000000"/>
                <w:sz w:val="24"/>
              </w:rPr>
            </w:pPr>
            <w:r>
              <w:rPr>
                <w:rFonts w:eastAsia="方正仿宋简体"/>
                <w:bCs/>
                <w:color w:val="000000"/>
                <w:sz w:val="24"/>
              </w:rPr>
              <w:t>交割月份第一个交易日起</w:t>
            </w:r>
          </w:p>
        </w:tc>
        <w:tc>
          <w:tcPr>
            <w:tcW w:w="3808" w:type="dxa"/>
            <w:tcBorders>
              <w:top w:val="single" w:sz="4" w:space="0" w:color="auto"/>
              <w:left w:val="single" w:sz="4" w:space="0" w:color="auto"/>
              <w:bottom w:val="single" w:sz="4" w:space="0" w:color="auto"/>
              <w:right w:val="single" w:sz="4" w:space="0" w:color="auto"/>
            </w:tcBorders>
            <w:vAlign w:val="center"/>
          </w:tcPr>
          <w:p w14:paraId="72DFE48C" w14:textId="77777777" w:rsidR="00BF3068" w:rsidRDefault="00B620C0">
            <w:pPr>
              <w:spacing w:line="560" w:lineRule="exact"/>
              <w:jc w:val="center"/>
              <w:rPr>
                <w:rFonts w:eastAsia="方正仿宋简体"/>
                <w:bCs/>
                <w:color w:val="000000"/>
                <w:sz w:val="24"/>
              </w:rPr>
            </w:pPr>
            <w:r>
              <w:rPr>
                <w:rFonts w:eastAsia="方正仿宋简体"/>
                <w:bCs/>
                <w:color w:val="000000"/>
                <w:sz w:val="24"/>
              </w:rPr>
              <w:t>15%</w:t>
            </w:r>
          </w:p>
        </w:tc>
      </w:tr>
      <w:tr w:rsidR="00BF3068" w14:paraId="74927895" w14:textId="77777777" w:rsidTr="00633B0C">
        <w:trPr>
          <w:cantSplit/>
          <w:trHeight w:hRule="exact" w:val="520"/>
          <w:jc w:val="center"/>
        </w:trPr>
        <w:tc>
          <w:tcPr>
            <w:tcW w:w="4585" w:type="dxa"/>
            <w:tcBorders>
              <w:top w:val="single" w:sz="4" w:space="0" w:color="auto"/>
              <w:left w:val="single" w:sz="4" w:space="0" w:color="auto"/>
              <w:bottom w:val="single" w:sz="4" w:space="0" w:color="auto"/>
              <w:right w:val="single" w:sz="4" w:space="0" w:color="auto"/>
            </w:tcBorders>
            <w:vAlign w:val="center"/>
          </w:tcPr>
          <w:p w14:paraId="575F2939" w14:textId="77777777" w:rsidR="00BF3068" w:rsidRDefault="00B620C0">
            <w:pPr>
              <w:spacing w:line="560" w:lineRule="exact"/>
              <w:jc w:val="center"/>
              <w:rPr>
                <w:rFonts w:eastAsia="方正仿宋简体"/>
                <w:bCs/>
                <w:color w:val="000000"/>
                <w:sz w:val="24"/>
              </w:rPr>
            </w:pPr>
            <w:r>
              <w:rPr>
                <w:rFonts w:eastAsia="方正仿宋简体"/>
                <w:bCs/>
                <w:color w:val="000000"/>
                <w:sz w:val="24"/>
              </w:rPr>
              <w:t>最后交易日前二个交易日起</w:t>
            </w:r>
          </w:p>
        </w:tc>
        <w:tc>
          <w:tcPr>
            <w:tcW w:w="3808" w:type="dxa"/>
            <w:tcBorders>
              <w:top w:val="single" w:sz="4" w:space="0" w:color="auto"/>
              <w:left w:val="single" w:sz="4" w:space="0" w:color="auto"/>
              <w:bottom w:val="single" w:sz="4" w:space="0" w:color="auto"/>
              <w:right w:val="single" w:sz="4" w:space="0" w:color="auto"/>
            </w:tcBorders>
            <w:vAlign w:val="center"/>
          </w:tcPr>
          <w:p w14:paraId="510E1075" w14:textId="77777777" w:rsidR="00BF3068" w:rsidRDefault="00B620C0">
            <w:pPr>
              <w:spacing w:line="560" w:lineRule="exact"/>
              <w:jc w:val="center"/>
              <w:rPr>
                <w:rFonts w:eastAsia="方正仿宋简体"/>
                <w:bCs/>
                <w:color w:val="000000"/>
                <w:sz w:val="24"/>
              </w:rPr>
            </w:pPr>
            <w:r>
              <w:rPr>
                <w:rFonts w:eastAsia="方正仿宋简体"/>
                <w:bCs/>
                <w:color w:val="000000"/>
                <w:sz w:val="24"/>
              </w:rPr>
              <w:t>20%</w:t>
            </w:r>
          </w:p>
        </w:tc>
      </w:tr>
    </w:tbl>
    <w:p w14:paraId="42BFFA58"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sz w:val="30"/>
          <w:szCs w:val="30"/>
        </w:rPr>
        <w:t>热轧卷板期货合约涨跌停板幅度为上一交易日结算价</w:t>
      </w:r>
      <w:r>
        <w:rPr>
          <w:rFonts w:eastAsia="方正仿宋简体"/>
          <w:sz w:val="30"/>
          <w:szCs w:val="30"/>
        </w:rPr>
        <w:t>±3%</w:t>
      </w:r>
      <w:r>
        <w:rPr>
          <w:rFonts w:eastAsia="方正仿宋简体"/>
          <w:sz w:val="30"/>
          <w:szCs w:val="30"/>
        </w:rPr>
        <w:t>。</w:t>
      </w:r>
    </w:p>
    <w:p w14:paraId="5B5AB490" w14:textId="77777777" w:rsidR="00BF3068" w:rsidRDefault="00B620C0">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期货公司会员、非期货公司会员和客户的热轧卷板期货合约在不同时期的限仓比例和限仓数额具体规定如下：</w:t>
      </w:r>
    </w:p>
    <w:p w14:paraId="6B1B65B0" w14:textId="77777777" w:rsidR="00BF3068" w:rsidRDefault="00B620C0">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8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024"/>
        <w:gridCol w:w="978"/>
        <w:gridCol w:w="1267"/>
        <w:gridCol w:w="848"/>
        <w:gridCol w:w="776"/>
        <w:gridCol w:w="843"/>
        <w:gridCol w:w="756"/>
        <w:gridCol w:w="793"/>
        <w:gridCol w:w="566"/>
      </w:tblGrid>
      <w:tr w:rsidR="00BF3068" w14:paraId="4FED61E9" w14:textId="77777777">
        <w:trPr>
          <w:cantSplit/>
          <w:trHeight w:val="1036"/>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14:paraId="4E1E8807" w14:textId="77777777" w:rsidR="00BF3068" w:rsidRDefault="00BF3068">
            <w:pPr>
              <w:widowControl/>
              <w:spacing w:line="560" w:lineRule="exact"/>
              <w:jc w:val="center"/>
              <w:rPr>
                <w:rFonts w:eastAsia="方正仿宋简体"/>
                <w:kern w:val="0"/>
                <w:sz w:val="24"/>
              </w:rPr>
            </w:pPr>
          </w:p>
        </w:tc>
        <w:tc>
          <w:tcPr>
            <w:tcW w:w="2002" w:type="dxa"/>
            <w:gridSpan w:val="2"/>
            <w:tcBorders>
              <w:top w:val="single" w:sz="6" w:space="0" w:color="auto"/>
              <w:left w:val="single" w:sz="6" w:space="0" w:color="auto"/>
              <w:bottom w:val="single" w:sz="6" w:space="0" w:color="auto"/>
              <w:right w:val="single" w:sz="6" w:space="0" w:color="auto"/>
            </w:tcBorders>
            <w:vAlign w:val="center"/>
          </w:tcPr>
          <w:p w14:paraId="175EEBCF"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合约挂牌至交割月份</w:t>
            </w:r>
          </w:p>
        </w:tc>
        <w:tc>
          <w:tcPr>
            <w:tcW w:w="2891" w:type="dxa"/>
            <w:gridSpan w:val="3"/>
            <w:tcBorders>
              <w:top w:val="single" w:sz="6" w:space="0" w:color="auto"/>
              <w:left w:val="single" w:sz="4" w:space="0" w:color="auto"/>
              <w:bottom w:val="single" w:sz="6" w:space="0" w:color="auto"/>
              <w:right w:val="single" w:sz="4" w:space="0" w:color="auto"/>
            </w:tcBorders>
            <w:vAlign w:val="center"/>
          </w:tcPr>
          <w:p w14:paraId="1ED8C14F"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599" w:type="dxa"/>
            <w:gridSpan w:val="2"/>
            <w:tcBorders>
              <w:top w:val="single" w:sz="6" w:space="0" w:color="auto"/>
              <w:left w:val="single" w:sz="6" w:space="0" w:color="auto"/>
              <w:bottom w:val="single" w:sz="6" w:space="0" w:color="auto"/>
              <w:right w:val="single" w:sz="6" w:space="0" w:color="auto"/>
            </w:tcBorders>
            <w:vAlign w:val="center"/>
          </w:tcPr>
          <w:p w14:paraId="69D82981"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交割月前</w:t>
            </w:r>
          </w:p>
          <w:p w14:paraId="23860F59"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第一月</w:t>
            </w:r>
          </w:p>
        </w:tc>
        <w:tc>
          <w:tcPr>
            <w:tcW w:w="1359" w:type="dxa"/>
            <w:gridSpan w:val="2"/>
            <w:tcBorders>
              <w:top w:val="single" w:sz="6" w:space="0" w:color="auto"/>
              <w:left w:val="single" w:sz="6" w:space="0" w:color="auto"/>
              <w:bottom w:val="single" w:sz="6" w:space="0" w:color="auto"/>
              <w:right w:val="single" w:sz="6" w:space="0" w:color="auto"/>
            </w:tcBorders>
            <w:vAlign w:val="center"/>
          </w:tcPr>
          <w:p w14:paraId="6CF81815"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BF3068" w14:paraId="43BF921E" w14:textId="77777777">
        <w:trPr>
          <w:cantSplit/>
          <w:trHeight w:val="250"/>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4EB7569B" w14:textId="77777777" w:rsidR="00BF3068" w:rsidRDefault="00BF3068">
            <w:pPr>
              <w:widowControl/>
              <w:spacing w:line="560" w:lineRule="exact"/>
              <w:jc w:val="left"/>
              <w:rPr>
                <w:rFonts w:eastAsia="方正仿宋简体"/>
                <w:kern w:val="0"/>
                <w:sz w:val="24"/>
              </w:rPr>
            </w:pPr>
          </w:p>
        </w:tc>
        <w:tc>
          <w:tcPr>
            <w:tcW w:w="1024" w:type="dxa"/>
            <w:vMerge w:val="restart"/>
            <w:tcBorders>
              <w:top w:val="single" w:sz="6" w:space="0" w:color="auto"/>
              <w:left w:val="single" w:sz="6" w:space="0" w:color="auto"/>
              <w:bottom w:val="single" w:sz="6" w:space="0" w:color="auto"/>
              <w:right w:val="single" w:sz="6" w:space="0" w:color="auto"/>
            </w:tcBorders>
            <w:vAlign w:val="center"/>
          </w:tcPr>
          <w:p w14:paraId="66BE5EBA"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某一期</w:t>
            </w:r>
          </w:p>
          <w:p w14:paraId="310974CB"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货合约</w:t>
            </w:r>
          </w:p>
          <w:p w14:paraId="0A363C8D"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持仓量</w:t>
            </w:r>
          </w:p>
        </w:tc>
        <w:tc>
          <w:tcPr>
            <w:tcW w:w="978" w:type="dxa"/>
            <w:tcBorders>
              <w:top w:val="single" w:sz="6" w:space="0" w:color="auto"/>
              <w:left w:val="single" w:sz="6" w:space="0" w:color="auto"/>
              <w:bottom w:val="single" w:sz="6" w:space="0" w:color="auto"/>
              <w:right w:val="single" w:sz="6" w:space="0" w:color="auto"/>
            </w:tcBorders>
            <w:vAlign w:val="center"/>
          </w:tcPr>
          <w:p w14:paraId="0B639E77"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tc>
        <w:tc>
          <w:tcPr>
            <w:tcW w:w="1267" w:type="dxa"/>
            <w:vMerge w:val="restart"/>
            <w:tcBorders>
              <w:top w:val="single" w:sz="6" w:space="0" w:color="auto"/>
              <w:left w:val="single" w:sz="4" w:space="0" w:color="auto"/>
              <w:bottom w:val="single" w:sz="6" w:space="0" w:color="auto"/>
              <w:right w:val="single" w:sz="4" w:space="0" w:color="auto"/>
            </w:tcBorders>
            <w:vAlign w:val="center"/>
          </w:tcPr>
          <w:p w14:paraId="209F347E"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某一期</w:t>
            </w:r>
          </w:p>
          <w:p w14:paraId="156B3789"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货合约</w:t>
            </w:r>
          </w:p>
          <w:p w14:paraId="2E33065F"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持仓量</w:t>
            </w:r>
          </w:p>
        </w:tc>
        <w:tc>
          <w:tcPr>
            <w:tcW w:w="1624" w:type="dxa"/>
            <w:gridSpan w:val="2"/>
            <w:tcBorders>
              <w:top w:val="single" w:sz="6" w:space="0" w:color="auto"/>
              <w:left w:val="single" w:sz="4" w:space="0" w:color="auto"/>
              <w:bottom w:val="single" w:sz="6" w:space="0" w:color="auto"/>
              <w:right w:val="single" w:sz="4" w:space="0" w:color="auto"/>
            </w:tcBorders>
            <w:vAlign w:val="center"/>
          </w:tcPr>
          <w:p w14:paraId="31FF40D2"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14:paraId="0C9E0BB8"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c>
          <w:tcPr>
            <w:tcW w:w="1599" w:type="dxa"/>
            <w:gridSpan w:val="2"/>
            <w:tcBorders>
              <w:top w:val="single" w:sz="6" w:space="0" w:color="auto"/>
              <w:left w:val="single" w:sz="6" w:space="0" w:color="auto"/>
              <w:bottom w:val="single" w:sz="6" w:space="0" w:color="auto"/>
              <w:right w:val="single" w:sz="6" w:space="0" w:color="auto"/>
            </w:tcBorders>
            <w:vAlign w:val="center"/>
          </w:tcPr>
          <w:p w14:paraId="7EC9254E"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c>
          <w:tcPr>
            <w:tcW w:w="1359" w:type="dxa"/>
            <w:gridSpan w:val="2"/>
            <w:tcBorders>
              <w:top w:val="single" w:sz="6" w:space="0" w:color="auto"/>
              <w:left w:val="single" w:sz="6" w:space="0" w:color="auto"/>
              <w:bottom w:val="single" w:sz="6" w:space="0" w:color="auto"/>
              <w:right w:val="single" w:sz="6" w:space="0" w:color="auto"/>
            </w:tcBorders>
            <w:vAlign w:val="center"/>
          </w:tcPr>
          <w:p w14:paraId="7B3A8B4C"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bCs/>
                <w:color w:val="000000"/>
                <w:kern w:val="0"/>
                <w:sz w:val="24"/>
              </w:rPr>
              <w:t>(</w:t>
            </w:r>
            <w:r>
              <w:rPr>
                <w:rFonts w:eastAsia="方正仿宋简体"/>
                <w:bCs/>
                <w:color w:val="000000"/>
                <w:kern w:val="0"/>
                <w:sz w:val="24"/>
              </w:rPr>
              <w:t>手</w:t>
            </w:r>
            <w:r>
              <w:rPr>
                <w:rFonts w:eastAsia="方正仿宋简体"/>
                <w:bCs/>
                <w:color w:val="000000"/>
                <w:kern w:val="0"/>
                <w:sz w:val="24"/>
              </w:rPr>
              <w:t>)</w:t>
            </w:r>
          </w:p>
        </w:tc>
      </w:tr>
      <w:tr w:rsidR="00BF3068" w14:paraId="397ADD78" w14:textId="77777777">
        <w:trPr>
          <w:cantSplit/>
          <w:trHeight w:val="1534"/>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0E49C86F" w14:textId="77777777" w:rsidR="00BF3068" w:rsidRDefault="00BF3068">
            <w:pPr>
              <w:widowControl/>
              <w:spacing w:line="560" w:lineRule="exact"/>
              <w:jc w:val="left"/>
              <w:rPr>
                <w:rFonts w:eastAsia="方正仿宋简体"/>
                <w:kern w:val="0"/>
                <w:sz w:val="24"/>
              </w:rPr>
            </w:pPr>
          </w:p>
        </w:tc>
        <w:tc>
          <w:tcPr>
            <w:tcW w:w="1024" w:type="dxa"/>
            <w:vMerge/>
            <w:tcBorders>
              <w:top w:val="single" w:sz="6" w:space="0" w:color="auto"/>
              <w:left w:val="single" w:sz="6" w:space="0" w:color="auto"/>
              <w:bottom w:val="single" w:sz="6" w:space="0" w:color="auto"/>
              <w:right w:val="single" w:sz="6" w:space="0" w:color="auto"/>
            </w:tcBorders>
            <w:vAlign w:val="center"/>
          </w:tcPr>
          <w:p w14:paraId="3AFA1785" w14:textId="77777777" w:rsidR="00BF3068" w:rsidRDefault="00BF3068">
            <w:pPr>
              <w:widowControl/>
              <w:spacing w:line="560" w:lineRule="exact"/>
              <w:jc w:val="left"/>
              <w:rPr>
                <w:rFonts w:eastAsia="方正仿宋简体"/>
                <w:kern w:val="0"/>
                <w:sz w:val="24"/>
              </w:rPr>
            </w:pPr>
          </w:p>
        </w:tc>
        <w:tc>
          <w:tcPr>
            <w:tcW w:w="978" w:type="dxa"/>
            <w:tcBorders>
              <w:top w:val="single" w:sz="6" w:space="0" w:color="auto"/>
              <w:left w:val="single" w:sz="6" w:space="0" w:color="auto"/>
              <w:bottom w:val="single" w:sz="6" w:space="0" w:color="auto"/>
              <w:right w:val="single" w:sz="6" w:space="0" w:color="auto"/>
            </w:tcBorders>
            <w:vAlign w:val="center"/>
          </w:tcPr>
          <w:p w14:paraId="55E81A15"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期货公司会员</w:t>
            </w:r>
          </w:p>
        </w:tc>
        <w:tc>
          <w:tcPr>
            <w:tcW w:w="1267" w:type="dxa"/>
            <w:vMerge/>
            <w:tcBorders>
              <w:top w:val="single" w:sz="6" w:space="0" w:color="auto"/>
              <w:left w:val="single" w:sz="4" w:space="0" w:color="auto"/>
              <w:bottom w:val="single" w:sz="6" w:space="0" w:color="auto"/>
              <w:right w:val="single" w:sz="4" w:space="0" w:color="auto"/>
            </w:tcBorders>
            <w:vAlign w:val="center"/>
          </w:tcPr>
          <w:p w14:paraId="7775F390" w14:textId="77777777" w:rsidR="00BF3068" w:rsidRDefault="00BF3068">
            <w:pPr>
              <w:widowControl/>
              <w:spacing w:line="560" w:lineRule="exact"/>
              <w:jc w:val="left"/>
              <w:rPr>
                <w:rFonts w:eastAsia="方正仿宋简体"/>
                <w:kern w:val="0"/>
                <w:sz w:val="24"/>
              </w:rPr>
            </w:pPr>
          </w:p>
        </w:tc>
        <w:tc>
          <w:tcPr>
            <w:tcW w:w="848" w:type="dxa"/>
            <w:tcBorders>
              <w:top w:val="single" w:sz="6" w:space="0" w:color="auto"/>
              <w:left w:val="single" w:sz="6" w:space="0" w:color="auto"/>
              <w:bottom w:val="single" w:sz="6" w:space="0" w:color="auto"/>
              <w:right w:val="single" w:sz="6" w:space="0" w:color="auto"/>
            </w:tcBorders>
            <w:vAlign w:val="center"/>
          </w:tcPr>
          <w:p w14:paraId="03E3BA5A"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非期货</w:t>
            </w:r>
          </w:p>
          <w:p w14:paraId="1433BA64"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公司</w:t>
            </w:r>
          </w:p>
          <w:p w14:paraId="06A49360"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会员</w:t>
            </w:r>
          </w:p>
        </w:tc>
        <w:tc>
          <w:tcPr>
            <w:tcW w:w="776" w:type="dxa"/>
            <w:tcBorders>
              <w:top w:val="single" w:sz="6" w:space="0" w:color="auto"/>
              <w:left w:val="single" w:sz="6" w:space="0" w:color="auto"/>
              <w:bottom w:val="single" w:sz="6" w:space="0" w:color="auto"/>
              <w:right w:val="single" w:sz="6" w:space="0" w:color="auto"/>
            </w:tcBorders>
            <w:vAlign w:val="center"/>
          </w:tcPr>
          <w:p w14:paraId="16A018E6"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客户</w:t>
            </w:r>
          </w:p>
        </w:tc>
        <w:tc>
          <w:tcPr>
            <w:tcW w:w="843" w:type="dxa"/>
            <w:tcBorders>
              <w:top w:val="single" w:sz="6" w:space="0" w:color="auto"/>
              <w:left w:val="single" w:sz="6" w:space="0" w:color="auto"/>
              <w:bottom w:val="single" w:sz="6" w:space="0" w:color="auto"/>
              <w:right w:val="single" w:sz="6" w:space="0" w:color="auto"/>
            </w:tcBorders>
            <w:vAlign w:val="center"/>
          </w:tcPr>
          <w:p w14:paraId="13995766"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非期货公司</w:t>
            </w:r>
          </w:p>
          <w:p w14:paraId="38ED6403"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会员</w:t>
            </w:r>
          </w:p>
        </w:tc>
        <w:tc>
          <w:tcPr>
            <w:tcW w:w="756" w:type="dxa"/>
            <w:tcBorders>
              <w:top w:val="single" w:sz="6" w:space="0" w:color="auto"/>
              <w:left w:val="single" w:sz="6" w:space="0" w:color="auto"/>
              <w:bottom w:val="single" w:sz="6" w:space="0" w:color="auto"/>
              <w:right w:val="single" w:sz="6" w:space="0" w:color="auto"/>
            </w:tcBorders>
            <w:vAlign w:val="center"/>
          </w:tcPr>
          <w:p w14:paraId="7C431129"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客户</w:t>
            </w:r>
          </w:p>
        </w:tc>
        <w:tc>
          <w:tcPr>
            <w:tcW w:w="793" w:type="dxa"/>
            <w:tcBorders>
              <w:top w:val="single" w:sz="6" w:space="0" w:color="auto"/>
              <w:left w:val="single" w:sz="6" w:space="0" w:color="auto"/>
              <w:bottom w:val="single" w:sz="6" w:space="0" w:color="auto"/>
              <w:right w:val="single" w:sz="6" w:space="0" w:color="auto"/>
            </w:tcBorders>
            <w:vAlign w:val="center"/>
          </w:tcPr>
          <w:p w14:paraId="56F71292"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非期货</w:t>
            </w:r>
          </w:p>
          <w:p w14:paraId="72C6C8A9"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公司</w:t>
            </w:r>
          </w:p>
          <w:p w14:paraId="1F9E7F62"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会员</w:t>
            </w:r>
          </w:p>
        </w:tc>
        <w:tc>
          <w:tcPr>
            <w:tcW w:w="566" w:type="dxa"/>
            <w:tcBorders>
              <w:top w:val="single" w:sz="6" w:space="0" w:color="auto"/>
              <w:left w:val="single" w:sz="6" w:space="0" w:color="auto"/>
              <w:bottom w:val="single" w:sz="6" w:space="0" w:color="auto"/>
              <w:right w:val="single" w:sz="6" w:space="0" w:color="auto"/>
            </w:tcBorders>
            <w:vAlign w:val="center"/>
          </w:tcPr>
          <w:p w14:paraId="72AB167E"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客户</w:t>
            </w:r>
          </w:p>
        </w:tc>
      </w:tr>
      <w:tr w:rsidR="00BF3068" w14:paraId="1665A527" w14:textId="77777777">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14:paraId="2B7E3DB7"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热轧卷板</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14:paraId="65323F30" w14:textId="77777777" w:rsidR="00BF3068" w:rsidRDefault="00B620C0">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120</w:t>
            </w:r>
            <w:r>
              <w:rPr>
                <w:rFonts w:eastAsia="方正仿宋简体"/>
                <w:bCs/>
                <w:color w:val="000000"/>
                <w:kern w:val="0"/>
                <w:sz w:val="24"/>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14:paraId="35A30EAB"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25</w:t>
            </w:r>
          </w:p>
        </w:tc>
        <w:tc>
          <w:tcPr>
            <w:tcW w:w="1267" w:type="dxa"/>
            <w:tcBorders>
              <w:top w:val="single" w:sz="6" w:space="0" w:color="auto"/>
              <w:left w:val="single" w:sz="4" w:space="0" w:color="auto"/>
              <w:bottom w:val="single" w:sz="6" w:space="0" w:color="auto"/>
              <w:right w:val="single" w:sz="4" w:space="0" w:color="auto"/>
            </w:tcBorders>
            <w:vAlign w:val="center"/>
          </w:tcPr>
          <w:p w14:paraId="38967FC2" w14:textId="77777777" w:rsidR="00BF3068" w:rsidRDefault="00B620C0">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120</w:t>
            </w:r>
            <w:r>
              <w:rPr>
                <w:rFonts w:eastAsia="方正仿宋简体"/>
                <w:bCs/>
                <w:color w:val="000000"/>
                <w:kern w:val="0"/>
                <w:sz w:val="24"/>
              </w:rPr>
              <w:t>万手</w:t>
            </w:r>
          </w:p>
        </w:tc>
        <w:tc>
          <w:tcPr>
            <w:tcW w:w="848" w:type="dxa"/>
            <w:tcBorders>
              <w:top w:val="single" w:sz="6" w:space="0" w:color="auto"/>
              <w:left w:val="single" w:sz="6" w:space="0" w:color="auto"/>
              <w:bottom w:val="single" w:sz="6" w:space="0" w:color="auto"/>
              <w:right w:val="single" w:sz="6" w:space="0" w:color="auto"/>
            </w:tcBorders>
            <w:vAlign w:val="center"/>
          </w:tcPr>
          <w:p w14:paraId="379F42AB"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10</w:t>
            </w:r>
          </w:p>
        </w:tc>
        <w:tc>
          <w:tcPr>
            <w:tcW w:w="776" w:type="dxa"/>
            <w:tcBorders>
              <w:top w:val="single" w:sz="6" w:space="0" w:color="auto"/>
              <w:left w:val="single" w:sz="6" w:space="0" w:color="auto"/>
              <w:bottom w:val="single" w:sz="6" w:space="0" w:color="auto"/>
              <w:right w:val="single" w:sz="6" w:space="0" w:color="auto"/>
            </w:tcBorders>
            <w:vAlign w:val="center"/>
          </w:tcPr>
          <w:p w14:paraId="53B6A4EF"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14:paraId="35D25E23"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9000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14:paraId="3018251D"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9000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14:paraId="4F85FFCB"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1800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14:paraId="5951496A"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1800</w:t>
            </w:r>
          </w:p>
        </w:tc>
      </w:tr>
      <w:tr w:rsidR="00BF3068" w14:paraId="2220DE20" w14:textId="77777777">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14:paraId="6CDC34BB" w14:textId="77777777" w:rsidR="00BF3068" w:rsidRDefault="00BF3068">
            <w:pPr>
              <w:widowControl/>
              <w:spacing w:line="560" w:lineRule="exact"/>
              <w:jc w:val="left"/>
              <w:rPr>
                <w:rFonts w:eastAsia="方正仿宋简体"/>
                <w:kern w:val="0"/>
                <w:sz w:val="24"/>
              </w:rPr>
            </w:pPr>
          </w:p>
        </w:tc>
        <w:tc>
          <w:tcPr>
            <w:tcW w:w="1024" w:type="dxa"/>
            <w:vMerge/>
            <w:tcBorders>
              <w:top w:val="single" w:sz="6" w:space="0" w:color="auto"/>
              <w:left w:val="single" w:sz="6" w:space="0" w:color="auto"/>
              <w:bottom w:val="single" w:sz="6" w:space="0" w:color="auto"/>
              <w:right w:val="single" w:sz="6" w:space="0" w:color="auto"/>
            </w:tcBorders>
            <w:vAlign w:val="center"/>
          </w:tcPr>
          <w:p w14:paraId="4F253826" w14:textId="77777777" w:rsidR="00BF3068" w:rsidRDefault="00BF3068">
            <w:pPr>
              <w:widowControl/>
              <w:spacing w:line="560" w:lineRule="exact"/>
              <w:jc w:val="left"/>
              <w:rPr>
                <w:rFonts w:eastAsia="方正仿宋简体"/>
                <w:kern w:val="0"/>
                <w:sz w:val="24"/>
              </w:rPr>
            </w:pPr>
          </w:p>
        </w:tc>
        <w:tc>
          <w:tcPr>
            <w:tcW w:w="978" w:type="dxa"/>
            <w:vMerge/>
            <w:tcBorders>
              <w:top w:val="single" w:sz="6" w:space="0" w:color="auto"/>
              <w:left w:val="single" w:sz="6" w:space="0" w:color="auto"/>
              <w:bottom w:val="single" w:sz="6" w:space="0" w:color="auto"/>
              <w:right w:val="single" w:sz="6" w:space="0" w:color="auto"/>
            </w:tcBorders>
            <w:vAlign w:val="center"/>
          </w:tcPr>
          <w:p w14:paraId="27924356" w14:textId="77777777" w:rsidR="00BF3068" w:rsidRDefault="00BF3068">
            <w:pPr>
              <w:widowControl/>
              <w:spacing w:line="560" w:lineRule="exact"/>
              <w:jc w:val="left"/>
              <w:rPr>
                <w:rFonts w:eastAsia="方正仿宋简体"/>
                <w:kern w:val="0"/>
                <w:sz w:val="24"/>
              </w:rPr>
            </w:pPr>
          </w:p>
        </w:tc>
        <w:tc>
          <w:tcPr>
            <w:tcW w:w="1267" w:type="dxa"/>
            <w:tcBorders>
              <w:top w:val="single" w:sz="6" w:space="0" w:color="auto"/>
              <w:left w:val="single" w:sz="4" w:space="0" w:color="auto"/>
              <w:bottom w:val="single" w:sz="6" w:space="0" w:color="auto"/>
              <w:right w:val="single" w:sz="4" w:space="0" w:color="auto"/>
            </w:tcBorders>
            <w:vAlign w:val="center"/>
          </w:tcPr>
          <w:p w14:paraId="4AD2332D"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w:t>
            </w:r>
            <w:r>
              <w:rPr>
                <w:rFonts w:eastAsia="方正仿宋简体"/>
                <w:bCs/>
                <w:color w:val="000000"/>
                <w:kern w:val="0"/>
                <w:sz w:val="24"/>
              </w:rPr>
              <w:t>120</w:t>
            </w:r>
            <w:r>
              <w:rPr>
                <w:rFonts w:eastAsia="方正仿宋简体"/>
                <w:bCs/>
                <w:color w:val="000000"/>
                <w:kern w:val="0"/>
                <w:sz w:val="24"/>
              </w:rPr>
              <w:t>万手</w:t>
            </w:r>
          </w:p>
        </w:tc>
        <w:tc>
          <w:tcPr>
            <w:tcW w:w="848" w:type="dxa"/>
            <w:tcBorders>
              <w:top w:val="single" w:sz="6" w:space="0" w:color="auto"/>
              <w:left w:val="single" w:sz="6" w:space="0" w:color="auto"/>
              <w:bottom w:val="single" w:sz="6" w:space="0" w:color="auto"/>
              <w:right w:val="single" w:sz="6" w:space="0" w:color="auto"/>
            </w:tcBorders>
            <w:vAlign w:val="center"/>
          </w:tcPr>
          <w:p w14:paraId="0E52FE53"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120000</w:t>
            </w:r>
          </w:p>
        </w:tc>
        <w:tc>
          <w:tcPr>
            <w:tcW w:w="776" w:type="dxa"/>
            <w:tcBorders>
              <w:top w:val="single" w:sz="6" w:space="0" w:color="auto"/>
              <w:left w:val="single" w:sz="6" w:space="0" w:color="auto"/>
              <w:bottom w:val="single" w:sz="6" w:space="0" w:color="auto"/>
              <w:right w:val="single" w:sz="6" w:space="0" w:color="auto"/>
            </w:tcBorders>
            <w:vAlign w:val="center"/>
          </w:tcPr>
          <w:p w14:paraId="21CBAAD1" w14:textId="77777777" w:rsidR="00BF3068" w:rsidRDefault="00B620C0">
            <w:pPr>
              <w:widowControl/>
              <w:spacing w:line="560" w:lineRule="exact"/>
              <w:jc w:val="center"/>
              <w:rPr>
                <w:rFonts w:eastAsia="方正仿宋简体"/>
                <w:kern w:val="0"/>
                <w:sz w:val="24"/>
              </w:rPr>
            </w:pPr>
            <w:r>
              <w:rPr>
                <w:rFonts w:eastAsia="方正仿宋简体"/>
                <w:bCs/>
                <w:color w:val="000000"/>
                <w:kern w:val="0"/>
                <w:sz w:val="24"/>
              </w:rPr>
              <w:t>120000</w:t>
            </w:r>
          </w:p>
        </w:tc>
        <w:tc>
          <w:tcPr>
            <w:tcW w:w="843" w:type="dxa"/>
            <w:vMerge/>
            <w:tcBorders>
              <w:top w:val="single" w:sz="6" w:space="0" w:color="auto"/>
              <w:left w:val="single" w:sz="6" w:space="0" w:color="auto"/>
              <w:bottom w:val="single" w:sz="6" w:space="0" w:color="auto"/>
              <w:right w:val="single" w:sz="6" w:space="0" w:color="auto"/>
            </w:tcBorders>
            <w:vAlign w:val="center"/>
          </w:tcPr>
          <w:p w14:paraId="43C7F385" w14:textId="77777777" w:rsidR="00BF3068" w:rsidRDefault="00BF3068">
            <w:pPr>
              <w:widowControl/>
              <w:spacing w:line="560" w:lineRule="exact"/>
              <w:jc w:val="left"/>
              <w:rPr>
                <w:rFonts w:eastAsia="方正仿宋简体"/>
                <w:kern w:val="0"/>
                <w:sz w:val="24"/>
              </w:rPr>
            </w:pPr>
          </w:p>
        </w:tc>
        <w:tc>
          <w:tcPr>
            <w:tcW w:w="756" w:type="dxa"/>
            <w:vMerge/>
            <w:tcBorders>
              <w:top w:val="single" w:sz="6" w:space="0" w:color="auto"/>
              <w:left w:val="single" w:sz="6" w:space="0" w:color="auto"/>
              <w:bottom w:val="single" w:sz="6" w:space="0" w:color="auto"/>
              <w:right w:val="single" w:sz="6" w:space="0" w:color="auto"/>
            </w:tcBorders>
            <w:vAlign w:val="center"/>
          </w:tcPr>
          <w:p w14:paraId="5FF7D947" w14:textId="77777777" w:rsidR="00BF3068" w:rsidRDefault="00BF3068">
            <w:pPr>
              <w:widowControl/>
              <w:spacing w:line="560" w:lineRule="exact"/>
              <w:jc w:val="left"/>
              <w:rPr>
                <w:rFonts w:eastAsia="方正仿宋简体"/>
                <w:kern w:val="0"/>
                <w:sz w:val="24"/>
              </w:rPr>
            </w:pPr>
          </w:p>
        </w:tc>
        <w:tc>
          <w:tcPr>
            <w:tcW w:w="793" w:type="dxa"/>
            <w:vMerge/>
            <w:tcBorders>
              <w:top w:val="single" w:sz="6" w:space="0" w:color="auto"/>
              <w:left w:val="single" w:sz="6" w:space="0" w:color="auto"/>
              <w:bottom w:val="single" w:sz="6" w:space="0" w:color="auto"/>
              <w:right w:val="single" w:sz="6" w:space="0" w:color="auto"/>
            </w:tcBorders>
            <w:vAlign w:val="center"/>
          </w:tcPr>
          <w:p w14:paraId="66C2524B" w14:textId="77777777" w:rsidR="00BF3068" w:rsidRDefault="00BF3068">
            <w:pPr>
              <w:widowControl/>
              <w:spacing w:line="560" w:lineRule="exact"/>
              <w:jc w:val="left"/>
              <w:rPr>
                <w:rFonts w:eastAsia="方正仿宋简体"/>
                <w:kern w:val="0"/>
                <w:sz w:val="24"/>
              </w:rPr>
            </w:pPr>
          </w:p>
        </w:tc>
        <w:tc>
          <w:tcPr>
            <w:tcW w:w="566" w:type="dxa"/>
            <w:vMerge/>
            <w:tcBorders>
              <w:top w:val="single" w:sz="6" w:space="0" w:color="auto"/>
              <w:left w:val="single" w:sz="6" w:space="0" w:color="auto"/>
              <w:bottom w:val="single" w:sz="6" w:space="0" w:color="auto"/>
              <w:right w:val="single" w:sz="6" w:space="0" w:color="auto"/>
            </w:tcBorders>
            <w:vAlign w:val="center"/>
          </w:tcPr>
          <w:p w14:paraId="5195E966" w14:textId="77777777" w:rsidR="00BF3068" w:rsidRDefault="00BF3068">
            <w:pPr>
              <w:widowControl/>
              <w:spacing w:line="560" w:lineRule="exact"/>
              <w:jc w:val="left"/>
              <w:rPr>
                <w:rFonts w:eastAsia="方正仿宋简体"/>
                <w:kern w:val="0"/>
                <w:sz w:val="24"/>
              </w:rPr>
            </w:pPr>
          </w:p>
        </w:tc>
      </w:tr>
    </w:tbl>
    <w:p w14:paraId="7BCFB4EE" w14:textId="77777777" w:rsidR="00BF3068" w:rsidRDefault="00B620C0">
      <w:pPr>
        <w:spacing w:line="560" w:lineRule="exact"/>
        <w:rPr>
          <w:rFonts w:eastAsia="方正仿宋简体"/>
          <w:bCs/>
          <w:color w:val="000000"/>
          <w:sz w:val="24"/>
        </w:rPr>
      </w:pPr>
      <w:r>
        <w:rPr>
          <w:rFonts w:eastAsia="方正仿宋简体"/>
          <w:bCs/>
          <w:color w:val="000000"/>
          <w:sz w:val="24"/>
        </w:rPr>
        <w:t>注：表中持仓量、限仓数额为单向计算。</w:t>
      </w:r>
    </w:p>
    <w:p w14:paraId="084FBE30"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交割月前第一月的最后一个交易日收盘前，</w:t>
      </w:r>
      <w:r>
        <w:rPr>
          <w:rFonts w:eastAsia="方正仿宋简体" w:hint="eastAsia"/>
          <w:color w:val="000000"/>
          <w:sz w:val="30"/>
          <w:szCs w:val="30"/>
        </w:rPr>
        <w:t>交易者（</w:t>
      </w:r>
      <w:r>
        <w:rPr>
          <w:rFonts w:eastAsia="方正仿宋简体" w:cs="Calibri" w:hint="eastAsia"/>
          <w:color w:val="000000"/>
          <w:kern w:val="0"/>
          <w:sz w:val="30"/>
          <w:szCs w:val="30"/>
        </w:rPr>
        <w:t>即客户、非期货公司会员，下同</w:t>
      </w:r>
      <w:r>
        <w:rPr>
          <w:rFonts w:eastAsia="方正仿宋简体" w:hint="eastAsia"/>
          <w:color w:val="000000"/>
          <w:sz w:val="30"/>
          <w:szCs w:val="30"/>
        </w:rPr>
        <w:t>）</w:t>
      </w:r>
      <w:r>
        <w:rPr>
          <w:rFonts w:eastAsia="方正仿宋简体"/>
          <w:sz w:val="30"/>
          <w:szCs w:val="30"/>
        </w:rPr>
        <w:t>在每个</w:t>
      </w:r>
      <w:r>
        <w:rPr>
          <w:rFonts w:eastAsia="方正仿宋简体" w:hint="eastAsia"/>
          <w:color w:val="000000"/>
          <w:sz w:val="30"/>
          <w:szCs w:val="30"/>
        </w:rPr>
        <w:t>交易编码上的</w:t>
      </w:r>
      <w:r>
        <w:rPr>
          <w:rFonts w:eastAsia="方正仿宋简体"/>
          <w:sz w:val="30"/>
          <w:szCs w:val="30"/>
        </w:rPr>
        <w:t>热轧卷板期货合约的</w:t>
      </w:r>
      <w:r>
        <w:rPr>
          <w:rFonts w:eastAsia="方正仿宋简体" w:hint="eastAsia"/>
          <w:color w:val="000000"/>
          <w:sz w:val="30"/>
          <w:szCs w:val="30"/>
        </w:rPr>
        <w:t>一般</w:t>
      </w:r>
      <w:r>
        <w:rPr>
          <w:rFonts w:eastAsia="方正仿宋简体"/>
          <w:sz w:val="30"/>
          <w:szCs w:val="30"/>
        </w:rPr>
        <w:t>持仓应当调整为</w:t>
      </w:r>
      <w:r>
        <w:rPr>
          <w:rFonts w:eastAsia="方正仿宋简体"/>
          <w:sz w:val="30"/>
          <w:szCs w:val="30"/>
        </w:rPr>
        <w:t>30</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进入交割月后，热轧卷板期货合约</w:t>
      </w:r>
      <w:r>
        <w:rPr>
          <w:rFonts w:eastAsia="方正仿宋简体" w:hint="eastAsia"/>
          <w:color w:val="000000"/>
          <w:sz w:val="30"/>
          <w:szCs w:val="30"/>
        </w:rPr>
        <w:t>一般</w:t>
      </w:r>
      <w:r>
        <w:rPr>
          <w:rFonts w:eastAsia="方正仿宋简体"/>
          <w:sz w:val="30"/>
          <w:szCs w:val="30"/>
        </w:rPr>
        <w:t>持仓应当是</w:t>
      </w:r>
      <w:r>
        <w:rPr>
          <w:rFonts w:eastAsia="方正仿宋简体"/>
          <w:sz w:val="30"/>
          <w:szCs w:val="30"/>
        </w:rPr>
        <w:t>30</w:t>
      </w:r>
      <w:r>
        <w:rPr>
          <w:rFonts w:eastAsia="方正仿宋简体"/>
          <w:sz w:val="30"/>
          <w:szCs w:val="30"/>
        </w:rPr>
        <w:t>手的整倍数，新开仓、平仓也应当是</w:t>
      </w:r>
      <w:r>
        <w:rPr>
          <w:rFonts w:eastAsia="方正仿宋简体"/>
          <w:sz w:val="30"/>
          <w:szCs w:val="30"/>
        </w:rPr>
        <w:t>30</w:t>
      </w:r>
      <w:r>
        <w:rPr>
          <w:rFonts w:eastAsia="方正仿宋简体"/>
          <w:sz w:val="30"/>
          <w:szCs w:val="30"/>
        </w:rPr>
        <w:t>手的整倍数。</w:t>
      </w:r>
    </w:p>
    <w:p w14:paraId="05A6F09A"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交易所对某一热轧卷板期货合约采取强制减仓的，其申报平仓数量、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14:paraId="06781533" w14:textId="77777777" w:rsidR="00BF3068" w:rsidRDefault="00B620C0">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sz w:val="30"/>
          <w:szCs w:val="30"/>
        </w:rPr>
        <w:t>该热轧卷板期货合约的单位净持仓亏损大于或者等于强制减仓基准日结算价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14:paraId="5D689272" w14:textId="77777777" w:rsidR="00BF3068" w:rsidRDefault="00B620C0">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14:paraId="0A82A602" w14:textId="77777777" w:rsidR="00BF3068" w:rsidRDefault="00B620C0">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sz w:val="30"/>
          <w:szCs w:val="30"/>
        </w:rPr>
        <w:t>3%</w:t>
      </w:r>
      <w:r>
        <w:rPr>
          <w:rFonts w:eastAsia="方正仿宋简体"/>
          <w:color w:val="000000"/>
          <w:sz w:val="30"/>
          <w:szCs w:val="30"/>
        </w:rPr>
        <w:t>，小于</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14:paraId="5D0A2ADD" w14:textId="77777777" w:rsidR="00BF3068" w:rsidRDefault="00B620C0">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14:paraId="769D502A" w14:textId="77777777" w:rsidR="00BF3068" w:rsidRDefault="00B620C0">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14:paraId="1DF44CEE"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五十二</w:t>
      </w:r>
      <w:r>
        <w:rPr>
          <w:rFonts w:eastAsia="方正仿宋简体"/>
          <w:b/>
          <w:sz w:val="30"/>
          <w:szCs w:val="30"/>
        </w:rPr>
        <w:t>条</w:t>
      </w:r>
      <w:r>
        <w:rPr>
          <w:rFonts w:eastAsia="方正仿宋简体"/>
          <w:sz w:val="30"/>
          <w:szCs w:val="30"/>
        </w:rPr>
        <w:t xml:space="preserve"> </w:t>
      </w:r>
      <w:r>
        <w:rPr>
          <w:rFonts w:eastAsia="方正仿宋简体"/>
          <w:sz w:val="30"/>
          <w:szCs w:val="30"/>
        </w:rPr>
        <w:t>本细则未规定的，按照交易所相关业务规则的规定执行。</w:t>
      </w:r>
    </w:p>
    <w:p w14:paraId="676D676B"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14:paraId="50C0DEB9" w14:textId="77777777" w:rsidR="00BF3068" w:rsidRDefault="00B620C0">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五十四</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14:paraId="0CEA0071" w14:textId="77777777" w:rsidR="00BF3068" w:rsidRDefault="00B620C0">
      <w:pPr>
        <w:spacing w:line="560" w:lineRule="exact"/>
        <w:ind w:firstLineChars="200" w:firstLine="602"/>
        <w:rPr>
          <w:rFonts w:eastAsia="方正仿宋简体"/>
          <w:color w:val="212121"/>
          <w:kern w:val="0"/>
          <w:sz w:val="30"/>
          <w:szCs w:val="30"/>
        </w:rPr>
      </w:pPr>
      <w:r>
        <w:rPr>
          <w:rFonts w:eastAsia="方正仿宋简体"/>
          <w:b/>
          <w:sz w:val="30"/>
          <w:szCs w:val="30"/>
        </w:rPr>
        <w:t>第五十</w:t>
      </w:r>
      <w:r>
        <w:rPr>
          <w:rFonts w:eastAsia="方正仿宋简体" w:hint="eastAsia"/>
          <w:b/>
          <w:sz w:val="30"/>
          <w:szCs w:val="30"/>
        </w:rPr>
        <w:t>五</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本细则自</w:t>
      </w:r>
      <w:r>
        <w:rPr>
          <w:rFonts w:eastAsia="方正仿宋简体" w:hint="eastAsia"/>
          <w:sz w:val="30"/>
          <w:szCs w:val="30"/>
        </w:rPr>
        <w:t>2025</w:t>
      </w:r>
      <w:r>
        <w:rPr>
          <w:rFonts w:eastAsia="方正仿宋简体"/>
          <w:sz w:val="30"/>
          <w:szCs w:val="30"/>
        </w:rPr>
        <w:t>年</w:t>
      </w:r>
      <w:r>
        <w:rPr>
          <w:rFonts w:eastAsia="方正仿宋简体" w:hint="eastAsia"/>
          <w:sz w:val="30"/>
          <w:szCs w:val="30"/>
        </w:rPr>
        <w:t>11</w:t>
      </w:r>
      <w:r>
        <w:rPr>
          <w:rFonts w:eastAsia="方正仿宋简体"/>
          <w:sz w:val="30"/>
          <w:szCs w:val="30"/>
        </w:rPr>
        <w:t>月</w:t>
      </w:r>
      <w:r>
        <w:rPr>
          <w:rFonts w:eastAsia="方正仿宋简体" w:hint="eastAsia"/>
          <w:sz w:val="30"/>
          <w:szCs w:val="30"/>
        </w:rPr>
        <w:t>20</w:t>
      </w:r>
      <w:r>
        <w:rPr>
          <w:rFonts w:eastAsia="方正仿宋简体"/>
          <w:sz w:val="30"/>
          <w:szCs w:val="30"/>
        </w:rPr>
        <w:t>日起实施。</w:t>
      </w:r>
    </w:p>
    <w:p w14:paraId="24AFF7AA" w14:textId="77777777" w:rsidR="00BF3068" w:rsidRDefault="00BF3068">
      <w:pPr>
        <w:spacing w:line="560" w:lineRule="exact"/>
        <w:jc w:val="right"/>
        <w:rPr>
          <w:rFonts w:eastAsia="方正仿宋简体"/>
          <w:sz w:val="30"/>
          <w:szCs w:val="30"/>
        </w:rPr>
      </w:pPr>
    </w:p>
    <w:sectPr w:rsidR="00BF3068">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194E0" w14:textId="77777777" w:rsidR="0092359B" w:rsidRDefault="0092359B">
      <w:r>
        <w:separator/>
      </w:r>
    </w:p>
  </w:endnote>
  <w:endnote w:type="continuationSeparator" w:id="0">
    <w:p w14:paraId="23B7E351" w14:textId="77777777" w:rsidR="0092359B" w:rsidRDefault="0092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1119"/>
    </w:sdtPr>
    <w:sdtEndPr>
      <w:rPr>
        <w:sz w:val="24"/>
        <w:szCs w:val="24"/>
      </w:rPr>
    </w:sdtEndPr>
    <w:sdtContent>
      <w:p w14:paraId="6B2ECA81" w14:textId="77777777" w:rsidR="00BF3068" w:rsidRDefault="00B620C0">
        <w:pPr>
          <w:pStyle w:val="a4"/>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92359B" w:rsidRPr="0092359B">
          <w:rPr>
            <w:noProof/>
            <w:sz w:val="24"/>
            <w:szCs w:val="24"/>
            <w:lang w:val="zh-CN"/>
          </w:rPr>
          <w:t>-</w:t>
        </w:r>
        <w:r w:rsidR="0092359B">
          <w:rPr>
            <w:noProof/>
            <w:sz w:val="24"/>
            <w:szCs w:val="24"/>
          </w:rPr>
          <w:t xml:space="preserve"> 1 -</w:t>
        </w:r>
        <w:r>
          <w:rPr>
            <w:sz w:val="24"/>
            <w:szCs w:val="24"/>
          </w:rPr>
          <w:fldChar w:fldCharType="end"/>
        </w:r>
      </w:p>
    </w:sdtContent>
  </w:sdt>
  <w:p w14:paraId="42E2DE75" w14:textId="77777777" w:rsidR="00BF3068" w:rsidRDefault="00BF30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62129" w14:textId="77777777" w:rsidR="0092359B" w:rsidRDefault="0092359B">
      <w:r>
        <w:separator/>
      </w:r>
    </w:p>
  </w:footnote>
  <w:footnote w:type="continuationSeparator" w:id="0">
    <w:p w14:paraId="277F23A9" w14:textId="77777777" w:rsidR="0092359B" w:rsidRDefault="00923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BE920A"/>
    <w:multiLevelType w:val="singleLevel"/>
    <w:tmpl w:val="A6BE920A"/>
    <w:lvl w:ilvl="0">
      <w:start w:val="3"/>
      <w:numFmt w:val="decimal"/>
      <w:suff w:val="space"/>
      <w:lvlText w:val="%1."/>
      <w:lvlJc w:val="left"/>
    </w:lvl>
  </w:abstractNum>
  <w:abstractNum w:abstractNumId="1">
    <w:nsid w:val="BF6372BC"/>
    <w:multiLevelType w:val="singleLevel"/>
    <w:tmpl w:val="BF6372BC"/>
    <w:lvl w:ilvl="0">
      <w:start w:val="1"/>
      <w:numFmt w:val="decimal"/>
      <w:suff w:val="space"/>
      <w:lvlText w:val="%1."/>
      <w:lvlJc w:val="left"/>
    </w:lvl>
  </w:abstractNum>
  <w:abstractNum w:abstractNumId="2">
    <w:nsid w:val="FFDBC5B1"/>
    <w:multiLevelType w:val="singleLevel"/>
    <w:tmpl w:val="FFDBC5B1"/>
    <w:lvl w:ilvl="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66"/>
    <w:rsid w:val="B54B6469"/>
    <w:rsid w:val="BE4A1C43"/>
    <w:rsid w:val="C0E43E81"/>
    <w:rsid w:val="DF6DCCE7"/>
    <w:rsid w:val="DFF9840A"/>
    <w:rsid w:val="E2AF889F"/>
    <w:rsid w:val="F7FE14E8"/>
    <w:rsid w:val="F85918C4"/>
    <w:rsid w:val="F8DEF3E3"/>
    <w:rsid w:val="F9C39CBB"/>
    <w:rsid w:val="FE67E721"/>
    <w:rsid w:val="FEBE1B2E"/>
    <w:rsid w:val="FF7B9E1A"/>
    <w:rsid w:val="FFA792E0"/>
    <w:rsid w:val="FFB3A2F8"/>
    <w:rsid w:val="00110B52"/>
    <w:rsid w:val="00111E9F"/>
    <w:rsid w:val="001D4488"/>
    <w:rsid w:val="00224D19"/>
    <w:rsid w:val="00226DCC"/>
    <w:rsid w:val="0029026D"/>
    <w:rsid w:val="002A2BDD"/>
    <w:rsid w:val="002A5D89"/>
    <w:rsid w:val="002B5B00"/>
    <w:rsid w:val="002F2DB5"/>
    <w:rsid w:val="003564F1"/>
    <w:rsid w:val="00377960"/>
    <w:rsid w:val="0039743D"/>
    <w:rsid w:val="003A760B"/>
    <w:rsid w:val="003B544D"/>
    <w:rsid w:val="003F76E5"/>
    <w:rsid w:val="0040241D"/>
    <w:rsid w:val="0043004F"/>
    <w:rsid w:val="00433248"/>
    <w:rsid w:val="00450254"/>
    <w:rsid w:val="004966C6"/>
    <w:rsid w:val="00496D6E"/>
    <w:rsid w:val="005B6C00"/>
    <w:rsid w:val="005F5284"/>
    <w:rsid w:val="00633B0C"/>
    <w:rsid w:val="006869C0"/>
    <w:rsid w:val="00761331"/>
    <w:rsid w:val="00775B6A"/>
    <w:rsid w:val="0079017E"/>
    <w:rsid w:val="007B7959"/>
    <w:rsid w:val="007D1A0E"/>
    <w:rsid w:val="007D5AB5"/>
    <w:rsid w:val="00863A69"/>
    <w:rsid w:val="00883B99"/>
    <w:rsid w:val="0092359B"/>
    <w:rsid w:val="00A90496"/>
    <w:rsid w:val="00AB45ED"/>
    <w:rsid w:val="00AD3BFC"/>
    <w:rsid w:val="00B620C0"/>
    <w:rsid w:val="00BA680F"/>
    <w:rsid w:val="00BB10C1"/>
    <w:rsid w:val="00BF3068"/>
    <w:rsid w:val="00C501EF"/>
    <w:rsid w:val="00CA5C0B"/>
    <w:rsid w:val="00CB5EEB"/>
    <w:rsid w:val="00CD1A18"/>
    <w:rsid w:val="00CF6D06"/>
    <w:rsid w:val="00D13190"/>
    <w:rsid w:val="00D33D71"/>
    <w:rsid w:val="00D94DD3"/>
    <w:rsid w:val="00DD4E4E"/>
    <w:rsid w:val="00E15DFE"/>
    <w:rsid w:val="00E761C2"/>
    <w:rsid w:val="00EF0FB7"/>
    <w:rsid w:val="00F410BF"/>
    <w:rsid w:val="00F53766"/>
    <w:rsid w:val="00FD5F48"/>
    <w:rsid w:val="00FE56A3"/>
    <w:rsid w:val="00FF2609"/>
    <w:rsid w:val="00FF441D"/>
    <w:rsid w:val="17DD0A50"/>
    <w:rsid w:val="1EF795BE"/>
    <w:rsid w:val="1FDBA603"/>
    <w:rsid w:val="36F5B5AD"/>
    <w:rsid w:val="3FEF56B8"/>
    <w:rsid w:val="50B16954"/>
    <w:rsid w:val="56FF2701"/>
    <w:rsid w:val="5DEB0705"/>
    <w:rsid w:val="6A7B8F9C"/>
    <w:rsid w:val="6FF53B4D"/>
    <w:rsid w:val="716606AD"/>
    <w:rsid w:val="736EE759"/>
    <w:rsid w:val="73FFC7AC"/>
    <w:rsid w:val="7B2F5D06"/>
    <w:rsid w:val="7BFF4744"/>
    <w:rsid w:val="7C37F7F3"/>
    <w:rsid w:val="7C4C785F"/>
    <w:rsid w:val="7EFD0B59"/>
    <w:rsid w:val="7FCDB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9CAF6-2F01-45FE-843A-C6D59870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120" w:after="120" w:line="560" w:lineRule="exact"/>
      <w:jc w:val="center"/>
      <w:outlineLvl w:val="0"/>
    </w:pPr>
    <w:rPr>
      <w:rFonts w:eastAsia="方正大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semiHidden/>
    <w:unhideWhenUsed/>
    <w:qFormat/>
    <w:pPr>
      <w:snapToGrid w:val="0"/>
      <w:jc w:val="left"/>
    </w:pPr>
    <w:rPr>
      <w:sz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62FAE042-9BA4-48B1-93E6-A6ED3AFC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889</Words>
  <Characters>5068</Characters>
  <Application>Microsoft Office Word</Application>
  <DocSecurity>0</DocSecurity>
  <Lines>42</Lines>
  <Paragraphs>11</Paragraphs>
  <ScaleCrop>false</ScaleCrop>
  <Company>SHFE</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36</cp:revision>
  <cp:lastPrinted>2025-10-23T16:36:00Z</cp:lastPrinted>
  <dcterms:created xsi:type="dcterms:W3CDTF">2024-03-31T21:38:00Z</dcterms:created>
  <dcterms:modified xsi:type="dcterms:W3CDTF">2025-10-31T07:26:00Z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eyJoZGlkIjoiYTJjMDg3MGQzYWY4ZDZiNThmMjEzYzY4YTA5YWZmMTMiLCJ1c2VySWQiOiI0NDA0MjQ2MDgifQ==</vt:lpwstr>
  </property>
  <property fmtid="{D5CDD505-2E9C-101B-9397-08002B2CF9AE}" pid="3" name="KSOProductBuildVer">
    <vt:lpwstr>2052-12.1.23141.23141</vt:lpwstr>
  </property>
  <property fmtid="{D5CDD505-2E9C-101B-9397-08002B2CF9AE}" pid="4" name="ICV">
    <vt:lpwstr>803CFB9954794EA79B7E387B506D6BFA_12</vt:lpwstr>
  </property>
</Properties>
</file>