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eastAsia="方正大标宋简体"/>
          <w:bCs/>
          <w:kern w:val="0"/>
          <w:sz w:val="42"/>
          <w:szCs w:val="42"/>
        </w:rPr>
      </w:pPr>
      <w:bookmarkStart w:id="1" w:name="_GoBack"/>
      <w:r>
        <w:rPr>
          <w:rFonts w:eastAsia="方正大标宋简体"/>
          <w:bCs/>
          <w:kern w:val="0"/>
          <w:sz w:val="42"/>
          <w:szCs w:val="42"/>
        </w:rPr>
        <w:t>上海期货交易所交割细则</w:t>
      </w:r>
      <w:bookmarkEnd w:id="1"/>
    </w:p>
    <w:p>
      <w:pPr>
        <w:jc w:val="center"/>
        <w:rPr>
          <w:rFonts w:eastAsia="方正大标宋简体"/>
          <w:bCs/>
          <w:kern w:val="0"/>
          <w:sz w:val="42"/>
          <w:szCs w:val="42"/>
        </w:rPr>
      </w:pPr>
      <w:r>
        <w:rPr>
          <w:rFonts w:eastAsia="方正大标宋简体"/>
          <w:bCs/>
          <w:kern w:val="0"/>
          <w:sz w:val="42"/>
          <w:szCs w:val="42"/>
        </w:rPr>
        <w:t>（</w:t>
      </w:r>
      <w:r>
        <w:rPr>
          <w:rFonts w:hint="eastAsia" w:eastAsia="方正大标宋简体"/>
          <w:bCs/>
          <w:kern w:val="0"/>
          <w:sz w:val="42"/>
          <w:szCs w:val="42"/>
        </w:rPr>
        <w:t>修订版</w:t>
      </w:r>
      <w:r>
        <w:rPr>
          <w:rFonts w:eastAsia="方正大标宋简体"/>
          <w:bCs/>
          <w:kern w:val="0"/>
          <w:sz w:val="42"/>
          <w:szCs w:val="42"/>
        </w:rPr>
        <w:t>）</w:t>
      </w:r>
    </w:p>
    <w:p/>
    <w:p>
      <w:pPr>
        <w:adjustRightInd w:val="0"/>
        <w:spacing w:line="570" w:lineRule="exact"/>
        <w:jc w:val="center"/>
        <w:rPr>
          <w:rFonts w:eastAsia="方正黑体简体"/>
          <w:sz w:val="30"/>
          <w:szCs w:val="30"/>
        </w:rPr>
      </w:pPr>
      <w:r>
        <w:rPr>
          <w:rFonts w:eastAsia="方正黑体简体"/>
          <w:sz w:val="30"/>
          <w:szCs w:val="30"/>
        </w:rPr>
        <w:t>第一章</w:t>
      </w:r>
      <w:r>
        <w:rPr>
          <w:rFonts w:hint="eastAsia" w:eastAsia="方正黑体简体"/>
          <w:sz w:val="30"/>
          <w:szCs w:val="30"/>
        </w:rPr>
        <w:t xml:space="preserve"> </w:t>
      </w:r>
      <w:r>
        <w:rPr>
          <w:rFonts w:eastAsia="方正黑体简体"/>
          <w:sz w:val="30"/>
          <w:szCs w:val="30"/>
        </w:rPr>
        <w:t>总</w:t>
      </w:r>
      <w:r>
        <w:rPr>
          <w:rFonts w:hint="eastAsia" w:eastAsia="方正黑体简体"/>
          <w:sz w:val="30"/>
          <w:szCs w:val="30"/>
        </w:rPr>
        <w:t xml:space="preserve"> </w:t>
      </w:r>
      <w:r>
        <w:rPr>
          <w:rFonts w:eastAsia="方正黑体简体"/>
          <w:sz w:val="30"/>
          <w:szCs w:val="30"/>
        </w:rPr>
        <w:t>则</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第一条</w:t>
      </w:r>
      <w:r>
        <w:rPr>
          <w:rFonts w:hint="eastAsia" w:eastAsia="方正仿宋简体"/>
          <w:b/>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第二条</w:t>
      </w:r>
      <w:r>
        <w:rPr>
          <w:rFonts w:hint="eastAsia" w:eastAsia="方正仿宋简体"/>
          <w:b/>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pPr>
        <w:spacing w:before="156" w:beforeLines="50" w:line="560" w:lineRule="exact"/>
        <w:jc w:val="center"/>
        <w:rPr>
          <w:rFonts w:eastAsia="方正黑体简体"/>
          <w:sz w:val="30"/>
          <w:szCs w:val="30"/>
        </w:rPr>
      </w:pPr>
      <w:r>
        <w:rPr>
          <w:rFonts w:eastAsia="方正黑体简体"/>
          <w:sz w:val="30"/>
          <w:szCs w:val="30"/>
        </w:rPr>
        <w:t>第二章</w:t>
      </w:r>
      <w:r>
        <w:rPr>
          <w:rFonts w:hint="eastAsia" w:eastAsia="方正黑体简体"/>
          <w:sz w:val="30"/>
          <w:szCs w:val="30"/>
        </w:rPr>
        <w:t xml:space="preserve"> </w:t>
      </w:r>
      <w:r>
        <w:rPr>
          <w:rFonts w:eastAsia="方正黑体简体"/>
          <w:sz w:val="30"/>
          <w:szCs w:val="30"/>
        </w:rPr>
        <w:t>交割流程</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第三条</w:t>
      </w:r>
      <w:r>
        <w:rPr>
          <w:rFonts w:hint="eastAsia" w:eastAsia="方正仿宋简体"/>
          <w:b/>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第四条</w:t>
      </w:r>
      <w:r>
        <w:rPr>
          <w:rFonts w:hint="eastAsia" w:eastAsia="方正仿宋简体"/>
          <w:b/>
          <w:color w:val="000000"/>
          <w:kern w:val="0"/>
          <w:sz w:val="30"/>
          <w:szCs w:val="30"/>
        </w:rPr>
        <w:t xml:space="preserve"> </w:t>
      </w:r>
      <w:r>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不能交付或者接收增值税专用发票的客户不允许交割。</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某一期货合约最后交易日前第三个交易日收盘后，自然人客户该期货合约的持仓应当为0手。自最后交易日前第二个交易日起，对自然人客户的交割月份持仓直接由交易所强行平仓。</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第五条</w:t>
      </w:r>
      <w:r>
        <w:rPr>
          <w:rFonts w:hint="eastAsia" w:eastAsia="方正仿宋简体"/>
          <w:b/>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Pr>
          <w:rFonts w:hint="eastAsia" w:eastAsia="方正仿宋简体"/>
          <w:color w:val="000000"/>
          <w:kern w:val="0"/>
          <w:sz w:val="30"/>
          <w:szCs w:val="30"/>
        </w:rPr>
        <w:t>二</w:t>
      </w:r>
      <w:r>
        <w:rPr>
          <w:rFonts w:eastAsia="方正仿宋简体"/>
          <w:color w:val="000000"/>
          <w:kern w:val="0"/>
          <w:sz w:val="30"/>
          <w:szCs w:val="30"/>
        </w:rPr>
        <w:t>个工作日。该</w:t>
      </w:r>
      <w:r>
        <w:rPr>
          <w:rFonts w:hint="eastAsia" w:eastAsia="方正仿宋简体"/>
          <w:color w:val="000000"/>
          <w:kern w:val="0"/>
          <w:sz w:val="30"/>
          <w:szCs w:val="30"/>
        </w:rPr>
        <w:t>二</w:t>
      </w:r>
      <w:r>
        <w:rPr>
          <w:rFonts w:eastAsia="方正仿宋简体"/>
          <w:color w:val="000000"/>
          <w:kern w:val="0"/>
          <w:sz w:val="30"/>
          <w:szCs w:val="30"/>
        </w:rPr>
        <w:t>个工作日分别称为第一、第二交割日，第</w:t>
      </w:r>
      <w:r>
        <w:rPr>
          <w:rFonts w:hint="eastAsia" w:eastAsia="方正仿宋简体"/>
          <w:color w:val="000000"/>
          <w:kern w:val="0"/>
          <w:sz w:val="30"/>
          <w:szCs w:val="30"/>
        </w:rPr>
        <w:t>二</w:t>
      </w:r>
      <w:r>
        <w:rPr>
          <w:rFonts w:eastAsia="方正仿宋简体"/>
          <w:color w:val="000000"/>
          <w:kern w:val="0"/>
          <w:sz w:val="30"/>
          <w:szCs w:val="30"/>
        </w:rPr>
        <w:t>交割日为最后交割日。</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第六条</w:t>
      </w:r>
      <w:r>
        <w:rPr>
          <w:rFonts w:hint="eastAsia" w:eastAsia="方正仿宋简体"/>
          <w:b/>
          <w:color w:val="000000"/>
          <w:kern w:val="0"/>
          <w:sz w:val="30"/>
          <w:szCs w:val="30"/>
        </w:rPr>
        <w:t xml:space="preserve"> </w:t>
      </w:r>
      <w:r>
        <w:rPr>
          <w:rFonts w:eastAsia="方正仿宋简体"/>
          <w:color w:val="000000"/>
          <w:kern w:val="0"/>
          <w:sz w:val="30"/>
          <w:szCs w:val="30"/>
        </w:rPr>
        <w:t>交割程序：</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（一）第一交割日</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1</w:t>
      </w:r>
      <w:r>
        <w:rPr>
          <w:rFonts w:hint="eastAsia" w:eastAsia="方正仿宋简体"/>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（二）第二交割日</w:t>
      </w:r>
    </w:p>
    <w:p>
      <w:pPr>
        <w:adjustRightInd w:val="0"/>
        <w:spacing w:line="570" w:lineRule="exact"/>
        <w:ind w:firstLine="600" w:firstLineChars="200"/>
        <w:rPr>
          <w:rFonts w:eastAsia="方正仿宋简体"/>
          <w:color w:val="000000"/>
          <w:kern w:val="0"/>
          <w:sz w:val="30"/>
          <w:szCs w:val="30"/>
        </w:rPr>
      </w:pPr>
      <w:r>
        <w:rPr>
          <w:rFonts w:hint="eastAsia" w:eastAsia="方正仿宋简体"/>
          <w:color w:val="000000"/>
          <w:kern w:val="0"/>
          <w:sz w:val="30"/>
          <w:szCs w:val="30"/>
        </w:rPr>
        <w:t>1．</w:t>
      </w:r>
      <w:r>
        <w:rPr>
          <w:rFonts w:eastAsia="方正仿宋简体"/>
          <w:color w:val="000000"/>
          <w:kern w:val="0"/>
          <w:sz w:val="30"/>
          <w:szCs w:val="30"/>
        </w:rPr>
        <w:t>交易所分配标准仓单。交易所在第二交割日根据已有资源，</w:t>
      </w:r>
      <w:r>
        <w:rPr>
          <w:rFonts w:hint="eastAsia" w:ascii="方正仿宋简体" w:eastAsia="方正仿宋简体"/>
          <w:color w:val="000000"/>
          <w:kern w:val="0"/>
          <w:sz w:val="30"/>
          <w:szCs w:val="30"/>
        </w:rPr>
        <w:t>按照“时间优先、数量取整、就近配对、统筹安排”的原则，向买</w:t>
      </w:r>
      <w:r>
        <w:rPr>
          <w:rFonts w:eastAsia="方正仿宋简体"/>
          <w:color w:val="000000"/>
          <w:kern w:val="0"/>
          <w:sz w:val="30"/>
          <w:szCs w:val="30"/>
        </w:rPr>
        <w:t>方分配标准仓单。</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买方交款、取单。买方应当在第</w:t>
      </w:r>
      <w:r>
        <w:rPr>
          <w:rFonts w:hint="eastAsia" w:eastAsia="方正仿宋简体"/>
          <w:color w:val="000000"/>
          <w:kern w:val="0"/>
          <w:sz w:val="30"/>
          <w:szCs w:val="30"/>
        </w:rPr>
        <w:t>二</w:t>
      </w:r>
      <w:r>
        <w:rPr>
          <w:rFonts w:eastAsia="方正仿宋简体"/>
          <w:color w:val="000000"/>
          <w:kern w:val="0"/>
          <w:sz w:val="30"/>
          <w:szCs w:val="30"/>
        </w:rPr>
        <w:t>交割日14:00前到交易所交付货款并取得标准仓单。</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3</w:t>
      </w:r>
      <w:r>
        <w:rPr>
          <w:rFonts w:hint="eastAsia" w:eastAsia="方正仿宋简体"/>
          <w:color w:val="000000"/>
          <w:kern w:val="0"/>
          <w:sz w:val="30"/>
          <w:szCs w:val="30"/>
        </w:rPr>
        <w:t>．</w:t>
      </w:r>
      <w:r>
        <w:rPr>
          <w:rFonts w:eastAsia="方正仿宋简体"/>
          <w:color w:val="000000"/>
          <w:kern w:val="0"/>
          <w:sz w:val="30"/>
          <w:szCs w:val="30"/>
        </w:rPr>
        <w:t>卖方收款。交易所应当在第</w:t>
      </w:r>
      <w:r>
        <w:rPr>
          <w:rFonts w:hint="eastAsia" w:eastAsia="方正仿宋简体"/>
          <w:color w:val="000000"/>
          <w:kern w:val="0"/>
          <w:sz w:val="30"/>
          <w:szCs w:val="30"/>
        </w:rPr>
        <w:t>二</w:t>
      </w:r>
      <w:r>
        <w:rPr>
          <w:rFonts w:eastAsia="方正仿宋简体"/>
          <w:color w:val="000000"/>
          <w:kern w:val="0"/>
          <w:sz w:val="30"/>
          <w:szCs w:val="30"/>
        </w:rPr>
        <w:t>交割日16:00前将货款付给卖方，如遇特殊情况交易所可以延长交割货款给付时间。</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第七条</w:t>
      </w:r>
      <w:r>
        <w:rPr>
          <w:rFonts w:hint="eastAsia" w:eastAsia="方正仿宋简体"/>
          <w:b/>
          <w:color w:val="000000"/>
          <w:kern w:val="0"/>
          <w:sz w:val="30"/>
          <w:szCs w:val="30"/>
        </w:rPr>
        <w:t xml:space="preserve"> </w:t>
      </w:r>
      <w:r>
        <w:rPr>
          <w:rFonts w:eastAsia="方正仿宋简体"/>
          <w:color w:val="000000"/>
          <w:kern w:val="0"/>
          <w:sz w:val="30"/>
          <w:szCs w:val="30"/>
        </w:rPr>
        <w:t>标准仓单在交易所进行实物交割的，其流转程序如下</w:t>
      </w:r>
      <w:r>
        <w:rPr>
          <w:rFonts w:hint="eastAsia" w:eastAsia="方正仿宋简体"/>
          <w:color w:val="000000"/>
          <w:kern w:val="0"/>
          <w:sz w:val="30"/>
          <w:szCs w:val="30"/>
        </w:rPr>
        <w:t>：</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（一）卖方客户将标准仓单授权给卖方期货公司会员以办理实物交割业务</w:t>
      </w:r>
      <w:r>
        <w:rPr>
          <w:rFonts w:hint="eastAsia" w:eastAsia="方正仿宋简体"/>
          <w:color w:val="000000"/>
          <w:kern w:val="0"/>
          <w:sz w:val="30"/>
          <w:szCs w:val="30"/>
        </w:rPr>
        <w:t>；</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（二）卖方会员将标准仓单提交给交易所</w:t>
      </w:r>
      <w:r>
        <w:rPr>
          <w:rFonts w:hint="eastAsia" w:eastAsia="方正仿宋简体"/>
          <w:color w:val="000000"/>
          <w:kern w:val="0"/>
          <w:sz w:val="30"/>
          <w:szCs w:val="30"/>
        </w:rPr>
        <w:t>；</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（三）交易所将标准仓单分配给买方会员</w:t>
      </w:r>
      <w:r>
        <w:rPr>
          <w:rFonts w:hint="eastAsia" w:eastAsia="方正仿宋简体"/>
          <w:color w:val="000000"/>
          <w:kern w:val="0"/>
          <w:sz w:val="30"/>
          <w:szCs w:val="30"/>
        </w:rPr>
        <w:t>；</w:t>
      </w:r>
    </w:p>
    <w:p>
      <w:pPr>
        <w:adjustRightInd w:val="0"/>
        <w:spacing w:line="570" w:lineRule="exact"/>
        <w:ind w:firstLine="600" w:firstLineChars="200"/>
        <w:rPr>
          <w:rFonts w:eastAsia="方正仿宋简体"/>
          <w:color w:val="000000"/>
          <w:kern w:val="0"/>
          <w:sz w:val="30"/>
          <w:szCs w:val="30"/>
        </w:rPr>
      </w:pPr>
      <w:r>
        <w:rPr>
          <w:rFonts w:eastAsia="方正仿宋简体"/>
          <w:color w:val="000000"/>
          <w:kern w:val="0"/>
          <w:sz w:val="30"/>
          <w:szCs w:val="30"/>
        </w:rPr>
        <w:t>（四）买方期货公司会员将标准仓单分配给买方客户。</w:t>
      </w:r>
    </w:p>
    <w:p>
      <w:pPr>
        <w:adjustRightInd w:val="0"/>
        <w:spacing w:line="570" w:lineRule="exact"/>
        <w:ind w:firstLine="602" w:firstLineChars="200"/>
        <w:rPr>
          <w:rFonts w:eastAsia="方正仿宋简体"/>
          <w:color w:val="000000"/>
          <w:kern w:val="0"/>
          <w:sz w:val="30"/>
          <w:szCs w:val="30"/>
        </w:rPr>
      </w:pPr>
      <w:r>
        <w:rPr>
          <w:rFonts w:eastAsia="方正仿宋简体"/>
          <w:b/>
          <w:color w:val="000000"/>
          <w:kern w:val="0"/>
          <w:sz w:val="30"/>
          <w:szCs w:val="30"/>
        </w:rPr>
        <w:t>第八条</w:t>
      </w:r>
      <w:r>
        <w:rPr>
          <w:rFonts w:hint="eastAsia" w:eastAsia="方正仿宋简体"/>
          <w:b/>
          <w:color w:val="000000"/>
          <w:kern w:val="0"/>
          <w:sz w:val="30"/>
          <w:szCs w:val="30"/>
        </w:rPr>
        <w:t xml:space="preserve"> </w:t>
      </w:r>
      <w:r>
        <w:rPr>
          <w:rFonts w:hint="eastAsia" w:eastAsia="方正仿宋简体"/>
          <w:color w:val="000000"/>
          <w:kern w:val="0"/>
          <w:sz w:val="30"/>
          <w:szCs w:val="30"/>
        </w:rPr>
        <w:t>实物交割完成后，若买方对交割商品的质量、数量有异议的（天然橡胶、白银、漂白硫酸盐针叶木浆有异议的交割商品应当在指定交割仓库内），应当在实物交割月份的下一月份的15日之前（含当日，遇法定假日时顺延至假日后的第一个工作日），向交易所提出书面申请，并应当同时提供本交易所指定的质量监督检验机构（见附件1，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不锈钢和丁二烯橡胶交割商品的质量、数量异议相关要求本条第二款另有规定的，从其规定。</w:t>
      </w:r>
    </w:p>
    <w:p>
      <w:pPr>
        <w:adjustRightInd w:val="0"/>
        <w:spacing w:line="570" w:lineRule="exact"/>
        <w:ind w:firstLine="600" w:firstLineChars="200"/>
        <w:rPr>
          <w:rFonts w:eastAsia="方正仿宋简体"/>
          <w:color w:val="000000"/>
          <w:kern w:val="0"/>
          <w:sz w:val="30"/>
          <w:szCs w:val="30"/>
        </w:rPr>
      </w:pPr>
      <w:r>
        <w:rPr>
          <w:rFonts w:hint="eastAsia" w:eastAsia="方正仿宋简体"/>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15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批交割商品的实际质量仍需承担全部责任。</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第九条</w:t>
      </w:r>
      <w:r>
        <w:rPr>
          <w:rFonts w:hint="eastAsia" w:eastAsia="方正仿宋简体"/>
          <w:b/>
          <w:color w:val="000000"/>
          <w:kern w:val="0"/>
          <w:sz w:val="30"/>
          <w:szCs w:val="30"/>
        </w:rPr>
        <w:t xml:space="preserve"> </w:t>
      </w:r>
      <w:r>
        <w:rPr>
          <w:rFonts w:eastAsia="方正仿宋简体"/>
          <w:color w:val="000000"/>
          <w:kern w:val="0"/>
          <w:sz w:val="30"/>
          <w:szCs w:val="30"/>
        </w:rPr>
        <w:t>买方如需将交割商品再用于将来的交割，应当按规定重新办理有关手续。</w:t>
      </w:r>
    </w:p>
    <w:p>
      <w:pPr>
        <w:spacing w:before="156" w:beforeLines="50" w:line="560" w:lineRule="exact"/>
        <w:jc w:val="center"/>
        <w:rPr>
          <w:rFonts w:eastAsia="方正黑体简体"/>
          <w:sz w:val="30"/>
          <w:szCs w:val="30"/>
        </w:rPr>
      </w:pPr>
      <w:r>
        <w:rPr>
          <w:rFonts w:eastAsia="方正黑体简体"/>
          <w:sz w:val="30"/>
          <w:szCs w:val="30"/>
        </w:rPr>
        <w:t>第三章</w:t>
      </w:r>
      <w:r>
        <w:rPr>
          <w:rFonts w:hint="eastAsia" w:eastAsia="方正黑体简体"/>
          <w:sz w:val="30"/>
          <w:szCs w:val="30"/>
        </w:rPr>
        <w:t xml:space="preserve"> </w:t>
      </w:r>
      <w:r>
        <w:rPr>
          <w:rFonts w:eastAsia="方正黑体简体"/>
          <w:sz w:val="30"/>
          <w:szCs w:val="30"/>
        </w:rPr>
        <w:t>入库与出库</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Pr>
          <w:rFonts w:hint="eastAsia" w:eastAsia="方正仿宋简体"/>
          <w:b/>
          <w:color w:val="000000"/>
          <w:kern w:val="0"/>
          <w:sz w:val="30"/>
          <w:szCs w:val="30"/>
        </w:rPr>
        <w:t xml:space="preserve"> </w:t>
      </w:r>
      <w:r>
        <w:rPr>
          <w:rFonts w:eastAsia="方正仿宋简体"/>
          <w:color w:val="000000"/>
          <w:kern w:val="0"/>
          <w:sz w:val="30"/>
          <w:szCs w:val="30"/>
        </w:rPr>
        <w:t>货主向指定交割仓库发货前，应当办理入库申报（交割预报）。</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Pr>
          <w:rFonts w:hint="eastAsia" w:eastAsia="方正仿宋简体"/>
          <w:b/>
          <w:color w:val="000000"/>
          <w:kern w:val="0"/>
          <w:sz w:val="30"/>
          <w:szCs w:val="30"/>
        </w:rPr>
        <w:t xml:space="preserve"> </w:t>
      </w:r>
      <w:r>
        <w:rPr>
          <w:rFonts w:eastAsia="方正仿宋简体"/>
          <w:color w:val="000000"/>
          <w:kern w:val="0"/>
          <w:sz w:val="30"/>
          <w:szCs w:val="30"/>
        </w:rPr>
        <w:t>交易所在库容允许情况下，考虑货主意愿，在3个交易日内决定是否批准入库。货主应当在交易所规定的有效期内向已批准的入库申报中确定的指定交割仓库发货。未经过交易所批准入库或未在规定的有效期内入库的商品不能用于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Pr>
          <w:rFonts w:hint="eastAsia" w:eastAsia="方正仿宋简体"/>
          <w:b/>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 货主不到库监收的，视为货主同意指定交割仓库验收结果。</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Pr>
          <w:rFonts w:hint="eastAsia" w:eastAsia="方正仿宋简体"/>
          <w:b/>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第十四条</w:t>
      </w:r>
      <w:r>
        <w:rPr>
          <w:rFonts w:hint="eastAsia" w:eastAsia="方正仿宋简体"/>
          <w:b/>
          <w:color w:val="000000"/>
          <w:kern w:val="0"/>
          <w:sz w:val="30"/>
          <w:szCs w:val="30"/>
        </w:rPr>
        <w:t xml:space="preserve"> </w:t>
      </w:r>
      <w:r>
        <w:rPr>
          <w:rFonts w:eastAsia="方正仿宋简体"/>
          <w:color w:val="000000"/>
          <w:kern w:val="0"/>
          <w:sz w:val="30"/>
          <w:szCs w:val="30"/>
        </w:rPr>
        <w:t>指定交割仓库发货时，应当及时填制《标准仓单出库确认单》（一式二份，货主和指定交割仓库各执一份），并妥善保管备查。</w:t>
      </w:r>
    </w:p>
    <w:p>
      <w:pPr>
        <w:spacing w:before="156" w:beforeLines="50" w:line="560" w:lineRule="exact"/>
        <w:jc w:val="center"/>
        <w:rPr>
          <w:rFonts w:eastAsia="方正黑体简体"/>
          <w:sz w:val="30"/>
          <w:szCs w:val="30"/>
        </w:rPr>
      </w:pPr>
      <w:r>
        <w:rPr>
          <w:rFonts w:eastAsia="方正黑体简体"/>
          <w:sz w:val="30"/>
          <w:szCs w:val="30"/>
        </w:rPr>
        <w:t>第四章</w:t>
      </w:r>
      <w:r>
        <w:rPr>
          <w:rFonts w:hint="eastAsia" w:eastAsia="方正黑体简体"/>
          <w:sz w:val="30"/>
          <w:szCs w:val="30"/>
        </w:rPr>
        <w:t xml:space="preserve"> </w:t>
      </w:r>
      <w:r>
        <w:rPr>
          <w:rFonts w:eastAsia="方正黑体简体"/>
          <w:sz w:val="30"/>
          <w:szCs w:val="30"/>
        </w:rPr>
        <w:t>阴极铜的交割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Pr>
          <w:rFonts w:hint="eastAsia" w:eastAsia="方正仿宋简体"/>
          <w:b/>
          <w:color w:val="000000"/>
          <w:kern w:val="0"/>
          <w:sz w:val="30"/>
          <w:szCs w:val="30"/>
        </w:rPr>
        <w:t xml:space="preserve"> </w:t>
      </w:r>
      <w:r>
        <w:rPr>
          <w:rFonts w:eastAsia="方正仿宋简体"/>
          <w:color w:val="000000"/>
          <w:kern w:val="0"/>
          <w:sz w:val="30"/>
          <w:szCs w:val="30"/>
        </w:rPr>
        <w:t>交割单位：25吨。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交割品级见《上海期货交易所阴极铜期货合约》。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Pr>
          <w:rFonts w:hint="eastAsia" w:eastAsia="方正仿宋简体"/>
          <w:b/>
          <w:color w:val="000000"/>
          <w:kern w:val="0"/>
          <w:sz w:val="30"/>
          <w:szCs w:val="30"/>
        </w:rPr>
        <w:t xml:space="preserve"> </w:t>
      </w:r>
      <w:r>
        <w:rPr>
          <w:rFonts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4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hint="eastAsia" w:eastAsia="方正仿宋简体"/>
          <w:b/>
          <w:color w:val="000000"/>
          <w:kern w:val="0"/>
          <w:sz w:val="30"/>
          <w:szCs w:val="30"/>
        </w:rPr>
        <w:t xml:space="preserve"> </w:t>
      </w:r>
      <w:r>
        <w:rPr>
          <w:rFonts w:eastAsia="方正仿宋简体"/>
          <w:color w:val="000000"/>
          <w:kern w:val="0"/>
          <w:sz w:val="30"/>
          <w:szCs w:val="30"/>
        </w:rPr>
        <w:t>溢短和磅差：每张标准仓单所列阴极铜的重量为25吨，溢短不超过±2%。磅差不超过±0.1%。</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hint="eastAsia" w:eastAsia="方正仿宋简体"/>
          <w:color w:val="000000"/>
          <w:kern w:val="0"/>
          <w:sz w:val="30"/>
          <w:szCs w:val="30"/>
        </w:rPr>
        <w:t>2</w:t>
      </w:r>
      <w:r>
        <w:rPr>
          <w:rFonts w:eastAsia="方正仿宋简体"/>
          <w:color w:val="000000"/>
          <w:kern w:val="0"/>
          <w:sz w:val="30"/>
          <w:szCs w:val="30"/>
        </w:rPr>
        <w:t>。</w:t>
      </w:r>
    </w:p>
    <w:p>
      <w:pPr>
        <w:spacing w:before="156" w:beforeLines="50" w:line="560" w:lineRule="exact"/>
        <w:jc w:val="center"/>
        <w:rPr>
          <w:rFonts w:eastAsia="方正黑体简体"/>
          <w:sz w:val="30"/>
          <w:szCs w:val="30"/>
        </w:rPr>
      </w:pPr>
      <w:r>
        <w:rPr>
          <w:rFonts w:eastAsia="方正黑体简体"/>
          <w:sz w:val="30"/>
          <w:szCs w:val="30"/>
        </w:rPr>
        <w:t>第五章</w:t>
      </w:r>
      <w:r>
        <w:rPr>
          <w:rFonts w:hint="eastAsia" w:eastAsia="方正黑体简体"/>
          <w:sz w:val="30"/>
          <w:szCs w:val="30"/>
        </w:rPr>
        <w:t xml:space="preserve"> </w:t>
      </w:r>
      <w:r>
        <w:rPr>
          <w:rFonts w:eastAsia="方正黑体简体"/>
          <w:sz w:val="30"/>
          <w:szCs w:val="30"/>
        </w:rPr>
        <w:t>铝锭的交割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Pr>
          <w:rFonts w:hint="eastAsia" w:eastAsia="方正仿宋简体"/>
          <w:b/>
          <w:color w:val="000000"/>
          <w:kern w:val="0"/>
          <w:sz w:val="30"/>
          <w:szCs w:val="30"/>
        </w:rPr>
        <w:t xml:space="preserve"> </w:t>
      </w:r>
      <w:r>
        <w:rPr>
          <w:rFonts w:eastAsia="方正仿宋简体"/>
          <w:color w:val="000000"/>
          <w:kern w:val="0"/>
          <w:sz w:val="30"/>
          <w:szCs w:val="30"/>
        </w:rPr>
        <w:t>交割单位：25吨。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交割品级见《上海期货交易所铝期货合约》。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Pr>
          <w:rFonts w:hint="eastAsia" w:eastAsia="方正仿宋简体"/>
          <w:b/>
          <w:color w:val="000000"/>
          <w:kern w:val="0"/>
          <w:sz w:val="30"/>
          <w:szCs w:val="30"/>
        </w:rPr>
        <w:t xml:space="preserve"> </w:t>
      </w:r>
      <w:r>
        <w:rPr>
          <w:rFonts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30-32*0.9-1.0mm 表面作防锈处理的钢带井字形捆扎，捆扎应当坚固，同时标有醒目的、不易脱落的产品商品标志、生产炉批编号及捆重。每捆重量不超过2吨。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（三）国产铝每锭重量为15KG±2KG、20KG±2KG或25KG±2KG。进口铝的形状应当为锭，每锭重量在12KG到26KG之间。</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Pr>
          <w:rFonts w:hint="eastAsia" w:eastAsia="方正仿宋简体"/>
          <w:b/>
          <w:color w:val="000000"/>
          <w:kern w:val="0"/>
          <w:sz w:val="30"/>
          <w:szCs w:val="30"/>
        </w:rPr>
        <w:t xml:space="preserve"> </w:t>
      </w:r>
      <w:r>
        <w:rPr>
          <w:rFonts w:eastAsia="方正仿宋简体"/>
          <w:color w:val="000000"/>
          <w:kern w:val="0"/>
          <w:sz w:val="30"/>
          <w:szCs w:val="30"/>
        </w:rPr>
        <w:t>溢短：每张标准仓单所列铝锭的重量为25 吨，溢短不超过±2%。</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Pr>
          <w:rFonts w:hint="eastAsia" w:eastAsia="方正仿宋简体"/>
          <w:b/>
          <w:color w:val="000000"/>
          <w:kern w:val="0"/>
          <w:sz w:val="30"/>
          <w:szCs w:val="30"/>
        </w:rPr>
        <w:t xml:space="preserve"> </w:t>
      </w:r>
      <w:r>
        <w:rPr>
          <w:rFonts w:eastAsia="方正仿宋简体"/>
          <w:color w:val="000000"/>
          <w:kern w:val="0"/>
          <w:sz w:val="30"/>
          <w:szCs w:val="30"/>
        </w:rPr>
        <w:t>磅差：不超过±0.1%。</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hint="eastAsia" w:eastAsia="方正仿宋简体"/>
          <w:color w:val="000000"/>
          <w:kern w:val="0"/>
          <w:sz w:val="30"/>
          <w:szCs w:val="30"/>
        </w:rPr>
        <w:t>2</w:t>
      </w:r>
      <w:r>
        <w:rPr>
          <w:rFonts w:eastAsia="方正仿宋简体"/>
          <w:color w:val="000000"/>
          <w:kern w:val="0"/>
          <w:sz w:val="30"/>
          <w:szCs w:val="30"/>
        </w:rPr>
        <w:t>。</w:t>
      </w:r>
    </w:p>
    <w:p>
      <w:pPr>
        <w:spacing w:before="156" w:beforeLines="50" w:line="560" w:lineRule="exact"/>
        <w:jc w:val="center"/>
        <w:rPr>
          <w:rFonts w:eastAsia="方正黑体简体"/>
          <w:sz w:val="30"/>
          <w:szCs w:val="30"/>
        </w:rPr>
      </w:pPr>
      <w:r>
        <w:rPr>
          <w:rFonts w:eastAsia="方正黑体简体"/>
          <w:sz w:val="30"/>
          <w:szCs w:val="30"/>
        </w:rPr>
        <w:t>第六章</w:t>
      </w:r>
      <w:r>
        <w:rPr>
          <w:rFonts w:hint="eastAsia" w:eastAsia="方正黑体简体"/>
          <w:sz w:val="30"/>
          <w:szCs w:val="30"/>
        </w:rPr>
        <w:t xml:space="preserve"> </w:t>
      </w:r>
      <w:r>
        <w:rPr>
          <w:rFonts w:eastAsia="方正黑体简体"/>
          <w:sz w:val="30"/>
          <w:szCs w:val="30"/>
        </w:rPr>
        <w:t>锌锭的交割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第三十二条</w:t>
      </w:r>
      <w:r>
        <w:rPr>
          <w:rFonts w:hint="eastAsia" w:eastAsia="方正仿宋简体"/>
          <w:b/>
          <w:color w:val="000000"/>
          <w:kern w:val="0"/>
          <w:sz w:val="30"/>
          <w:szCs w:val="30"/>
        </w:rPr>
        <w:t xml:space="preserve"> </w:t>
      </w:r>
      <w:r>
        <w:rPr>
          <w:rFonts w:eastAsia="方正仿宋简体"/>
          <w:color w:val="000000"/>
          <w:kern w:val="0"/>
          <w:sz w:val="30"/>
          <w:szCs w:val="30"/>
        </w:rPr>
        <w:t>交割单位：25吨。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第三十三条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交割品级见《上海期货交易所锌期货合约》。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Pr>
          <w:rFonts w:hint="eastAsia" w:eastAsia="方正仿宋简体"/>
          <w:b/>
          <w:color w:val="000000"/>
          <w:kern w:val="0"/>
          <w:sz w:val="30"/>
          <w:szCs w:val="30"/>
        </w:rPr>
        <w:t xml:space="preserve"> </w:t>
      </w:r>
      <w:r>
        <w:rPr>
          <w:rFonts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30-32*0.9-1.0mm表面作防锈处理的钢带捆扎，捆扎应当坚固，同时标有醒目的、不易脱落的产品商品标志、批号及捆重。</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（三）国产锌的每锭重量为18-30KG。</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第三十七条</w:t>
      </w:r>
      <w:r>
        <w:rPr>
          <w:rFonts w:hint="eastAsia" w:eastAsia="方正仿宋简体"/>
          <w:b/>
          <w:color w:val="000000"/>
          <w:kern w:val="0"/>
          <w:sz w:val="30"/>
          <w:szCs w:val="30"/>
        </w:rPr>
        <w:t xml:space="preserve"> </w:t>
      </w:r>
      <w:r>
        <w:rPr>
          <w:rFonts w:eastAsia="方正仿宋简体"/>
          <w:color w:val="000000"/>
          <w:kern w:val="0"/>
          <w:sz w:val="30"/>
          <w:szCs w:val="30"/>
        </w:rPr>
        <w:t>溢短和磅差：每张标准仓单所列锌锭的重量为25吨，实物溢短不超过±2%，磅差不超过±0.1%。</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第三十八条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hint="eastAsia" w:eastAsia="方正仿宋简体"/>
          <w:color w:val="000000"/>
          <w:kern w:val="0"/>
          <w:sz w:val="30"/>
          <w:szCs w:val="30"/>
        </w:rPr>
        <w:t>2</w:t>
      </w:r>
      <w:r>
        <w:rPr>
          <w:rFonts w:eastAsia="方正仿宋简体"/>
          <w:color w:val="000000"/>
          <w:kern w:val="0"/>
          <w:sz w:val="30"/>
          <w:szCs w:val="30"/>
        </w:rPr>
        <w:t>。</w:t>
      </w:r>
    </w:p>
    <w:p>
      <w:pPr>
        <w:spacing w:before="156" w:beforeLines="50" w:line="560" w:lineRule="exact"/>
        <w:jc w:val="center"/>
        <w:rPr>
          <w:rFonts w:eastAsia="方正黑体简体"/>
          <w:sz w:val="30"/>
          <w:szCs w:val="30"/>
        </w:rPr>
      </w:pPr>
      <w:r>
        <w:rPr>
          <w:rFonts w:eastAsia="方正黑体简体"/>
          <w:sz w:val="30"/>
          <w:szCs w:val="30"/>
        </w:rPr>
        <w:t>第七章</w:t>
      </w:r>
      <w:r>
        <w:rPr>
          <w:rFonts w:hint="eastAsia" w:eastAsia="方正黑体简体"/>
          <w:sz w:val="30"/>
          <w:szCs w:val="30"/>
        </w:rPr>
        <w:t xml:space="preserve"> </w:t>
      </w:r>
      <w:r>
        <w:rPr>
          <w:rFonts w:eastAsia="方正黑体简体"/>
          <w:sz w:val="30"/>
          <w:szCs w:val="30"/>
        </w:rPr>
        <w:t>铅锭的交割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Pr>
          <w:rFonts w:hint="eastAsia" w:eastAsia="方正仿宋简体"/>
          <w:b/>
          <w:color w:val="000000"/>
          <w:kern w:val="0"/>
          <w:sz w:val="30"/>
          <w:szCs w:val="30"/>
        </w:rPr>
        <w:t xml:space="preserve"> </w:t>
      </w:r>
      <w:r>
        <w:rPr>
          <w:rFonts w:eastAsia="方正仿宋简体"/>
          <w:color w:val="000000"/>
          <w:kern w:val="0"/>
          <w:sz w:val="30"/>
          <w:szCs w:val="30"/>
        </w:rPr>
        <w:t>交割单位：25吨。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交割品级见《上海期货交易所铅期货合约》。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Pr>
          <w:rFonts w:hint="eastAsia" w:eastAsia="方正仿宋简体"/>
          <w:b/>
          <w:color w:val="000000"/>
          <w:kern w:val="0"/>
          <w:sz w:val="30"/>
          <w:szCs w:val="30"/>
        </w:rPr>
        <w:t xml:space="preserve"> </w:t>
      </w:r>
      <w:r>
        <w:rPr>
          <w:rFonts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（二）到库商品中，遇有包装带断裂的捆件及散块商品，应当重新组合，用规定的包装带捆扎紧固，方可用于交割。包装费用由货主承担。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（三）国产铅的每锭重量可为48kg±3kg、42kg±2kg、40kg±2kg、24kg±1kg。</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Pr>
          <w:rFonts w:hint="eastAsia" w:eastAsia="方正仿宋简体"/>
          <w:b/>
          <w:color w:val="000000"/>
          <w:kern w:val="0"/>
          <w:sz w:val="30"/>
          <w:szCs w:val="30"/>
        </w:rPr>
        <w:t xml:space="preserve"> </w:t>
      </w:r>
      <w:r>
        <w:rPr>
          <w:rFonts w:eastAsia="方正仿宋简体"/>
          <w:color w:val="000000"/>
          <w:kern w:val="0"/>
          <w:sz w:val="30"/>
          <w:szCs w:val="30"/>
        </w:rPr>
        <w:t>溢短和磅差：每张标准仓单所列铅锭的重量为25吨，实物溢短不超过±2%，磅差不超过±0.1%。</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pPr>
        <w:spacing w:before="156" w:beforeLines="50" w:line="560" w:lineRule="exact"/>
        <w:jc w:val="center"/>
        <w:rPr>
          <w:rFonts w:eastAsia="方正黑体简体"/>
          <w:sz w:val="30"/>
          <w:szCs w:val="30"/>
        </w:rPr>
      </w:pPr>
      <w:r>
        <w:rPr>
          <w:rFonts w:eastAsia="方正黑体简体"/>
          <w:sz w:val="30"/>
          <w:szCs w:val="30"/>
        </w:rPr>
        <w:t>第八章</w:t>
      </w:r>
      <w:r>
        <w:rPr>
          <w:rFonts w:hint="eastAsia" w:eastAsia="方正黑体简体"/>
          <w:sz w:val="30"/>
          <w:szCs w:val="30"/>
        </w:rPr>
        <w:t xml:space="preserve"> </w:t>
      </w:r>
      <w:r>
        <w:rPr>
          <w:rFonts w:eastAsia="方正黑体简体"/>
          <w:sz w:val="30"/>
          <w:szCs w:val="30"/>
        </w:rPr>
        <w:t>电解镍的交割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Pr>
          <w:rFonts w:hint="eastAsia" w:eastAsia="方正仿宋简体"/>
          <w:b/>
          <w:color w:val="000000"/>
          <w:kern w:val="0"/>
          <w:sz w:val="30"/>
          <w:szCs w:val="30"/>
        </w:rPr>
        <w:t xml:space="preserve"> </w:t>
      </w:r>
      <w:r>
        <w:rPr>
          <w:rFonts w:eastAsia="方正仿宋简体"/>
          <w:color w:val="000000"/>
          <w:kern w:val="0"/>
          <w:sz w:val="30"/>
          <w:szCs w:val="30"/>
        </w:rPr>
        <w:t>交割单位：6吨。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交割品级见《上海期货交易所镍期货合约》。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第五十条</w:t>
      </w:r>
      <w:r>
        <w:rPr>
          <w:rFonts w:hint="eastAsia" w:eastAsia="方正仿宋简体"/>
          <w:b/>
          <w:color w:val="000000"/>
          <w:kern w:val="0"/>
          <w:sz w:val="30"/>
          <w:szCs w:val="30"/>
        </w:rPr>
        <w:t xml:space="preserve"> </w:t>
      </w:r>
      <w:r>
        <w:rPr>
          <w:rFonts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应当是在交易所注册的生产企业生产的注册品牌商品或者交易所认可的生产企业生产的指定品牌商品。</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hint="eastAsia" w:eastAsia="方正仿宋简体"/>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30-32*0.9-1.0mm表面作防锈处理的钢带井字形捆扎（或者坚固程度相当的钢带捆扎方式），捆扎应当坚固，同时标有醒目的、不易脱落的产品标识。</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hint="eastAsia" w:eastAsia="方正仿宋简体"/>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hint="eastAsia" w:eastAsia="方正仿宋简体"/>
          <w:color w:val="000000"/>
          <w:kern w:val="0"/>
          <w:sz w:val="30"/>
          <w:szCs w:val="30"/>
        </w:rPr>
        <w:t>．</w:t>
      </w:r>
      <w:r>
        <w:rPr>
          <w:rFonts w:eastAsia="方正仿宋简体"/>
          <w:color w:val="000000"/>
          <w:kern w:val="0"/>
          <w:sz w:val="30"/>
          <w:szCs w:val="30"/>
        </w:rPr>
        <w:t>到库商品中，遇有包装破损的商品，应当重新包装，包装费用由货主承担。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Pr>
          <w:rFonts w:hint="eastAsia" w:eastAsia="方正仿宋简体"/>
          <w:b/>
          <w:color w:val="000000"/>
          <w:kern w:val="0"/>
          <w:sz w:val="30"/>
          <w:szCs w:val="30"/>
        </w:rPr>
        <w:t xml:space="preserve"> </w:t>
      </w:r>
      <w:r>
        <w:rPr>
          <w:rFonts w:eastAsia="方正仿宋简体"/>
          <w:color w:val="000000"/>
          <w:kern w:val="0"/>
          <w:sz w:val="30"/>
          <w:szCs w:val="30"/>
        </w:rPr>
        <w:t>溢短和磅差：每张标准仓单所列电解镍的重量为6吨，实物溢短不超过±3%，磅差不超过±0.1%。</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pPr>
        <w:spacing w:before="156" w:beforeLines="50" w:line="560" w:lineRule="exact"/>
        <w:jc w:val="center"/>
        <w:rPr>
          <w:rFonts w:eastAsia="方正黑体简体"/>
          <w:sz w:val="30"/>
          <w:szCs w:val="30"/>
        </w:rPr>
      </w:pPr>
      <w:r>
        <w:rPr>
          <w:rFonts w:eastAsia="方正黑体简体"/>
          <w:sz w:val="30"/>
          <w:szCs w:val="30"/>
        </w:rPr>
        <w:t>第九章</w:t>
      </w:r>
      <w:r>
        <w:rPr>
          <w:rFonts w:hint="eastAsia" w:eastAsia="方正黑体简体"/>
          <w:sz w:val="30"/>
          <w:szCs w:val="30"/>
        </w:rPr>
        <w:t xml:space="preserve"> </w:t>
      </w:r>
      <w:r>
        <w:rPr>
          <w:rFonts w:eastAsia="方正黑体简体"/>
          <w:sz w:val="30"/>
          <w:szCs w:val="30"/>
        </w:rPr>
        <w:t>锡锭的交割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Pr>
          <w:rFonts w:hint="eastAsia" w:eastAsia="方正仿宋简体"/>
          <w:b/>
          <w:color w:val="000000"/>
          <w:kern w:val="0"/>
          <w:sz w:val="30"/>
          <w:szCs w:val="30"/>
        </w:rPr>
        <w:t xml:space="preserve"> </w:t>
      </w:r>
      <w:r>
        <w:rPr>
          <w:rFonts w:eastAsia="方正仿宋简体"/>
          <w:color w:val="000000"/>
          <w:kern w:val="0"/>
          <w:sz w:val="30"/>
          <w:szCs w:val="30"/>
        </w:rPr>
        <w:t>交割单位：2吨。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交割品级见《上海期货交易所锡期货合约》。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（三）国产锡的每锭重量为25kg±1.5kg。</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Pr>
          <w:rFonts w:hint="eastAsia" w:eastAsia="方正仿宋简体"/>
          <w:b/>
          <w:color w:val="000000"/>
          <w:kern w:val="0"/>
          <w:sz w:val="30"/>
          <w:szCs w:val="30"/>
        </w:rPr>
        <w:t xml:space="preserve"> </w:t>
      </w:r>
      <w:r>
        <w:rPr>
          <w:rFonts w:eastAsia="方正仿宋简体"/>
          <w:color w:val="000000"/>
          <w:kern w:val="0"/>
          <w:sz w:val="30"/>
          <w:szCs w:val="30"/>
        </w:rPr>
        <w:t>溢短和磅差：每张标准仓单所列锡锭的重量为2吨，实物溢短不超过±3%，磅差不超过±0.1%。</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第六十三条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交收地点：交易所指定交割仓库（由交易所指定并另行公告）。用于锡期货交割的锡锭应当存放在室内库房。</w:t>
      </w:r>
    </w:p>
    <w:p>
      <w:pPr>
        <w:spacing w:before="156" w:beforeLines="50" w:line="560" w:lineRule="exact"/>
        <w:jc w:val="center"/>
        <w:rPr>
          <w:rFonts w:eastAsia="方正黑体简体"/>
          <w:sz w:val="30"/>
          <w:szCs w:val="30"/>
        </w:rPr>
      </w:pPr>
      <w:r>
        <w:rPr>
          <w:rFonts w:hint="eastAsia" w:eastAsia="方正黑体简体"/>
          <w:sz w:val="30"/>
          <w:szCs w:val="30"/>
        </w:rPr>
        <w:t>第十章 氧化铝的交割</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第六十四条 </w:t>
      </w:r>
      <w:r>
        <w:rPr>
          <w:rFonts w:hint="eastAsia" w:eastAsia="方正仿宋简体"/>
          <w:color w:val="000000"/>
          <w:kern w:val="0"/>
          <w:sz w:val="30"/>
          <w:szCs w:val="30"/>
        </w:rPr>
        <w:t>交割单位：300吨。</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第六十五条 </w:t>
      </w:r>
      <w:r>
        <w:rPr>
          <w:rFonts w:hint="eastAsia" w:eastAsia="方正仿宋简体"/>
          <w:color w:val="000000"/>
          <w:kern w:val="0"/>
          <w:sz w:val="30"/>
          <w:szCs w:val="30"/>
        </w:rPr>
        <w:t>交割品级见《上海期货交易所氧化铝期货合约》。</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第六十六条 </w:t>
      </w:r>
      <w:r>
        <w:rPr>
          <w:rFonts w:hint="eastAsia" w:eastAsia="方正仿宋简体"/>
          <w:color w:val="000000"/>
          <w:kern w:val="0"/>
          <w:sz w:val="30"/>
          <w:szCs w:val="30"/>
        </w:rPr>
        <w:t>交割商品</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应当是交易所批准的注册品牌或者交易所认可的生产企业生产的氧化铝（由交易所另行规定并公告）。</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交割氧化铝的主要化学成分和主要物理性能应当符合国标</w:t>
      </w:r>
      <w:r>
        <w:rPr>
          <w:rFonts w:eastAsia="方正仿宋简体"/>
          <w:color w:val="000000"/>
          <w:kern w:val="0"/>
          <w:sz w:val="30"/>
          <w:szCs w:val="30"/>
        </w:rPr>
        <w:t>GB/T 24487-2022 AO-1</w:t>
      </w:r>
      <w:r>
        <w:rPr>
          <w:rFonts w:hint="eastAsia" w:eastAsia="方正仿宋简体"/>
          <w:color w:val="000000"/>
          <w:kern w:val="0"/>
          <w:sz w:val="30"/>
          <w:szCs w:val="30"/>
        </w:rPr>
        <w:t>或者</w:t>
      </w:r>
      <w:r>
        <w:rPr>
          <w:rFonts w:eastAsia="方正仿宋简体"/>
          <w:color w:val="000000"/>
          <w:kern w:val="0"/>
          <w:sz w:val="30"/>
          <w:szCs w:val="30"/>
        </w:rPr>
        <w:t>AO-2</w:t>
      </w:r>
      <w:r>
        <w:rPr>
          <w:rFonts w:hint="eastAsia" w:eastAsia="方正仿宋简体"/>
          <w:color w:val="000000"/>
          <w:kern w:val="0"/>
          <w:sz w:val="30"/>
          <w:szCs w:val="30"/>
        </w:rPr>
        <w:t>牌号的规定。</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氧化铝仓库标准仓单的有效期为该批次产品最早生产日期起</w:t>
      </w:r>
      <w:r>
        <w:rPr>
          <w:rFonts w:eastAsia="方正仿宋简体"/>
          <w:color w:val="000000"/>
          <w:kern w:val="0"/>
          <w:sz w:val="30"/>
          <w:szCs w:val="30"/>
        </w:rPr>
        <w:t>180</w:t>
      </w:r>
      <w:r>
        <w:rPr>
          <w:rFonts w:hint="eastAsia" w:eastAsia="方正仿宋简体"/>
          <w:color w:val="000000"/>
          <w:kern w:val="0"/>
          <w:sz w:val="30"/>
          <w:szCs w:val="30"/>
        </w:rPr>
        <w:t>天以内，并且该批次产品应在生产日期起的</w:t>
      </w:r>
      <w:r>
        <w:rPr>
          <w:rFonts w:eastAsia="方正仿宋简体"/>
          <w:color w:val="000000"/>
          <w:kern w:val="0"/>
          <w:sz w:val="30"/>
          <w:szCs w:val="30"/>
        </w:rPr>
        <w:t>60</w:t>
      </w:r>
      <w:r>
        <w:rPr>
          <w:rFonts w:hint="eastAsia" w:eastAsia="方正仿宋简体"/>
          <w:color w:val="000000"/>
          <w:kern w:val="0"/>
          <w:sz w:val="30"/>
          <w:szCs w:val="30"/>
        </w:rPr>
        <w:t>天内进入指定交割仓库方可制成标准仓单。氧化铝厂库标准仓单的有效期为厂库标准仓单生成之日起的</w:t>
      </w:r>
      <w:r>
        <w:rPr>
          <w:rFonts w:eastAsia="方正仿宋简体"/>
          <w:color w:val="000000"/>
          <w:kern w:val="0"/>
          <w:sz w:val="30"/>
          <w:szCs w:val="30"/>
        </w:rPr>
        <w:t>180</w:t>
      </w:r>
      <w:r>
        <w:rPr>
          <w:rFonts w:hint="eastAsia" w:eastAsia="方正仿宋简体"/>
          <w:color w:val="000000"/>
          <w:kern w:val="0"/>
          <w:sz w:val="30"/>
          <w:szCs w:val="30"/>
        </w:rPr>
        <w:t>天内，对应出库商品的生产日期不得早于提货日之前的第</w:t>
      </w:r>
      <w:r>
        <w:rPr>
          <w:rFonts w:eastAsia="方正仿宋简体"/>
          <w:color w:val="000000"/>
          <w:kern w:val="0"/>
          <w:sz w:val="30"/>
          <w:szCs w:val="30"/>
        </w:rPr>
        <w:t>180</w:t>
      </w:r>
      <w:r>
        <w:rPr>
          <w:rFonts w:hint="eastAsia" w:eastAsia="方正仿宋简体"/>
          <w:color w:val="000000"/>
          <w:kern w:val="0"/>
          <w:sz w:val="30"/>
          <w:szCs w:val="30"/>
        </w:rPr>
        <w:t>天。国产氧化铝的生产日期是指包装日期，进口氧化铝的生产日期指进口货物报关单上载明的进口日期。</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第六十七条 </w:t>
      </w:r>
      <w:r>
        <w:rPr>
          <w:rFonts w:hint="eastAsia" w:eastAsia="方正仿宋简体"/>
          <w:color w:val="000000"/>
          <w:kern w:val="0"/>
          <w:sz w:val="30"/>
          <w:szCs w:val="30"/>
        </w:rPr>
        <w:t>交割商品的规格</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每一标准仓单的国产氧化铝，应当是同一企业生产、同一注册商标、同一牌号、同一包装规格的商品组成，并且组成每一标准仓单的氧化铝生产日期应当不超过连续</w:t>
      </w:r>
      <w:r>
        <w:rPr>
          <w:rFonts w:eastAsia="方正仿宋简体"/>
          <w:color w:val="000000"/>
          <w:kern w:val="0"/>
          <w:sz w:val="30"/>
          <w:szCs w:val="30"/>
        </w:rPr>
        <w:t>15</w:t>
      </w:r>
      <w:r>
        <w:rPr>
          <w:rFonts w:hint="eastAsia" w:eastAsia="方正仿宋简体"/>
          <w:color w:val="000000"/>
          <w:kern w:val="0"/>
          <w:sz w:val="30"/>
          <w:szCs w:val="30"/>
        </w:rPr>
        <w:t>日，且以最早日期作为该标准仓单的生产日期。</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每一标准仓单的进口氧化铝，应当是同一企业生产、同一牌号、同一生产日期、同一包装规格的商品组成。</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第六十八条 </w:t>
      </w:r>
      <w:r>
        <w:rPr>
          <w:rFonts w:hint="eastAsia" w:eastAsia="方正仿宋简体"/>
          <w:color w:val="000000"/>
          <w:kern w:val="0"/>
          <w:sz w:val="30"/>
          <w:szCs w:val="30"/>
        </w:rPr>
        <w:t>交割氧化铝的包装与堆放</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（一）交割氧化铝的包装应当符合《上海期货交易所交割氧化铝注册及认可管理规定》的规定。</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交割氧化铝的包装规格应当为每袋净含量</w:t>
      </w:r>
      <w:r>
        <w:rPr>
          <w:rFonts w:eastAsia="方正仿宋简体"/>
          <w:color w:val="000000"/>
          <w:kern w:val="0"/>
          <w:sz w:val="30"/>
          <w:szCs w:val="30"/>
        </w:rPr>
        <w:t>1.5</w:t>
      </w:r>
      <w:r>
        <w:rPr>
          <w:rFonts w:hint="eastAsia" w:eastAsia="方正仿宋简体"/>
          <w:color w:val="000000"/>
          <w:kern w:val="0"/>
          <w:sz w:val="30"/>
          <w:szCs w:val="30"/>
        </w:rPr>
        <w:t>±</w:t>
      </w:r>
      <w:r>
        <w:rPr>
          <w:rFonts w:eastAsia="方正仿宋简体"/>
          <w:color w:val="000000"/>
          <w:kern w:val="0"/>
          <w:sz w:val="30"/>
          <w:szCs w:val="30"/>
        </w:rPr>
        <w:t>0.15</w:t>
      </w:r>
      <w:r>
        <w:rPr>
          <w:rFonts w:hint="eastAsia" w:eastAsia="方正仿宋简体"/>
          <w:color w:val="000000"/>
          <w:kern w:val="0"/>
          <w:sz w:val="30"/>
          <w:szCs w:val="30"/>
        </w:rPr>
        <w:t>吨。</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到库氧化铝遇外包装袋明显破损的，应当重新进行打包，方可用于交割。包装费用由货主承担。</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（三）用于交割的氧化铝每一标准仓单的标的实物应当作为一个堆放垛位进行堆放。</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第六十九条 </w:t>
      </w:r>
      <w:r>
        <w:rPr>
          <w:rFonts w:hint="eastAsia" w:eastAsia="方正仿宋简体"/>
          <w:color w:val="000000"/>
          <w:kern w:val="0"/>
          <w:sz w:val="30"/>
          <w:szCs w:val="30"/>
        </w:rPr>
        <w:t>交割商品必备单证</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（一）国产商品：应当提供注册生产企业出具的产品质量证明书。</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（二）进口商品：应当提供交易所指定检验机构出具的质检证书、产地证明书、进口货物报关单、海关代征增值税专用缴款书，经交易所审定合格为有效。</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国家税收、商检等政策调整的，应当遵守其规定，相关进口商品的单证要求由交易所另行发布。</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第七十条 </w:t>
      </w:r>
      <w:r>
        <w:rPr>
          <w:rFonts w:hint="eastAsia" w:eastAsia="方正仿宋简体"/>
          <w:color w:val="000000"/>
          <w:kern w:val="0"/>
          <w:sz w:val="30"/>
          <w:szCs w:val="30"/>
        </w:rPr>
        <w:t>计量和溢短</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交割氧化铝按净含量进行计量。每张标准仓单实物溢短不超过±</w:t>
      </w:r>
      <w:r>
        <w:rPr>
          <w:rFonts w:eastAsia="方正仿宋简体"/>
          <w:color w:val="000000"/>
          <w:kern w:val="0"/>
          <w:sz w:val="30"/>
          <w:szCs w:val="30"/>
        </w:rPr>
        <w:t>1%</w:t>
      </w:r>
      <w:r>
        <w:rPr>
          <w:rFonts w:hint="eastAsia" w:eastAsia="方正仿宋简体"/>
          <w:color w:val="000000"/>
          <w:kern w:val="0"/>
          <w:sz w:val="30"/>
          <w:szCs w:val="30"/>
        </w:rPr>
        <w:t>，磅差不超过±</w:t>
      </w:r>
      <w:r>
        <w:rPr>
          <w:rFonts w:eastAsia="方正仿宋简体"/>
          <w:color w:val="000000"/>
          <w:kern w:val="0"/>
          <w:sz w:val="30"/>
          <w:szCs w:val="30"/>
        </w:rPr>
        <w:t>0.3%</w:t>
      </w:r>
      <w:r>
        <w:rPr>
          <w:rFonts w:hint="eastAsia" w:eastAsia="方正仿宋简体"/>
          <w:color w:val="000000"/>
          <w:kern w:val="0"/>
          <w:sz w:val="30"/>
          <w:szCs w:val="30"/>
        </w:rPr>
        <w:t>。</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第七十一条 </w:t>
      </w:r>
      <w:r>
        <w:rPr>
          <w:rFonts w:hint="eastAsia" w:eastAsia="方正仿宋简体"/>
          <w:color w:val="000000"/>
          <w:kern w:val="0"/>
          <w:sz w:val="30"/>
          <w:szCs w:val="30"/>
        </w:rPr>
        <w:t>交割结算价：氧化铝期货的交割结算价为该合约最后</w:t>
      </w:r>
      <w:r>
        <w:rPr>
          <w:rFonts w:eastAsia="方正仿宋简体"/>
          <w:color w:val="000000"/>
          <w:kern w:val="0"/>
          <w:sz w:val="30"/>
          <w:szCs w:val="30"/>
        </w:rPr>
        <w:t>5</w:t>
      </w:r>
      <w:r>
        <w:rPr>
          <w:rFonts w:hint="eastAsia" w:eastAsia="方正仿宋简体"/>
          <w:color w:val="000000"/>
          <w:kern w:val="0"/>
          <w:sz w:val="30"/>
          <w:szCs w:val="30"/>
        </w:rPr>
        <w:t>个有成交交易日的结算价的算术平均值。</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第七十二条 </w:t>
      </w:r>
      <w:r>
        <w:rPr>
          <w:rFonts w:hint="eastAsia" w:eastAsia="方正仿宋简体"/>
          <w:color w:val="000000"/>
          <w:kern w:val="0"/>
          <w:sz w:val="30"/>
          <w:szCs w:val="30"/>
        </w:rPr>
        <w:t>卖方应当在最后交易日后五个工作日内提交增值税专用发票。</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买卖双方在当日</w:t>
      </w:r>
      <w:r>
        <w:rPr>
          <w:rFonts w:eastAsia="方正仿宋简体"/>
          <w:color w:val="000000"/>
          <w:kern w:val="0"/>
          <w:sz w:val="30"/>
          <w:szCs w:val="30"/>
        </w:rPr>
        <w:t>14</w:t>
      </w:r>
      <w:r>
        <w:rPr>
          <w:rFonts w:hint="eastAsia" w:eastAsia="方正仿宋简体"/>
          <w:color w:val="000000"/>
          <w:kern w:val="0"/>
          <w:sz w:val="30"/>
          <w:szCs w:val="30"/>
        </w:rPr>
        <w:t>：</w:t>
      </w:r>
      <w:r>
        <w:rPr>
          <w:rFonts w:eastAsia="方正仿宋简体"/>
          <w:color w:val="000000"/>
          <w:kern w:val="0"/>
          <w:sz w:val="30"/>
          <w:szCs w:val="30"/>
        </w:rPr>
        <w:t>00</w:t>
      </w:r>
      <w:r>
        <w:rPr>
          <w:rFonts w:hint="eastAsia"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w:t>
      </w:r>
      <w:r>
        <w:rPr>
          <w:rFonts w:hint="eastAsia" w:eastAsia="方正仿宋简体"/>
          <w:color w:val="000000"/>
          <w:kern w:val="0"/>
          <w:sz w:val="30"/>
          <w:szCs w:val="30"/>
        </w:rPr>
        <w:t>：</w:t>
      </w:r>
      <w:r>
        <w:rPr>
          <w:rFonts w:eastAsia="方正仿宋简体"/>
          <w:color w:val="000000"/>
          <w:kern w:val="0"/>
          <w:sz w:val="30"/>
          <w:szCs w:val="30"/>
        </w:rPr>
        <w:t>00</w:t>
      </w:r>
      <w:r>
        <w:rPr>
          <w:rFonts w:hint="eastAsia" w:eastAsia="方正仿宋简体"/>
          <w:color w:val="000000"/>
          <w:kern w:val="0"/>
          <w:sz w:val="30"/>
          <w:szCs w:val="30"/>
        </w:rPr>
        <w:t>之后办妥的，交易所将在下一交易日结算时清退交割部位保证金。</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第七十三条 </w:t>
      </w:r>
      <w:r>
        <w:rPr>
          <w:rFonts w:hint="eastAsia" w:eastAsia="方正仿宋简体"/>
          <w:color w:val="000000"/>
          <w:kern w:val="0"/>
          <w:sz w:val="30"/>
          <w:szCs w:val="30"/>
        </w:rPr>
        <w:t>交收地点：交易所指定交割仓库和厂库（由交易所指定并另行公告）。</w:t>
      </w:r>
    </w:p>
    <w:p>
      <w:pPr>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第七十四条 </w:t>
      </w:r>
      <w:r>
        <w:rPr>
          <w:rFonts w:hint="eastAsia" w:eastAsia="方正仿宋简体"/>
          <w:color w:val="000000"/>
          <w:kern w:val="0"/>
          <w:sz w:val="30"/>
          <w:szCs w:val="30"/>
        </w:rPr>
        <w:t>包装袋异议的处理</w:t>
      </w:r>
    </w:p>
    <w:p>
      <w:pPr>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（一）交割氧化铝包装袋异议不属于交割违约。</w:t>
      </w:r>
    </w:p>
    <w:p>
      <w:pPr>
        <w:spacing w:line="560" w:lineRule="exact"/>
        <w:ind w:firstLine="601"/>
        <w:rPr>
          <w:rFonts w:eastAsia="方正黑体简体"/>
          <w:sz w:val="30"/>
          <w:szCs w:val="30"/>
        </w:rPr>
      </w:pPr>
      <w:r>
        <w:rPr>
          <w:rFonts w:hint="eastAsia" w:eastAsia="方正仿宋简体"/>
          <w:color w:val="000000"/>
          <w:kern w:val="0"/>
          <w:sz w:val="30"/>
          <w:szCs w:val="30"/>
        </w:rPr>
        <w:t>（二）货主对交割氧化铝包装袋提出异议的，应当由生产企业、指定交割仓库或者卖方等配合解决。</w:t>
      </w:r>
    </w:p>
    <w:p>
      <w:pPr>
        <w:spacing w:before="156" w:beforeLines="50" w:line="560" w:lineRule="exact"/>
        <w:jc w:val="center"/>
        <w:rPr>
          <w:rFonts w:eastAsia="方正黑体简体"/>
          <w:sz w:val="30"/>
          <w:szCs w:val="30"/>
        </w:rPr>
      </w:pPr>
      <w:r>
        <w:rPr>
          <w:rFonts w:eastAsia="方正黑体简体"/>
          <w:sz w:val="30"/>
          <w:szCs w:val="30"/>
        </w:rPr>
        <w:t>第十</w:t>
      </w:r>
      <w:r>
        <w:rPr>
          <w:rFonts w:hint="eastAsia" w:eastAsia="方正黑体简体"/>
          <w:sz w:val="30"/>
          <w:szCs w:val="30"/>
        </w:rPr>
        <w:t>一</w:t>
      </w:r>
      <w:r>
        <w:rPr>
          <w:rFonts w:eastAsia="方正黑体简体"/>
          <w:sz w:val="30"/>
          <w:szCs w:val="30"/>
        </w:rPr>
        <w:t>章</w:t>
      </w:r>
      <w:r>
        <w:rPr>
          <w:rFonts w:hint="eastAsia" w:eastAsia="方正黑体简体"/>
          <w:sz w:val="30"/>
          <w:szCs w:val="30"/>
        </w:rPr>
        <w:t xml:space="preserve"> </w:t>
      </w:r>
      <w:r>
        <w:rPr>
          <w:rFonts w:eastAsia="方正黑体简体"/>
          <w:sz w:val="30"/>
          <w:szCs w:val="30"/>
        </w:rPr>
        <w:t>螺纹钢的交割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七十五</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交割单位：300吨。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七十六</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交割品级见《上海期货交易所螺纹钢期货合约》。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七十七</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交割螺纹钢质量规定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交割螺纹钢的外形、尺寸、重量及允许偏差应当符合国标GB/T 1499.2-2018《钢筋混凝土用钢第2部分：热轧带肋钢筋》的规定。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交割螺纹钢的每批商品的有效期限为生产日起的90天内，并且应在生产日起的45天内入指定交割仓库方可制作仓单。</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在指定交割仓库交割的螺纹钢其长度为9米和12米定尺。</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七十八</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交割螺纹钢的包装与堆放</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交割螺纹钢包装、标志及质量证明书等应当符合GB/T 1499.2-2018《钢筋混凝土用钢第2部分：热轧带肋钢筋》。</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七十九</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计量和溢短</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交割螺纹钢以理论计重方式计量。每张螺纹钢标准仓单的实物溢短不超过±3%。</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八十一</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八十二</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pPr>
        <w:spacing w:before="156" w:beforeLines="50" w:line="560" w:lineRule="exact"/>
        <w:jc w:val="center"/>
        <w:rPr>
          <w:rFonts w:eastAsia="方正黑体简体"/>
          <w:sz w:val="30"/>
          <w:szCs w:val="30"/>
        </w:rPr>
      </w:pPr>
      <w:r>
        <w:rPr>
          <w:rFonts w:eastAsia="方正黑体简体"/>
          <w:sz w:val="30"/>
          <w:szCs w:val="30"/>
        </w:rPr>
        <w:t>第十</w:t>
      </w:r>
      <w:r>
        <w:rPr>
          <w:rFonts w:hint="eastAsia" w:eastAsia="方正黑体简体"/>
          <w:sz w:val="30"/>
          <w:szCs w:val="30"/>
        </w:rPr>
        <w:t>二</w:t>
      </w:r>
      <w:r>
        <w:rPr>
          <w:rFonts w:eastAsia="方正黑体简体"/>
          <w:sz w:val="30"/>
          <w:szCs w:val="30"/>
        </w:rPr>
        <w:t>章</w:t>
      </w:r>
      <w:r>
        <w:rPr>
          <w:rFonts w:hint="eastAsia" w:eastAsia="方正黑体简体"/>
          <w:sz w:val="30"/>
          <w:szCs w:val="30"/>
        </w:rPr>
        <w:t xml:space="preserve"> </w:t>
      </w:r>
      <w:r>
        <w:rPr>
          <w:rFonts w:eastAsia="方正黑体简体"/>
          <w:sz w:val="30"/>
          <w:szCs w:val="30"/>
        </w:rPr>
        <w:t>线材的交割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八十三</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交割单位：300吨。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八十四</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交割品级见《上海期货交易所线材期货合约》。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八十五</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交割线材质量规定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交割线材应当是在交易所注册的生产厂生产的的注册商品。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交割线材的外形、尺寸、重量及允许偏差应当符合国标GB/T 1499.1-2017《钢筋混凝土用钢第1部分：热轧光圆钢筋》的规定。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交割线材的每批商品的有效期限为生产日起的90天内，并且应在生产日起的30天内入指定交割仓库方可制作仓单。</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八十六</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交割线材的包装与堆放</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线材应盘卷交货，包装、标志及质量证明书应当符合国标GB/T 1499.1-2017《钢筋混凝土用钢第1部分：热轧光圆钢筋》的规定。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八十七</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八十八</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溢短和磅差</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交割线材以实际称重方式计量。每张线材标准仓单的实物溢短不超过±3%，磅差不超过±0.3%。</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八十九</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pPr>
        <w:spacing w:before="156" w:beforeLines="50" w:line="560" w:lineRule="exact"/>
        <w:jc w:val="center"/>
        <w:rPr>
          <w:rFonts w:eastAsia="方正黑体简体"/>
          <w:sz w:val="30"/>
          <w:szCs w:val="30"/>
        </w:rPr>
      </w:pPr>
      <w:r>
        <w:rPr>
          <w:rFonts w:eastAsia="方正黑体简体"/>
          <w:sz w:val="30"/>
          <w:szCs w:val="30"/>
        </w:rPr>
        <w:t>第十</w:t>
      </w:r>
      <w:r>
        <w:rPr>
          <w:rFonts w:hint="eastAsia" w:eastAsia="方正黑体简体"/>
          <w:sz w:val="30"/>
          <w:szCs w:val="30"/>
        </w:rPr>
        <w:t>三</w:t>
      </w:r>
      <w:r>
        <w:rPr>
          <w:rFonts w:eastAsia="方正黑体简体"/>
          <w:sz w:val="30"/>
          <w:szCs w:val="30"/>
        </w:rPr>
        <w:t>章</w:t>
      </w:r>
      <w:r>
        <w:rPr>
          <w:rFonts w:hint="eastAsia" w:eastAsia="方正黑体简体"/>
          <w:sz w:val="30"/>
          <w:szCs w:val="30"/>
        </w:rPr>
        <w:t xml:space="preserve"> </w:t>
      </w:r>
      <w:r>
        <w:rPr>
          <w:rFonts w:eastAsia="方正黑体简体"/>
          <w:sz w:val="30"/>
          <w:szCs w:val="30"/>
        </w:rPr>
        <w:t>热轧卷板的交割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九十一</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交割单位：300吨。</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九十二</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交割品级见《上海期货交易所热轧卷板期货合约》。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九十三</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交割热轧卷板质量规定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交割热轧卷板的外形、尺寸、重量及允许偏差应当符合GB/T3274-2017《碳素结构钢和低合金结构钢热轧厚钢板和钢带》或JIS G 3101-2015《一般结构用轧制钢材》等相关规定。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交割热轧卷板的每批商品的有效期限为生产日起的360天内，每一仓单的热轧卷板以其中最早的生产日期作为该仓单的生产日期。</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九十四</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交割商品的规格</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九十五</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交割热轧卷板的包装与堆放</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交割热轧卷板包装、标志及质量证明书等应当符合GB/T 3274-2017《碳素结构钢和低合金结构钢热轧厚钢板和钢带》或JIS G 3101-2015《一般结构用轧制钢材》等相关规定。</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用于交割的热轧卷板每一仓单的标的实物应当作为一个堆放垛位进行堆放。</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九十六</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九十七</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计量和溢短</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交割热轧卷板以实际称重方式计量。每张热轧卷板标准仓单的实物溢短不超过±5%。磅差不超过±0.3%。</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九十八</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九十九</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交收地点：交易所指定交割仓库（由交易所指定并另行公告）。</w:t>
      </w:r>
    </w:p>
    <w:p>
      <w:pPr>
        <w:spacing w:before="156" w:beforeLines="50" w:line="560" w:lineRule="exact"/>
        <w:jc w:val="center"/>
        <w:rPr>
          <w:rFonts w:eastAsia="方正黑体简体"/>
          <w:sz w:val="30"/>
          <w:szCs w:val="30"/>
        </w:rPr>
      </w:pPr>
      <w:r>
        <w:rPr>
          <w:rFonts w:eastAsia="方正黑体简体"/>
          <w:sz w:val="30"/>
          <w:szCs w:val="30"/>
        </w:rPr>
        <w:t>第十</w:t>
      </w:r>
      <w:r>
        <w:rPr>
          <w:rFonts w:hint="eastAsia" w:eastAsia="方正黑体简体"/>
          <w:sz w:val="30"/>
          <w:szCs w:val="30"/>
        </w:rPr>
        <w:t>四</w:t>
      </w:r>
      <w:r>
        <w:rPr>
          <w:rFonts w:eastAsia="方正黑体简体"/>
          <w:sz w:val="30"/>
          <w:szCs w:val="30"/>
        </w:rPr>
        <w:t>章</w:t>
      </w:r>
      <w:r>
        <w:rPr>
          <w:rFonts w:hint="eastAsia" w:eastAsia="方正黑体简体"/>
          <w:sz w:val="30"/>
          <w:szCs w:val="30"/>
        </w:rPr>
        <w:t xml:space="preserve"> </w:t>
      </w:r>
      <w:r>
        <w:rPr>
          <w:rFonts w:eastAsia="方正黑体简体"/>
          <w:sz w:val="30"/>
          <w:szCs w:val="30"/>
        </w:rPr>
        <w:t>不锈钢的交割</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交割单位：60吨。</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一百零一</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交割品级见《上海期货交易所不锈钢期货合约》。</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一百零二</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交割不锈钢质量规定</w:t>
      </w:r>
    </w:p>
    <w:p>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交割不锈钢应当是在交易所注册的生产企业生产的注册品牌，或者是交易所认可的生产企业生产的指定品牌（由交易所规定并公告）。</w:t>
      </w:r>
    </w:p>
    <w:p>
      <w:pPr>
        <w:spacing w:line="560" w:lineRule="exact"/>
        <w:ind w:firstLine="601"/>
        <w:rPr>
          <w:rFonts w:eastAsia="方正仿宋简体"/>
          <w:sz w:val="30"/>
          <w:szCs w:val="30"/>
        </w:rPr>
      </w:pPr>
      <w:r>
        <w:rPr>
          <w:rFonts w:eastAsia="方正仿宋简体"/>
          <w:sz w:val="30"/>
          <w:szCs w:val="30"/>
        </w:rPr>
        <w:t>交割不锈钢的质量应当符合GB/T3280-2015《不锈钢冷轧钢板和钢带》或者JIS G 4305：2012《冷轧不锈钢钢板及钢带》，以及《上海期货交易所钢材交割商品注册管理规定》的规定。</w:t>
      </w:r>
    </w:p>
    <w:p>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有效期限为该批次产品最早生产日起的360天内。不锈钢厂库标准仓单的有效期为厂库标准仓单生成之日起的315天内。</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一百零三</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交割商品的规格</w:t>
      </w:r>
    </w:p>
    <w:p>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一百零四</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交割不锈钢的包装与堆放</w:t>
      </w:r>
    </w:p>
    <w:p>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交割不锈钢标志以及质量证明书等应当符合GB/T3280-2015《不锈钢冷轧钢板和钢带》或者JIS G 4305：2012《冷轧不锈钢钢板及钢带》的规定。</w:t>
      </w:r>
    </w:p>
    <w:p>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一百零五</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交割商品必备单证</w:t>
      </w:r>
    </w:p>
    <w:p>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一百零六</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计量和溢短</w:t>
      </w:r>
    </w:p>
    <w:p>
      <w:pPr>
        <w:spacing w:line="560" w:lineRule="exact"/>
        <w:ind w:firstLine="601"/>
        <w:rPr>
          <w:rFonts w:eastAsia="方正仿宋简体"/>
          <w:sz w:val="30"/>
          <w:szCs w:val="30"/>
        </w:rPr>
      </w:pPr>
      <w:r>
        <w:rPr>
          <w:rFonts w:eastAsia="方正仿宋简体"/>
          <w:sz w:val="30"/>
          <w:szCs w:val="30"/>
        </w:rPr>
        <w:t>交割不锈钢按净重进行计量。每张不锈钢标准仓单的实物溢短不超过±5%，磅差不超过±0.3%。</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一百零七</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不锈钢期货的交割结算价为该期货合约最后5个有成交交易日的结算价的算术平均值。</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一百零八</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卖方应当在最后交易日后五个工作日内提交增值税专用发票。</w:t>
      </w:r>
    </w:p>
    <w:p>
      <w:pPr>
        <w:spacing w:line="560" w:lineRule="exact"/>
        <w:ind w:firstLine="601"/>
        <w:rPr>
          <w:rFonts w:eastAsia="方正仿宋简体"/>
          <w:sz w:val="30"/>
          <w:szCs w:val="30"/>
        </w:rPr>
      </w:pPr>
      <w:r>
        <w:rPr>
          <w:rFonts w:eastAsia="方正仿宋简体"/>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一百零九</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交收地点：交易所指定交割仓库和厂库（由交易所指定并公告）。</w:t>
      </w:r>
    </w:p>
    <w:p>
      <w:pPr>
        <w:spacing w:line="560" w:lineRule="exact"/>
        <w:ind w:firstLine="601"/>
        <w:rPr>
          <w:rFonts w:eastAsia="方正仿宋简体"/>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包装以及表面质量异议的处理</w:t>
      </w:r>
    </w:p>
    <w:p>
      <w:pPr>
        <w:spacing w:line="560" w:lineRule="exact"/>
        <w:ind w:firstLine="601"/>
        <w:rPr>
          <w:rFonts w:eastAsia="方正仿宋简体"/>
          <w:sz w:val="30"/>
          <w:szCs w:val="30"/>
        </w:rPr>
      </w:pPr>
      <w:r>
        <w:rPr>
          <w:rFonts w:eastAsia="方正仿宋简体"/>
          <w:sz w:val="30"/>
          <w:szCs w:val="30"/>
        </w:rPr>
        <w:t>（一）包装以及表面质量异议不属于交割违约。</w:t>
      </w:r>
    </w:p>
    <w:p>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pPr>
        <w:spacing w:before="156" w:beforeLines="50" w:line="560" w:lineRule="exact"/>
        <w:jc w:val="center"/>
        <w:rPr>
          <w:rFonts w:eastAsia="方正黑体简体"/>
          <w:sz w:val="30"/>
          <w:szCs w:val="30"/>
        </w:rPr>
      </w:pPr>
      <w:r>
        <w:rPr>
          <w:rFonts w:eastAsia="方正黑体简体"/>
          <w:sz w:val="30"/>
          <w:szCs w:val="30"/>
        </w:rPr>
        <w:t>第十</w:t>
      </w:r>
      <w:r>
        <w:rPr>
          <w:rFonts w:hint="eastAsia" w:eastAsia="方正黑体简体"/>
          <w:sz w:val="30"/>
          <w:szCs w:val="30"/>
        </w:rPr>
        <w:t>五</w:t>
      </w:r>
      <w:r>
        <w:rPr>
          <w:rFonts w:eastAsia="方正黑体简体"/>
          <w:sz w:val="30"/>
          <w:szCs w:val="30"/>
        </w:rPr>
        <w:t>章</w:t>
      </w:r>
      <w:r>
        <w:rPr>
          <w:rFonts w:hint="eastAsia" w:eastAsia="方正黑体简体"/>
          <w:sz w:val="30"/>
          <w:szCs w:val="30"/>
        </w:rPr>
        <w:t xml:space="preserve"> </w:t>
      </w:r>
      <w:r>
        <w:rPr>
          <w:rFonts w:eastAsia="方正黑体简体"/>
          <w:sz w:val="30"/>
          <w:szCs w:val="30"/>
        </w:rPr>
        <w:t>天然橡胶的交割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一百一十一</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交割单位：实物交割以每手或其整数倍交割。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一百一十二</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交割品级见《上海期货交易所天然橡胶期货合约》。</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一百一十三</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国产天然橡胶的注册品牌由交易所另行发布。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一百一十四</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包装：</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（一）国产天然橡胶（SCR WF）的外包装应当用聚乙烯薄膜和聚丙烯编织袋双层包装，每包净含量33.3kg，每吨30包，无溢短。胶包尺寸为670×330×200mm，胶包外应标志注明：标准橡胶级别代号、净重、生产厂名或厂代号和生产日期等内容。</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hint="eastAsia" w:eastAsia="方正仿宋简体"/>
          <w:color w:val="000000"/>
          <w:kern w:val="0"/>
          <w:sz w:val="30"/>
          <w:szCs w:val="30"/>
        </w:rPr>
        <w:t>3</w:t>
      </w:r>
      <w:r>
        <w:rPr>
          <w:rFonts w:eastAsia="方正仿宋简体"/>
          <w:color w:val="000000"/>
          <w:kern w:val="0"/>
          <w:sz w:val="30"/>
          <w:szCs w:val="30"/>
        </w:rPr>
        <w:t>号烟胶片为胶片复盖的胶包，每个交货批次的胶包重量应当一致，标准件重为111.11kg，每吨</w:t>
      </w:r>
      <w:r>
        <w:rPr>
          <w:rFonts w:hint="eastAsia" w:eastAsia="方正仿宋简体"/>
          <w:color w:val="000000"/>
          <w:kern w:val="0"/>
          <w:sz w:val="30"/>
          <w:szCs w:val="30"/>
        </w:rPr>
        <w:t>9</w:t>
      </w:r>
      <w:r>
        <w:rPr>
          <w:rFonts w:eastAsia="方正仿宋简体"/>
          <w:color w:val="000000"/>
          <w:kern w:val="0"/>
          <w:sz w:val="30"/>
          <w:szCs w:val="30"/>
        </w:rPr>
        <w:t>包，无溢短。非标准件重可以按实计量，允许有±0.2%的磅差和±3%的溢短。</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一百一十五</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（一）国产天然橡胶（SCR WF）在实物交割时应当提供与实物一致的交易所指定检验机构（附件</w:t>
      </w:r>
      <w:r>
        <w:rPr>
          <w:rFonts w:hint="eastAsia" w:eastAsia="方正仿宋简体"/>
          <w:color w:val="000000"/>
          <w:kern w:val="0"/>
          <w:sz w:val="30"/>
          <w:szCs w:val="30"/>
        </w:rPr>
        <w:t>1</w:t>
      </w:r>
      <w:r>
        <w:rPr>
          <w:rFonts w:eastAsia="方正仿宋简体"/>
          <w:color w:val="000000"/>
          <w:kern w:val="0"/>
          <w:sz w:val="30"/>
          <w:szCs w:val="30"/>
        </w:rPr>
        <w:t>）出具的质检证（或者检测/鉴定报告）原件。</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（二）进口3号烟胶片在实物交割时应当提供进口货物报关单、合同、海关进口关税专用缴款书、海关代征增值税专用缴款书的复印件，与实物一致的交易所指定检验机构（附件</w:t>
      </w:r>
      <w:r>
        <w:rPr>
          <w:rFonts w:hint="eastAsia" w:eastAsia="方正仿宋简体"/>
          <w:color w:val="000000"/>
          <w:kern w:val="0"/>
          <w:sz w:val="30"/>
          <w:szCs w:val="30"/>
        </w:rPr>
        <w:t>1</w:t>
      </w:r>
      <w:r>
        <w:rPr>
          <w:rFonts w:eastAsia="方正仿宋简体"/>
          <w:color w:val="000000"/>
          <w:kern w:val="0"/>
          <w:sz w:val="30"/>
          <w:szCs w:val="30"/>
        </w:rPr>
        <w:t>）出具的质检证（或者检测/鉴定报告）原件。</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（三）检验方法为抽样检验，抽样地点应当入库完毕后在指定交割仓库内，严禁在车站、码头等运输途中抽样。检验批量以100吨以下（包括100吨）为一个检验批次，超过100吨应当分若干批次检验。</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一百一十六</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有效期：</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（一）国产天然橡胶（SCR WF）在库交割的有效期限为生产年份的第二年的最后一个交割月份，超过期限的转作现货。当年生产的国产天然橡胶如要用于实物交割，最迟应当在第二年的六月份以前（不含六月）入库完毕，超过期限不得用于交割。</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（二）进口3号烟胶片在库交割的有效期限为进口货物报关单申报日期起十八个月，超过期限的转作现货。用于实物交割的3号烟胶片应当在进口货物报关单申报日期起六个月内进库，否则不得用于交割。</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（三）在库天然橡胶的质检证（或检测/鉴定报告）自签发之日起90天内有效。期满后，其相应的商品应当重新检验合格后方可用于下次交割。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一百一十七</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10%开包检查，并重新缝好。如发现有表面老化龟裂、雨淋、受潮、霉变、发黑、污染严重等影响使用的情况，予以拒收，不得用于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一百一十八</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标准仓单所列标的物应当是同一批次、同一包装规格的天然橡胶。</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一百一十九</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天然橡胶期货的交割结算价：天然橡胶期货的交割结算价为该合约最后5个有成交交易日的成交价格按照成交量的加权平均价。</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14:00之前办妥标准仓单、货款、交易所规定发票等交割事宜的，交易所当日即清退其相应的保证金；当日14:00之后办妥的，交易所在下一交易日结算时清退相应的保证金。交易所认为本次交割货物可能有质量异议的，有权在交割月份的下一月份的15日以后的第一个工作日对本次交割中没有产生异议的卖方会员，清退其交割部位保证金。</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一百二十一</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hint="eastAsia" w:eastAsia="方正仿宋简体"/>
          <w:color w:val="000000"/>
          <w:kern w:val="0"/>
          <w:sz w:val="30"/>
          <w:szCs w:val="30"/>
        </w:rPr>
        <w:t>2</w:t>
      </w:r>
      <w:r>
        <w:rPr>
          <w:rFonts w:eastAsia="方正仿宋简体"/>
          <w:color w:val="000000"/>
          <w:kern w:val="0"/>
          <w:sz w:val="30"/>
          <w:szCs w:val="30"/>
        </w:rPr>
        <w:t>。</w:t>
      </w:r>
    </w:p>
    <w:p>
      <w:pPr>
        <w:spacing w:before="156" w:beforeLines="50" w:line="560" w:lineRule="exact"/>
        <w:jc w:val="center"/>
        <w:rPr>
          <w:rFonts w:ascii="方正黑体简体" w:eastAsia="方正黑体简体"/>
          <w:sz w:val="30"/>
          <w:szCs w:val="30"/>
        </w:rPr>
      </w:pPr>
      <w:r>
        <w:rPr>
          <w:rFonts w:ascii="方正黑体简体" w:eastAsia="方正黑体简体"/>
          <w:sz w:val="30"/>
          <w:szCs w:val="30"/>
        </w:rPr>
        <w:t>第十</w:t>
      </w:r>
      <w:r>
        <w:rPr>
          <w:rFonts w:hint="eastAsia" w:ascii="方正黑体简体" w:eastAsia="方正黑体简体"/>
          <w:sz w:val="30"/>
          <w:szCs w:val="30"/>
        </w:rPr>
        <w:t>六</w:t>
      </w:r>
      <w:r>
        <w:rPr>
          <w:rFonts w:ascii="方正黑体简体" w:eastAsia="方正黑体简体"/>
          <w:sz w:val="30"/>
          <w:szCs w:val="30"/>
        </w:rPr>
        <w:t>章 丁二烯橡胶的交割</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一百二十二</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交割单位</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丁二烯橡胶期货合约的交割单位为每一标准仓单10吨，交割应当是每一标准仓单的整数倍交割。</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一百二十三</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交割品级见《上海期货交易所丁二烯橡胶期货合约》。</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一百二十四</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交割丁二烯橡胶质量规定</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交割丁二烯橡胶应当是交易所认证的商品，具体认证商品由交易所认证并公告。</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一百二十五</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交割商品的包装与堆放</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一）每一标准仓单的丁二烯橡胶应当是同一生产企业生产、同一品牌、同一牌号、同一包装规格的商品组成。组成每一标准仓单的丁二烯橡胶的生产日期应当不超过连续30日，且以最早日期作为该标准仓单的生产日期。</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（二）用于交割的丁二烯橡胶，应当符合交易所认证商品的包装要求，每件胶包外包装应当明显标出用以识别的产品名称等信息。</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（三）用于交割的丁二烯橡胶每一标准仓单的标的实物应当按货位堆放，以100吨为一个堆放货位。</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（四）用于交割的丁二烯橡胶外包装应当用聚乙烯薄膜和复合塑料编织袋或者交易所认可的其他形式包装。每袋丁二烯橡胶净含量25kg或者交易所认可的其他包装单元。</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（六）出库时，货主发现有包装薄膜破损导致丁二烯橡胶与外包装发生粘连等情况提出异议的，应当由生产企业、交割仓库、卖方或者首次制成仓单的一方配合解决。</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一百二十六</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交割商品必备单证</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（一）国产商品：应当提供交易所指定</w:t>
      </w:r>
      <w:r>
        <w:rPr>
          <w:rFonts w:eastAsia="方正仿宋简体"/>
          <w:kern w:val="0"/>
          <w:sz w:val="30"/>
          <w:szCs w:val="30"/>
        </w:rPr>
        <w:t>检验机构出具的检验证书</w:t>
      </w:r>
      <w:r>
        <w:rPr>
          <w:rFonts w:eastAsia="方正仿宋简体"/>
          <w:color w:val="000000"/>
          <w:kern w:val="0"/>
          <w:sz w:val="30"/>
          <w:szCs w:val="30"/>
        </w:rPr>
        <w:t>以及认证商品的生产企业出具的产品质量证明书。</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国家税收、海关等政策调整的，应当遵守其规定，相关进口商品的单证要求由交易所另行发布。</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一百二十七</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入出库检验</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二）品质检验为抽样检验，抽样地点应当在交割仓库内，严禁在车站、码头等运输途中抽样。以100吨以下（包括100吨）为一个检验批次，超过100吨应当分若干批次检验。每一检验批次的丁二烯橡胶应当由同一生产企业、同一品牌、同一牌号、同一包装规格的商品所组成。</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（三）交割仓库应当配合指定检验机构的检验工作，并核定丁二烯橡胶入出库数（重）量。</w:t>
      </w:r>
    </w:p>
    <w:p>
      <w:pPr>
        <w:adjustRightInd w:val="0"/>
        <w:spacing w:line="560" w:lineRule="exact"/>
        <w:ind w:firstLine="602" w:firstLineChars="200"/>
        <w:rPr>
          <w:rFonts w:eastAsia="方正仿宋简体"/>
          <w:b/>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一百二十八</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计量和溢短</w:t>
      </w:r>
    </w:p>
    <w:p>
      <w:pPr>
        <w:adjustRightInd w:val="0"/>
        <w:spacing w:line="560" w:lineRule="exact"/>
        <w:ind w:firstLine="600" w:firstLineChars="200"/>
        <w:rPr>
          <w:rFonts w:eastAsia="方正仿宋简体"/>
          <w:color w:val="000000"/>
          <w:kern w:val="0"/>
          <w:sz w:val="30"/>
          <w:szCs w:val="30"/>
        </w:rPr>
      </w:pPr>
      <w:r>
        <w:rPr>
          <w:rFonts w:eastAsia="方正仿宋简体"/>
          <w:kern w:val="0"/>
          <w:sz w:val="30"/>
          <w:szCs w:val="30"/>
        </w:rPr>
        <w:t>丁二烯橡胶交割以包装标识净重或净含量计重。每一标准仓单的国产丁二烯橡胶无溢短，每一标准仓单的进口丁二烯橡胶实物溢短不超过±5%。</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一百二十九</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sz w:val="30"/>
          <w:szCs w:val="30"/>
        </w:rPr>
        <w:t>仓库标准仓单有效期</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丁二烯橡胶仓库标准仓单的有效期为生产年份的第二年的6月30日，超过期限的转作现货并注销。</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用于实物交割的丁二烯橡胶，最迟应当在生产日期起六个月内入库完毕，超过期限不得用于交割。</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一百三十</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丁二烯橡胶期货的交割结算价为该期货合约最后5个有成交交易日的结算价的算术平均值。</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一百三十一</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pPr>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买卖双方在当日14：00之前办妥标准仓单、增值税专用发票、货款等交割事宜的，交易所当日即清退其相应的交割部位保证金;当日14：00之后办妥的，交易所将在下一交易日结算时清退交割部位保证金。</w:t>
      </w:r>
    </w:p>
    <w:p>
      <w:pPr>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一百三十二</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交收地点：交易所交割仓库和厂库（由交易所指定并另行公告）。</w:t>
      </w:r>
    </w:p>
    <w:p>
      <w:pPr>
        <w:spacing w:before="156" w:beforeLines="50" w:line="560" w:lineRule="exact"/>
        <w:jc w:val="center"/>
        <w:rPr>
          <w:rFonts w:eastAsia="方正黑体简体"/>
          <w:sz w:val="30"/>
          <w:szCs w:val="30"/>
        </w:rPr>
      </w:pPr>
      <w:r>
        <w:rPr>
          <w:rFonts w:hint="eastAsia" w:eastAsia="方正黑体简体"/>
          <w:sz w:val="30"/>
          <w:szCs w:val="30"/>
        </w:rPr>
        <w:t>第十七章 白银的交割</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第一百三十三条 </w:t>
      </w:r>
      <w:r>
        <w:rPr>
          <w:rFonts w:hint="eastAsia" w:eastAsia="方正仿宋简体"/>
          <w:color w:val="000000"/>
          <w:kern w:val="0"/>
          <w:sz w:val="30"/>
          <w:szCs w:val="30"/>
        </w:rPr>
        <w:t>交割单位：</w:t>
      </w:r>
      <w:r>
        <w:rPr>
          <w:rFonts w:eastAsia="方正仿宋简体"/>
          <w:color w:val="000000"/>
          <w:kern w:val="0"/>
          <w:sz w:val="30"/>
          <w:szCs w:val="30"/>
        </w:rPr>
        <w:t>30</w:t>
      </w:r>
      <w:r>
        <w:rPr>
          <w:rFonts w:hint="eastAsia" w:eastAsia="方正仿宋简体"/>
          <w:color w:val="000000"/>
          <w:kern w:val="0"/>
          <w:sz w:val="30"/>
          <w:szCs w:val="30"/>
        </w:rPr>
        <w:t>千克</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第一百三十四条 </w:t>
      </w:r>
      <w:r>
        <w:rPr>
          <w:rFonts w:hint="eastAsia" w:eastAsia="方正仿宋简体"/>
          <w:color w:val="000000"/>
          <w:kern w:val="0"/>
          <w:sz w:val="30"/>
          <w:szCs w:val="30"/>
        </w:rPr>
        <w:t>交割品级见《上海期货交易所白银期货合约》。</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第一百三十五条 </w:t>
      </w:r>
      <w:r>
        <w:rPr>
          <w:rFonts w:hint="eastAsia" w:eastAsia="方正仿宋简体"/>
          <w:color w:val="000000"/>
          <w:kern w:val="0"/>
          <w:sz w:val="30"/>
          <w:szCs w:val="30"/>
        </w:rPr>
        <w:t>交割商品</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应当是在本交易所注册的生产厂生产的注册商标的商品。</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第一百三十六条 </w:t>
      </w:r>
      <w:r>
        <w:rPr>
          <w:rFonts w:hint="eastAsia" w:eastAsia="方正仿宋简体"/>
          <w:color w:val="000000"/>
          <w:kern w:val="0"/>
          <w:sz w:val="30"/>
          <w:szCs w:val="30"/>
        </w:rPr>
        <w:t>交割商品的规格</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交割银锭的规格为</w:t>
      </w:r>
      <w:r>
        <w:rPr>
          <w:rFonts w:eastAsia="方正仿宋简体"/>
          <w:color w:val="000000"/>
          <w:kern w:val="0"/>
          <w:sz w:val="30"/>
          <w:szCs w:val="30"/>
        </w:rPr>
        <w:t>15</w:t>
      </w:r>
      <w:r>
        <w:rPr>
          <w:rFonts w:hint="eastAsia" w:eastAsia="方正仿宋简体"/>
          <w:color w:val="000000"/>
          <w:kern w:val="0"/>
          <w:sz w:val="30"/>
          <w:szCs w:val="30"/>
        </w:rPr>
        <w:t>千克</w:t>
      </w:r>
      <w:r>
        <w:rPr>
          <w:rFonts w:eastAsia="方正仿宋简体"/>
          <w:color w:val="000000"/>
          <w:kern w:val="0"/>
          <w:sz w:val="30"/>
          <w:szCs w:val="30"/>
        </w:rPr>
        <w:t>±1</w:t>
      </w:r>
      <w:r>
        <w:rPr>
          <w:rFonts w:hint="eastAsia" w:eastAsia="方正仿宋简体"/>
          <w:color w:val="000000"/>
          <w:kern w:val="0"/>
          <w:sz w:val="30"/>
          <w:szCs w:val="30"/>
        </w:rPr>
        <w:t>千克和</w:t>
      </w:r>
      <w:r>
        <w:rPr>
          <w:rFonts w:eastAsia="方正仿宋简体"/>
          <w:color w:val="000000"/>
          <w:kern w:val="0"/>
          <w:sz w:val="30"/>
          <w:szCs w:val="30"/>
        </w:rPr>
        <w:t>30</w:t>
      </w:r>
      <w:r>
        <w:rPr>
          <w:rFonts w:hint="eastAsia" w:eastAsia="方正仿宋简体"/>
          <w:color w:val="000000"/>
          <w:kern w:val="0"/>
          <w:sz w:val="30"/>
          <w:szCs w:val="30"/>
        </w:rPr>
        <w:t>千克</w:t>
      </w:r>
      <w:r>
        <w:rPr>
          <w:rFonts w:eastAsia="方正仿宋简体"/>
          <w:color w:val="000000"/>
          <w:kern w:val="0"/>
          <w:sz w:val="30"/>
          <w:szCs w:val="30"/>
        </w:rPr>
        <w:t>±2</w:t>
      </w:r>
      <w:r>
        <w:rPr>
          <w:rFonts w:hint="eastAsia" w:eastAsia="方正仿宋简体"/>
          <w:color w:val="000000"/>
          <w:kern w:val="0"/>
          <w:sz w:val="30"/>
          <w:szCs w:val="30"/>
        </w:rPr>
        <w:t>千克。</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每一仓单的银锭，应当是同一生产企业生产、同一牌号、同一注册商标、同一块形的商品组成。</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第一百三十七条 </w:t>
      </w:r>
      <w:r>
        <w:rPr>
          <w:rFonts w:hint="eastAsia" w:eastAsia="方正仿宋简体"/>
          <w:color w:val="000000"/>
          <w:kern w:val="0"/>
          <w:sz w:val="30"/>
          <w:szCs w:val="30"/>
        </w:rPr>
        <w:t>交割商品的包装</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入库及出库银锭均无包装要求。</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第一百三十八条 </w:t>
      </w:r>
      <w:r>
        <w:rPr>
          <w:rFonts w:hint="eastAsia"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（一）国产商品：应当提供注册生产企业出具的产品质量证明书。</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（二）进口商品：相关进口商品的单证要求由交易所另行发布。</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第一百三十九条 </w:t>
      </w:r>
      <w:r>
        <w:rPr>
          <w:rFonts w:hint="eastAsia" w:eastAsia="方正仿宋简体"/>
          <w:color w:val="000000"/>
          <w:kern w:val="0"/>
          <w:sz w:val="30"/>
          <w:szCs w:val="30"/>
        </w:rPr>
        <w:t>溢短和磅差：每张银锭标准仓单溢短不超过</w:t>
      </w:r>
      <w:r>
        <w:rPr>
          <w:rFonts w:eastAsia="方正仿宋简体"/>
          <w:color w:val="000000"/>
          <w:kern w:val="0"/>
          <w:sz w:val="30"/>
          <w:szCs w:val="30"/>
        </w:rPr>
        <w:t>±2</w:t>
      </w:r>
      <w:r>
        <w:rPr>
          <w:rFonts w:hint="eastAsia" w:eastAsia="方正仿宋简体"/>
          <w:color w:val="000000"/>
          <w:kern w:val="0"/>
          <w:sz w:val="30"/>
          <w:szCs w:val="30"/>
        </w:rPr>
        <w:t>千克，每块银锭磅差不超过</w:t>
      </w:r>
      <w:r>
        <w:rPr>
          <w:rFonts w:eastAsia="方正仿宋简体"/>
          <w:color w:val="000000"/>
          <w:kern w:val="0"/>
          <w:sz w:val="30"/>
          <w:szCs w:val="30"/>
        </w:rPr>
        <w:t>±1</w:t>
      </w:r>
      <w:r>
        <w:rPr>
          <w:rFonts w:hint="eastAsia" w:eastAsia="方正仿宋简体"/>
          <w:color w:val="000000"/>
          <w:kern w:val="0"/>
          <w:sz w:val="30"/>
          <w:szCs w:val="30"/>
        </w:rPr>
        <w:t>克。</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第一百四十条 </w:t>
      </w:r>
      <w:r>
        <w:rPr>
          <w:rFonts w:hint="eastAsia" w:eastAsia="方正仿宋简体"/>
          <w:color w:val="000000"/>
          <w:kern w:val="0"/>
          <w:sz w:val="30"/>
          <w:szCs w:val="30"/>
        </w:rPr>
        <w:t>入库银锭的数（重）量检验</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指定交割仓库对入库银锭进行点数并逐一复磅。在规定的磅差范围内，每块银锭的重量以生产企业的质量证明书标识的重量为准。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第一百四十一条 </w:t>
      </w:r>
      <w:r>
        <w:rPr>
          <w:rFonts w:hint="eastAsia"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买卖双方在当日</w:t>
      </w:r>
      <w:r>
        <w:rPr>
          <w:rFonts w:eastAsia="方正仿宋简体"/>
          <w:color w:val="000000"/>
          <w:kern w:val="0"/>
          <w:sz w:val="30"/>
          <w:szCs w:val="30"/>
        </w:rPr>
        <w:t>14:00</w:t>
      </w:r>
      <w:r>
        <w:rPr>
          <w:rFonts w:hint="eastAsia" w:eastAsia="方正仿宋简体"/>
          <w:color w:val="000000"/>
          <w:kern w:val="0"/>
          <w:sz w:val="30"/>
          <w:szCs w:val="30"/>
        </w:rPr>
        <w:t>之前办妥标准仓单、增值税专用发票、货款等交割事宜的，交易所当日即清退其相应的交割部位保证金；如当日</w:t>
      </w:r>
      <w:r>
        <w:rPr>
          <w:rFonts w:eastAsia="方正仿宋简体"/>
          <w:color w:val="000000"/>
          <w:kern w:val="0"/>
          <w:sz w:val="30"/>
          <w:szCs w:val="30"/>
        </w:rPr>
        <w:t>14:00</w:t>
      </w:r>
      <w:r>
        <w:rPr>
          <w:rFonts w:hint="eastAsia" w:eastAsia="方正仿宋简体"/>
          <w:color w:val="000000"/>
          <w:kern w:val="0"/>
          <w:sz w:val="30"/>
          <w:szCs w:val="30"/>
        </w:rPr>
        <w:t>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第一百四十二条 </w:t>
      </w:r>
      <w:r>
        <w:rPr>
          <w:rFonts w:hint="eastAsia" w:eastAsia="方正仿宋简体"/>
          <w:color w:val="000000"/>
          <w:kern w:val="0"/>
          <w:sz w:val="30"/>
          <w:szCs w:val="30"/>
        </w:rPr>
        <w:t>交收地点：交易所指定交割仓库（由交易所指定并另行公告）。</w:t>
      </w:r>
    </w:p>
    <w:p>
      <w:pPr>
        <w:spacing w:before="156" w:beforeLines="50" w:line="560" w:lineRule="exact"/>
        <w:jc w:val="center"/>
        <w:rPr>
          <w:rFonts w:eastAsia="方正黑体简体"/>
          <w:sz w:val="30"/>
          <w:szCs w:val="30"/>
        </w:rPr>
      </w:pPr>
      <w:r>
        <w:rPr>
          <w:rFonts w:hint="eastAsia" w:eastAsia="方正黑体简体"/>
          <w:sz w:val="30"/>
          <w:szCs w:val="30"/>
        </w:rPr>
        <w:t>第十八章 漂白硫酸盐针叶木浆的交割</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第一百四十三条 </w:t>
      </w:r>
      <w:r>
        <w:rPr>
          <w:rFonts w:hint="eastAsia" w:eastAsia="方正仿宋简体"/>
          <w:color w:val="000000"/>
          <w:kern w:val="0"/>
          <w:sz w:val="30"/>
          <w:szCs w:val="30"/>
        </w:rPr>
        <w:t>交割单位</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漂白硫酸盐针叶木浆（以下简称漂针浆）期货合约的交割单位为每一标准仓单重量（风干重）</w:t>
      </w:r>
      <w:r>
        <w:rPr>
          <w:rFonts w:eastAsia="方正仿宋简体"/>
          <w:color w:val="000000"/>
          <w:kern w:val="0"/>
          <w:sz w:val="30"/>
          <w:szCs w:val="30"/>
        </w:rPr>
        <w:t>20</w:t>
      </w:r>
      <w:r>
        <w:rPr>
          <w:rFonts w:hint="eastAsia" w:eastAsia="方正仿宋简体"/>
          <w:color w:val="000000"/>
          <w:kern w:val="0"/>
          <w:sz w:val="30"/>
          <w:szCs w:val="30"/>
        </w:rPr>
        <w:t>吨，交割应当以每一标准仓单的整数倍交割。</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第一百四十四条 </w:t>
      </w:r>
      <w:r>
        <w:rPr>
          <w:rFonts w:hint="eastAsia" w:eastAsia="方正仿宋简体"/>
          <w:color w:val="000000"/>
          <w:kern w:val="0"/>
          <w:sz w:val="30"/>
          <w:szCs w:val="30"/>
        </w:rPr>
        <w:t>交割品级见《上海期货交易所漂白硫酸盐针叶木浆期货合约》。</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第一百四十五条 </w:t>
      </w:r>
      <w:r>
        <w:rPr>
          <w:rFonts w:hint="eastAsia" w:eastAsia="方正仿宋简体"/>
          <w:color w:val="000000"/>
          <w:kern w:val="0"/>
          <w:sz w:val="30"/>
          <w:szCs w:val="30"/>
        </w:rPr>
        <w:t>交割漂针浆质量规定</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交割漂针浆应当是交易所认可的生产厂生产的指定品牌的正品浆。指定品牌和生产厂由交易所另行发布。</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第一百四十六条 </w:t>
      </w:r>
      <w:r>
        <w:rPr>
          <w:rFonts w:hint="eastAsia" w:eastAsia="方正仿宋简体"/>
          <w:color w:val="000000"/>
          <w:kern w:val="0"/>
          <w:sz w:val="30"/>
          <w:szCs w:val="30"/>
        </w:rPr>
        <w:t>交割商品的包装与堆放</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（一）每一标准仓单的漂针浆应当是同一生产厂生产、同一品牌的正品浆商品组成。</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（二）用于交割的漂针浆，应当符合交易所认可的生产厂生产的指定品牌商品的包装要求，每件浆包外包装应明显标出用以识别的产品名称等信息。</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（四）到库商品中，如遇包装铁丝断裂或散块商品，应当重新打包，用规定的铁丝捆扎紧固，方可用于交割。包装费用由货主承担。</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（五）用于交割的漂针浆每一标准仓单的标的实物应当按货位堆放，以</w:t>
      </w:r>
      <w:r>
        <w:rPr>
          <w:rFonts w:eastAsia="方正仿宋简体"/>
          <w:color w:val="000000"/>
          <w:kern w:val="0"/>
          <w:sz w:val="30"/>
          <w:szCs w:val="30"/>
        </w:rPr>
        <w:t>500</w:t>
      </w:r>
      <w:r>
        <w:rPr>
          <w:rFonts w:hint="eastAsia" w:eastAsia="方正仿宋简体"/>
          <w:color w:val="000000"/>
          <w:kern w:val="0"/>
          <w:sz w:val="30"/>
          <w:szCs w:val="30"/>
        </w:rPr>
        <w:t>吨为一个堆放货位。</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第一百四十七条 </w:t>
      </w:r>
      <w:r>
        <w:rPr>
          <w:rFonts w:hint="eastAsia" w:eastAsia="方正仿宋简体"/>
          <w:color w:val="000000"/>
          <w:kern w:val="0"/>
          <w:sz w:val="30"/>
          <w:szCs w:val="30"/>
        </w:rPr>
        <w:t>交割商品必备单证</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（一）国产商品：应当提供交易所指定检验机构出具的检验证书以及生产厂出具的产品质量证明书等材料，经交易所审定合格为有效。</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国家税收、商检等政策调整的，应当遵守其规定，相关进口商品的单证要求由交易所另行发布。</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第一百四十八条 </w:t>
      </w:r>
      <w:r>
        <w:rPr>
          <w:rFonts w:hint="eastAsia" w:eastAsia="方正仿宋简体"/>
          <w:color w:val="000000"/>
          <w:kern w:val="0"/>
          <w:sz w:val="30"/>
          <w:szCs w:val="30"/>
        </w:rPr>
        <w:t>入出库检验</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第一百四十九条 </w:t>
      </w:r>
      <w:r>
        <w:rPr>
          <w:rFonts w:hint="eastAsia" w:eastAsia="方正仿宋简体"/>
          <w:color w:val="000000"/>
          <w:kern w:val="0"/>
          <w:sz w:val="30"/>
          <w:szCs w:val="30"/>
        </w:rPr>
        <w:t>溢短和磅差</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漂针浆交割以实测风干重计重，每一标准仓单的实物溢短不超过</w:t>
      </w:r>
      <w:r>
        <w:rPr>
          <w:rFonts w:eastAsia="方正仿宋简体"/>
          <w:color w:val="000000"/>
          <w:kern w:val="0"/>
          <w:sz w:val="30"/>
          <w:szCs w:val="30"/>
        </w:rPr>
        <w:t>±5%</w:t>
      </w:r>
      <w:r>
        <w:rPr>
          <w:rFonts w:hint="eastAsia" w:eastAsia="方正仿宋简体"/>
          <w:color w:val="000000"/>
          <w:kern w:val="0"/>
          <w:sz w:val="30"/>
          <w:szCs w:val="30"/>
        </w:rPr>
        <w:t>，重量误差不超过</w:t>
      </w:r>
      <w:r>
        <w:rPr>
          <w:rFonts w:eastAsia="方正仿宋简体"/>
          <w:color w:val="000000"/>
          <w:kern w:val="0"/>
          <w:sz w:val="30"/>
          <w:szCs w:val="30"/>
        </w:rPr>
        <w:t>±1%</w:t>
      </w:r>
      <w:r>
        <w:rPr>
          <w:rFonts w:hint="eastAsia" w:eastAsia="方正仿宋简体"/>
          <w:color w:val="000000"/>
          <w:kern w:val="0"/>
          <w:sz w:val="30"/>
          <w:szCs w:val="30"/>
        </w:rPr>
        <w:t>。</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第一百五十条 </w:t>
      </w:r>
      <w:r>
        <w:rPr>
          <w:rFonts w:hint="eastAsia" w:eastAsia="方正仿宋简体"/>
          <w:color w:val="000000"/>
          <w:kern w:val="0"/>
          <w:sz w:val="30"/>
          <w:szCs w:val="30"/>
        </w:rPr>
        <w:t>标准仓单有效期</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（一）用于实物交割的国产漂针浆有效期限为生产年份的第二年的最后一个交割月份，超过期限的转作现货并注销。</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（二）用于实物交割的进口漂针浆应当在到港日起六个月内入库，有效期限为到港日的第二年的最后一个交割月份，超过期限的转作现货并注销。</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第一百五十一条 </w:t>
      </w:r>
      <w:r>
        <w:rPr>
          <w:rFonts w:hint="eastAsia" w:eastAsia="方正仿宋简体"/>
          <w:color w:val="000000"/>
          <w:kern w:val="0"/>
          <w:sz w:val="30"/>
          <w:szCs w:val="30"/>
        </w:rPr>
        <w:t>漂针浆期货的交割结算价：漂针浆期货的交割结算价为该合约最后</w:t>
      </w:r>
      <w:r>
        <w:rPr>
          <w:rFonts w:eastAsia="方正仿宋简体"/>
          <w:color w:val="000000"/>
          <w:kern w:val="0"/>
          <w:sz w:val="30"/>
          <w:szCs w:val="30"/>
        </w:rPr>
        <w:t>5</w:t>
      </w:r>
      <w:r>
        <w:rPr>
          <w:rFonts w:hint="eastAsia" w:eastAsia="方正仿宋简体"/>
          <w:color w:val="000000"/>
          <w:kern w:val="0"/>
          <w:sz w:val="30"/>
          <w:szCs w:val="30"/>
        </w:rPr>
        <w:t>个有成交交易日的成交价格按照成交量的加权平均价。</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第一百五十二条 </w:t>
      </w:r>
      <w:r>
        <w:rPr>
          <w:rFonts w:hint="eastAsia" w:eastAsia="方正仿宋简体"/>
          <w:color w:val="000000"/>
          <w:kern w:val="0"/>
          <w:sz w:val="30"/>
          <w:szCs w:val="30"/>
        </w:rPr>
        <w:t>卖方应当在最后交易日后五个工作日内提交增值税专用发票。</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买卖双方在当日</w:t>
      </w:r>
      <w:r>
        <w:rPr>
          <w:rFonts w:eastAsia="方正仿宋简体"/>
          <w:color w:val="000000"/>
          <w:kern w:val="0"/>
          <w:sz w:val="30"/>
          <w:szCs w:val="30"/>
        </w:rPr>
        <w:t>14</w:t>
      </w:r>
      <w:r>
        <w:rPr>
          <w:rFonts w:hint="eastAsia" w:eastAsia="方正仿宋简体"/>
          <w:color w:val="000000"/>
          <w:kern w:val="0"/>
          <w:sz w:val="30"/>
          <w:szCs w:val="30"/>
        </w:rPr>
        <w:t>：</w:t>
      </w:r>
      <w:r>
        <w:rPr>
          <w:rFonts w:eastAsia="方正仿宋简体"/>
          <w:color w:val="000000"/>
          <w:kern w:val="0"/>
          <w:sz w:val="30"/>
          <w:szCs w:val="30"/>
        </w:rPr>
        <w:t>00</w:t>
      </w:r>
      <w:r>
        <w:rPr>
          <w:rFonts w:hint="eastAsia"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w:t>
      </w:r>
      <w:r>
        <w:rPr>
          <w:rFonts w:hint="eastAsia" w:eastAsia="方正仿宋简体"/>
          <w:color w:val="000000"/>
          <w:kern w:val="0"/>
          <w:sz w:val="30"/>
          <w:szCs w:val="30"/>
        </w:rPr>
        <w:t>：</w:t>
      </w:r>
      <w:r>
        <w:rPr>
          <w:rFonts w:eastAsia="方正仿宋简体"/>
          <w:color w:val="000000"/>
          <w:kern w:val="0"/>
          <w:sz w:val="30"/>
          <w:szCs w:val="30"/>
        </w:rPr>
        <w:t>00</w:t>
      </w:r>
      <w:r>
        <w:rPr>
          <w:rFonts w:hint="eastAsia" w:eastAsia="方正仿宋简体"/>
          <w:color w:val="000000"/>
          <w:kern w:val="0"/>
          <w:sz w:val="30"/>
          <w:szCs w:val="30"/>
        </w:rPr>
        <w:t>之后办妥的，交易所将在下一交易日结算时清退交割部位保证金。</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第一百五十三条 </w:t>
      </w:r>
      <w:r>
        <w:rPr>
          <w:rFonts w:hint="eastAsia" w:eastAsia="方正仿宋简体"/>
          <w:color w:val="000000"/>
          <w:kern w:val="0"/>
          <w:sz w:val="30"/>
          <w:szCs w:val="30"/>
        </w:rPr>
        <w:t>交收地点：交易所指定交割仓库（由交易所指定并另行公告）。</w:t>
      </w:r>
    </w:p>
    <w:p>
      <w:pPr>
        <w:spacing w:before="156" w:beforeLines="50" w:line="560" w:lineRule="exact"/>
        <w:jc w:val="center"/>
        <w:rPr>
          <w:rFonts w:eastAsia="方正黑体简体"/>
          <w:sz w:val="30"/>
          <w:szCs w:val="30"/>
        </w:rPr>
      </w:pPr>
      <w:r>
        <w:rPr>
          <w:rFonts w:hint="eastAsia" w:eastAsia="方正黑体简体"/>
          <w:sz w:val="30"/>
          <w:szCs w:val="30"/>
        </w:rPr>
        <w:t>第十九章 期货转现货</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第一百五十四条 </w:t>
      </w:r>
      <w:r>
        <w:rPr>
          <w:rFonts w:hint="eastAsia"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第一百五十五条 </w:t>
      </w:r>
      <w:r>
        <w:rPr>
          <w:rFonts w:hint="eastAsia" w:eastAsia="方正仿宋简体"/>
          <w:color w:val="000000"/>
          <w:kern w:val="0"/>
          <w:sz w:val="30"/>
          <w:szCs w:val="30"/>
        </w:rPr>
        <w:t>期转现的期限为欲进行期转现合约的上市之日起至交割月份最后交易日前二个交易日（含当日）止。</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持有同一交割月份合约的买卖双方会员（客户）达成协议后，在上述期限内的交易日的</w:t>
      </w:r>
      <w:r>
        <w:rPr>
          <w:rFonts w:eastAsia="方正仿宋简体"/>
          <w:color w:val="000000"/>
          <w:kern w:val="0"/>
          <w:sz w:val="30"/>
          <w:szCs w:val="30"/>
        </w:rPr>
        <w:t>14:00</w:t>
      </w:r>
      <w:r>
        <w:rPr>
          <w:rFonts w:hint="eastAsia" w:eastAsia="方正仿宋简体"/>
          <w:color w:val="000000"/>
          <w:kern w:val="0"/>
          <w:sz w:val="30"/>
          <w:szCs w:val="30"/>
        </w:rPr>
        <w:t>前，到交易所申请办理期转现手续，填写交易所统一印制的期转现申请单（见附件</w:t>
      </w:r>
      <w:r>
        <w:rPr>
          <w:rFonts w:eastAsia="方正仿宋简体"/>
          <w:color w:val="000000"/>
          <w:kern w:val="0"/>
          <w:sz w:val="30"/>
          <w:szCs w:val="30"/>
        </w:rPr>
        <w:t>3</w:t>
      </w:r>
      <w:r>
        <w:rPr>
          <w:rFonts w:hint="eastAsia" w:eastAsia="方正仿宋简体"/>
          <w:color w:val="000000"/>
          <w:kern w:val="0"/>
          <w:sz w:val="30"/>
          <w:szCs w:val="30"/>
        </w:rPr>
        <w:t>）。</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用非标准仓单交割的，应当提供相关的买卖协议和提单复印件。</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第一百五十六条 </w:t>
      </w:r>
      <w:r>
        <w:rPr>
          <w:rFonts w:hint="eastAsia" w:eastAsia="方正仿宋简体"/>
          <w:color w:val="000000"/>
          <w:kern w:val="0"/>
          <w:sz w:val="30"/>
          <w:szCs w:val="30"/>
        </w:rPr>
        <w:t>期转现仅适用于本所所有上市品种的历史持仓，不适用在申请日的新开仓。</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第一百五十七条 </w:t>
      </w:r>
      <w:r>
        <w:rPr>
          <w:rFonts w:hint="eastAsia" w:eastAsia="方正仿宋简体"/>
          <w:color w:val="000000"/>
          <w:kern w:val="0"/>
          <w:sz w:val="30"/>
          <w:szCs w:val="30"/>
        </w:rPr>
        <w:t>期转现的交割结算价为买卖双方会员（客户）达成的协议价。</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第一百五十八条 </w:t>
      </w:r>
      <w:r>
        <w:rPr>
          <w:rFonts w:hint="eastAsia" w:eastAsia="方正仿宋简体"/>
          <w:color w:val="000000"/>
          <w:kern w:val="0"/>
          <w:sz w:val="30"/>
          <w:szCs w:val="30"/>
        </w:rPr>
        <w:t>申请期转现的买卖双方原持有的相应交割月份期货头寸，由交易所在申请日的</w:t>
      </w:r>
      <w:r>
        <w:rPr>
          <w:rFonts w:eastAsia="方正仿宋简体"/>
          <w:color w:val="000000"/>
          <w:kern w:val="0"/>
          <w:sz w:val="30"/>
          <w:szCs w:val="30"/>
        </w:rPr>
        <w:t>15:00</w:t>
      </w:r>
      <w:r>
        <w:rPr>
          <w:rFonts w:hint="eastAsia" w:eastAsia="方正仿宋简体"/>
          <w:color w:val="000000"/>
          <w:kern w:val="0"/>
          <w:sz w:val="30"/>
          <w:szCs w:val="30"/>
        </w:rPr>
        <w:t>之前，按申请日前一交易日交割月份合约的结算价平仓。</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第一百五十九条 </w:t>
      </w:r>
      <w:r>
        <w:rPr>
          <w:rFonts w:hint="eastAsia" w:eastAsia="方正仿宋简体"/>
          <w:color w:val="000000"/>
          <w:kern w:val="0"/>
          <w:sz w:val="30"/>
          <w:szCs w:val="30"/>
        </w:rPr>
        <w:t>期转现的交易保证金按申请日前一交易日交割月份期货合约结算价计算。</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第一百六十条 </w:t>
      </w:r>
      <w:r>
        <w:rPr>
          <w:rFonts w:hint="eastAsia" w:eastAsia="方正仿宋简体"/>
          <w:color w:val="000000"/>
          <w:kern w:val="0"/>
          <w:sz w:val="30"/>
          <w:szCs w:val="30"/>
        </w:rPr>
        <w:t>期转现的票据交换（包括货款、仓单）在申请日后一交易日</w:t>
      </w:r>
      <w:r>
        <w:rPr>
          <w:rFonts w:eastAsia="方正仿宋简体"/>
          <w:color w:val="000000"/>
          <w:kern w:val="0"/>
          <w:sz w:val="30"/>
          <w:szCs w:val="30"/>
        </w:rPr>
        <w:t>14:00</w:t>
      </w:r>
      <w:r>
        <w:rPr>
          <w:rFonts w:hint="eastAsia" w:eastAsia="方正仿宋简体"/>
          <w:color w:val="000000"/>
          <w:kern w:val="0"/>
          <w:sz w:val="30"/>
          <w:szCs w:val="30"/>
        </w:rPr>
        <w:t>前在本交易所内完成。</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第一百六十一条 </w:t>
      </w:r>
      <w:r>
        <w:rPr>
          <w:rFonts w:hint="eastAsia" w:eastAsia="方正仿宋简体"/>
          <w:color w:val="000000"/>
          <w:kern w:val="0"/>
          <w:sz w:val="30"/>
          <w:szCs w:val="30"/>
        </w:rPr>
        <w:t>期转现的交割货款可以采用内转或银行划转方式办理。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第一百六十二条 </w:t>
      </w:r>
      <w:r>
        <w:rPr>
          <w:rFonts w:hint="eastAsia" w:eastAsia="方正仿宋简体"/>
          <w:color w:val="000000"/>
          <w:kern w:val="0"/>
          <w:sz w:val="30"/>
          <w:szCs w:val="30"/>
        </w:rPr>
        <w:t>卖出方应当在办理期转现手续后七日内向交易所提交增值税专用发票。如卖方在</w:t>
      </w:r>
      <w:r>
        <w:rPr>
          <w:rFonts w:eastAsia="方正仿宋简体"/>
          <w:color w:val="000000"/>
          <w:kern w:val="0"/>
          <w:sz w:val="30"/>
          <w:szCs w:val="30"/>
        </w:rPr>
        <w:t>14:00</w:t>
      </w:r>
      <w:r>
        <w:rPr>
          <w:rFonts w:hint="eastAsia" w:eastAsia="方正仿宋简体"/>
          <w:color w:val="000000"/>
          <w:kern w:val="0"/>
          <w:sz w:val="30"/>
          <w:szCs w:val="30"/>
        </w:rPr>
        <w:t>之前交付增值税专用发票的，经复核无误后，交易所退付卖方相应的保证金。如在</w:t>
      </w:r>
      <w:r>
        <w:rPr>
          <w:rFonts w:eastAsia="方正仿宋简体"/>
          <w:color w:val="000000"/>
          <w:kern w:val="0"/>
          <w:sz w:val="30"/>
          <w:szCs w:val="30"/>
        </w:rPr>
        <w:t>14:00</w:t>
      </w:r>
      <w:r>
        <w:rPr>
          <w:rFonts w:hint="eastAsia" w:eastAsia="方正仿宋简体"/>
          <w:color w:val="000000"/>
          <w:kern w:val="0"/>
          <w:sz w:val="30"/>
          <w:szCs w:val="30"/>
        </w:rPr>
        <w:t>之后交付的，交易所在下一交易日结算时清退相应的保证金。交易所在收到卖方增值税专用发票的下一个工作日内向买方开具增值税专用发票。</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未按时提交增值税发票的，按《上海期货交易所结算细则》中的有关规定处理。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第一百六十三条 </w:t>
      </w:r>
      <w:r>
        <w:rPr>
          <w:rFonts w:hint="eastAsia" w:eastAsia="方正仿宋简体"/>
          <w:color w:val="000000"/>
          <w:kern w:val="0"/>
          <w:sz w:val="30"/>
          <w:szCs w:val="30"/>
        </w:rPr>
        <w:t>未按本章第一百六十条规定的期限完成交割的，按本交割细则中有关交割违约的规定执行</w:t>
      </w:r>
      <w:r>
        <w:rPr>
          <w:rFonts w:eastAsia="方正仿宋简体"/>
          <w:color w:val="000000"/>
          <w:kern w:val="0"/>
          <w:sz w:val="30"/>
          <w:szCs w:val="30"/>
        </w:rPr>
        <w:t xml:space="preserve">; </w:t>
      </w:r>
      <w:r>
        <w:rPr>
          <w:rFonts w:hint="eastAsia" w:eastAsia="方正仿宋简体"/>
          <w:color w:val="000000"/>
          <w:kern w:val="0"/>
          <w:sz w:val="30"/>
          <w:szCs w:val="30"/>
        </w:rPr>
        <w:t>发生交割实物质量纠纷的，买方应当在票据交换日后的</w:t>
      </w:r>
      <w:r>
        <w:rPr>
          <w:rFonts w:eastAsia="方正仿宋简体"/>
          <w:color w:val="000000"/>
          <w:kern w:val="0"/>
          <w:sz w:val="30"/>
          <w:szCs w:val="30"/>
        </w:rPr>
        <w:t>25</w:t>
      </w:r>
      <w:r>
        <w:rPr>
          <w:rFonts w:hint="eastAsia" w:eastAsia="方正仿宋简体"/>
          <w:color w:val="000000"/>
          <w:kern w:val="0"/>
          <w:sz w:val="30"/>
          <w:szCs w:val="30"/>
        </w:rPr>
        <w:t>天内提出质量异议申请，并应当同时提供本交易所指定的质量监督检验机构出具的质量鉴定结论。</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涉及非标准仓单交割实物质量纠纷的，由相关会员协调处理，交易所对此不承担担保责任。</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第一百六十四条 </w:t>
      </w:r>
      <w:r>
        <w:rPr>
          <w:rFonts w:hint="eastAsia" w:eastAsia="方正仿宋简体"/>
          <w:color w:val="000000"/>
          <w:kern w:val="0"/>
          <w:sz w:val="30"/>
          <w:szCs w:val="30"/>
        </w:rPr>
        <w:t>对非善意的期转现行为，按《上海期货交易所违规处理办法》中的有关规定处理。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第一百六十五条 </w:t>
      </w:r>
      <w:r>
        <w:rPr>
          <w:rFonts w:hint="eastAsia" w:eastAsia="方正仿宋简体"/>
          <w:color w:val="000000"/>
          <w:kern w:val="0"/>
          <w:sz w:val="30"/>
          <w:szCs w:val="30"/>
        </w:rPr>
        <w:t>交易所将及时公布期转现的有关信息。</w:t>
      </w:r>
    </w:p>
    <w:p>
      <w:pPr>
        <w:spacing w:before="156" w:beforeLines="50" w:line="560" w:lineRule="exact"/>
        <w:jc w:val="center"/>
        <w:rPr>
          <w:rFonts w:eastAsia="方正黑体简体"/>
          <w:sz w:val="30"/>
          <w:szCs w:val="30"/>
        </w:rPr>
      </w:pPr>
      <w:r>
        <w:rPr>
          <w:rFonts w:hint="eastAsia" w:eastAsia="方正黑体简体"/>
          <w:sz w:val="30"/>
          <w:szCs w:val="30"/>
        </w:rPr>
        <w:t>第二十章 交割费用</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第一百六十六条 </w:t>
      </w:r>
      <w:r>
        <w:rPr>
          <w:rFonts w:hint="eastAsia" w:eastAsia="方正仿宋简体"/>
          <w:color w:val="000000"/>
          <w:kern w:val="0"/>
          <w:sz w:val="30"/>
          <w:szCs w:val="30"/>
        </w:rPr>
        <w:t>进行实物交割的双方应当分别向交易所交纳交割手续费。铜</w:t>
      </w:r>
      <w:r>
        <w:rPr>
          <w:rFonts w:eastAsia="方正仿宋简体"/>
          <w:color w:val="000000"/>
          <w:kern w:val="0"/>
          <w:sz w:val="30"/>
          <w:szCs w:val="30"/>
        </w:rPr>
        <w:t>2</w:t>
      </w:r>
      <w:r>
        <w:rPr>
          <w:rFonts w:hint="eastAsia" w:eastAsia="方正仿宋简体"/>
          <w:color w:val="000000"/>
          <w:kern w:val="0"/>
          <w:sz w:val="30"/>
          <w:szCs w:val="30"/>
        </w:rPr>
        <w:t>元</w:t>
      </w:r>
      <w:r>
        <w:rPr>
          <w:rFonts w:eastAsia="方正仿宋简体"/>
          <w:color w:val="000000"/>
          <w:kern w:val="0"/>
          <w:sz w:val="30"/>
          <w:szCs w:val="30"/>
        </w:rPr>
        <w:t>/</w:t>
      </w:r>
      <w:r>
        <w:rPr>
          <w:rFonts w:hint="eastAsia" w:eastAsia="方正仿宋简体"/>
          <w:color w:val="000000"/>
          <w:kern w:val="0"/>
          <w:sz w:val="30"/>
          <w:szCs w:val="30"/>
        </w:rPr>
        <w:t>吨、铝</w:t>
      </w:r>
      <w:r>
        <w:rPr>
          <w:rFonts w:eastAsia="方正仿宋简体"/>
          <w:color w:val="000000"/>
          <w:kern w:val="0"/>
          <w:sz w:val="30"/>
          <w:szCs w:val="30"/>
        </w:rPr>
        <w:t>2</w:t>
      </w:r>
      <w:r>
        <w:rPr>
          <w:rFonts w:hint="eastAsia" w:eastAsia="方正仿宋简体"/>
          <w:color w:val="000000"/>
          <w:kern w:val="0"/>
          <w:sz w:val="30"/>
          <w:szCs w:val="30"/>
        </w:rPr>
        <w:t>元</w:t>
      </w:r>
      <w:r>
        <w:rPr>
          <w:rFonts w:eastAsia="方正仿宋简体"/>
          <w:color w:val="000000"/>
          <w:kern w:val="0"/>
          <w:sz w:val="30"/>
          <w:szCs w:val="30"/>
        </w:rPr>
        <w:t>/</w:t>
      </w:r>
      <w:r>
        <w:rPr>
          <w:rFonts w:hint="eastAsia" w:eastAsia="方正仿宋简体"/>
          <w:color w:val="000000"/>
          <w:kern w:val="0"/>
          <w:sz w:val="30"/>
          <w:szCs w:val="30"/>
        </w:rPr>
        <w:t>吨、锌</w:t>
      </w:r>
      <w:r>
        <w:rPr>
          <w:rFonts w:eastAsia="方正仿宋简体"/>
          <w:color w:val="000000"/>
          <w:kern w:val="0"/>
          <w:sz w:val="30"/>
          <w:szCs w:val="30"/>
        </w:rPr>
        <w:t>2</w:t>
      </w:r>
      <w:r>
        <w:rPr>
          <w:rFonts w:hint="eastAsia" w:eastAsia="方正仿宋简体"/>
          <w:color w:val="000000"/>
          <w:kern w:val="0"/>
          <w:sz w:val="30"/>
          <w:szCs w:val="30"/>
        </w:rPr>
        <w:t>元</w:t>
      </w:r>
      <w:r>
        <w:rPr>
          <w:rFonts w:eastAsia="方正仿宋简体"/>
          <w:color w:val="000000"/>
          <w:kern w:val="0"/>
          <w:sz w:val="30"/>
          <w:szCs w:val="30"/>
        </w:rPr>
        <w:t>/</w:t>
      </w:r>
      <w:r>
        <w:rPr>
          <w:rFonts w:hint="eastAsia" w:eastAsia="方正仿宋简体"/>
          <w:color w:val="000000"/>
          <w:kern w:val="0"/>
          <w:sz w:val="30"/>
          <w:szCs w:val="30"/>
        </w:rPr>
        <w:t>吨、螺纹钢和线材</w:t>
      </w:r>
      <w:r>
        <w:rPr>
          <w:rFonts w:eastAsia="方正仿宋简体"/>
          <w:color w:val="000000"/>
          <w:kern w:val="0"/>
          <w:sz w:val="30"/>
          <w:szCs w:val="30"/>
        </w:rPr>
        <w:t>1</w:t>
      </w:r>
      <w:r>
        <w:rPr>
          <w:rFonts w:hint="eastAsia" w:eastAsia="方正仿宋简体"/>
          <w:color w:val="000000"/>
          <w:kern w:val="0"/>
          <w:sz w:val="30"/>
          <w:szCs w:val="30"/>
        </w:rPr>
        <w:t>元</w:t>
      </w:r>
      <w:r>
        <w:rPr>
          <w:rFonts w:eastAsia="方正仿宋简体"/>
          <w:color w:val="000000"/>
          <w:kern w:val="0"/>
          <w:sz w:val="30"/>
          <w:szCs w:val="30"/>
        </w:rPr>
        <w:t>/</w:t>
      </w:r>
      <w:r>
        <w:rPr>
          <w:rFonts w:hint="eastAsia" w:eastAsia="方正仿宋简体"/>
          <w:color w:val="000000"/>
          <w:kern w:val="0"/>
          <w:sz w:val="30"/>
          <w:szCs w:val="30"/>
        </w:rPr>
        <w:t>吨、天然橡胶</w:t>
      </w:r>
      <w:r>
        <w:rPr>
          <w:rFonts w:eastAsia="方正仿宋简体"/>
          <w:color w:val="000000"/>
          <w:kern w:val="0"/>
          <w:sz w:val="30"/>
          <w:szCs w:val="30"/>
        </w:rPr>
        <w:t>4</w:t>
      </w:r>
      <w:r>
        <w:rPr>
          <w:rFonts w:hint="eastAsia" w:eastAsia="方正仿宋简体"/>
          <w:color w:val="000000"/>
          <w:kern w:val="0"/>
          <w:sz w:val="30"/>
          <w:szCs w:val="30"/>
        </w:rPr>
        <w:t>元</w:t>
      </w:r>
      <w:r>
        <w:rPr>
          <w:rFonts w:eastAsia="方正仿宋简体"/>
          <w:color w:val="000000"/>
          <w:kern w:val="0"/>
          <w:sz w:val="30"/>
          <w:szCs w:val="30"/>
        </w:rPr>
        <w:t>/</w:t>
      </w:r>
      <w:r>
        <w:rPr>
          <w:rFonts w:hint="eastAsia" w:eastAsia="方正仿宋简体"/>
          <w:color w:val="000000"/>
          <w:kern w:val="0"/>
          <w:sz w:val="30"/>
          <w:szCs w:val="30"/>
        </w:rPr>
        <w:t>吨。铅、镍、锡、氧化铝、白银、热轧卷板、不锈钢、丁二烯橡胶和漂针浆期货品种的交割手续费由交易所确定并另行公布。</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第一百六十七条 </w:t>
      </w:r>
      <w:r>
        <w:rPr>
          <w:rFonts w:hint="eastAsia" w:eastAsia="方正仿宋简体"/>
          <w:color w:val="000000"/>
          <w:kern w:val="0"/>
          <w:sz w:val="30"/>
          <w:szCs w:val="30"/>
        </w:rPr>
        <w:t>商品出入库和在库储存期间发生的费用项目和标准由交易所核定。</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第一百六十八条 </w:t>
      </w:r>
      <w:r>
        <w:rPr>
          <w:rFonts w:hint="eastAsia" w:eastAsia="方正仿宋简体"/>
          <w:color w:val="000000"/>
          <w:kern w:val="0"/>
          <w:sz w:val="30"/>
          <w:szCs w:val="30"/>
        </w:rPr>
        <w:t>指定交割仓库正常收费项目和费用计收方法如下：</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铜、铝、锌、铅、镍、锡、氧化铝、螺纹钢、线材、白银、热轧卷板、不锈钢、天然橡胶、丁二烯橡胶、漂针浆指定交割仓库的收费标准由交易所确定并另行公布。</w:t>
      </w:r>
    </w:p>
    <w:p>
      <w:pPr>
        <w:spacing w:before="156" w:beforeLines="50" w:line="560" w:lineRule="exact"/>
        <w:jc w:val="center"/>
        <w:rPr>
          <w:rFonts w:eastAsia="方正黑体简体"/>
          <w:sz w:val="30"/>
          <w:szCs w:val="30"/>
        </w:rPr>
      </w:pPr>
      <w:r>
        <w:rPr>
          <w:rFonts w:hint="eastAsia" w:eastAsia="方正黑体简体"/>
          <w:sz w:val="30"/>
          <w:szCs w:val="30"/>
        </w:rPr>
        <w:t>第二十一章 交割违约</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第一百六十九条 </w:t>
      </w:r>
      <w:r>
        <w:rPr>
          <w:rFonts w:hint="eastAsia" w:eastAsia="方正仿宋简体"/>
          <w:color w:val="000000"/>
          <w:kern w:val="0"/>
          <w:sz w:val="30"/>
          <w:szCs w:val="30"/>
        </w:rPr>
        <w:t>具有下列行为之一的，构成交割违约</w:t>
      </w:r>
      <w:r>
        <w:rPr>
          <w:rFonts w:eastAsia="方正仿宋简体"/>
          <w:color w:val="000000"/>
          <w:kern w:val="0"/>
          <w:sz w:val="30"/>
          <w:szCs w:val="30"/>
        </w:rPr>
        <w:t xml:space="preserve">: </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（一）在规定交割期限内卖方未能如数交付标准仓单的</w:t>
      </w:r>
      <w:r>
        <w:rPr>
          <w:rFonts w:eastAsia="方正仿宋简体"/>
          <w:color w:val="000000"/>
          <w:kern w:val="0"/>
          <w:sz w:val="30"/>
          <w:szCs w:val="30"/>
        </w:rPr>
        <w:t xml:space="preserve">; </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（二）在规定交割期限内买方未能如数解付货款的</w:t>
      </w:r>
      <w:r>
        <w:rPr>
          <w:rFonts w:eastAsia="方正仿宋简体"/>
          <w:color w:val="000000"/>
          <w:kern w:val="0"/>
          <w:sz w:val="30"/>
          <w:szCs w:val="30"/>
        </w:rPr>
        <w:t xml:space="preserve">; </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（三）交易所认定的其他违约行为。</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第一百七十条 </w:t>
      </w:r>
      <w:r>
        <w:rPr>
          <w:rFonts w:hint="eastAsia" w:eastAsia="方正仿宋简体"/>
          <w:color w:val="000000"/>
          <w:kern w:val="0"/>
          <w:sz w:val="30"/>
          <w:szCs w:val="30"/>
        </w:rPr>
        <w:t>计算买、卖方交割违约合约数量的公式为</w:t>
      </w:r>
      <w:r>
        <w:rPr>
          <w:rFonts w:eastAsia="方正仿宋简体"/>
          <w:color w:val="000000"/>
          <w:kern w:val="0"/>
          <w:sz w:val="30"/>
          <w:szCs w:val="30"/>
        </w:rPr>
        <w:t xml:space="preserve">: </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卖方交割违约合约数量（手）</w:t>
      </w:r>
      <w:r>
        <w:rPr>
          <w:rFonts w:eastAsia="方正仿宋简体"/>
          <w:color w:val="000000"/>
          <w:kern w:val="0"/>
          <w:sz w:val="30"/>
          <w:szCs w:val="30"/>
        </w:rPr>
        <w:t xml:space="preserve">= </w:t>
      </w:r>
      <w:r>
        <w:rPr>
          <w:rFonts w:hint="eastAsia" w:eastAsia="方正仿宋简体"/>
          <w:color w:val="000000"/>
          <w:kern w:val="0"/>
          <w:sz w:val="30"/>
          <w:szCs w:val="30"/>
        </w:rPr>
        <w:t>应交标准仓单数量（手）</w:t>
      </w:r>
      <w:r>
        <w:rPr>
          <w:rFonts w:eastAsia="方正仿宋简体"/>
          <w:color w:val="000000"/>
          <w:kern w:val="0"/>
          <w:sz w:val="30"/>
          <w:szCs w:val="30"/>
        </w:rPr>
        <w:t>-</w:t>
      </w:r>
      <w:r>
        <w:rPr>
          <w:rFonts w:hint="eastAsia" w:eastAsia="方正仿宋简体"/>
          <w:color w:val="000000"/>
          <w:kern w:val="0"/>
          <w:sz w:val="30"/>
          <w:szCs w:val="30"/>
        </w:rPr>
        <w:t>已交标准仓单数量（手）</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买方交割违约合约数量（手）</w:t>
      </w:r>
      <w:r>
        <w:rPr>
          <w:rFonts w:eastAsia="方正仿宋简体"/>
          <w:color w:val="000000"/>
          <w:kern w:val="0"/>
          <w:sz w:val="30"/>
          <w:szCs w:val="30"/>
        </w:rPr>
        <w:t>=</w:t>
      </w:r>
      <w:r>
        <w:rPr>
          <w:rFonts w:hint="eastAsia" w:eastAsia="方正仿宋简体"/>
          <w:color w:val="000000"/>
          <w:kern w:val="0"/>
          <w:sz w:val="30"/>
          <w:szCs w:val="30"/>
        </w:rPr>
        <w:t>（应交货款</w:t>
      </w:r>
      <w:r>
        <w:rPr>
          <w:rFonts w:eastAsia="方正仿宋简体"/>
          <w:color w:val="000000"/>
          <w:kern w:val="0"/>
          <w:sz w:val="30"/>
          <w:szCs w:val="30"/>
        </w:rPr>
        <w:t>-</w:t>
      </w:r>
      <w:r>
        <w:rPr>
          <w:rFonts w:hint="eastAsia" w:eastAsia="方正仿宋简体"/>
          <w:color w:val="000000"/>
          <w:kern w:val="0"/>
          <w:sz w:val="30"/>
          <w:szCs w:val="30"/>
        </w:rPr>
        <w:t>已交货款）</w:t>
      </w:r>
      <w:r>
        <w:rPr>
          <w:rFonts w:eastAsia="方正仿宋简体"/>
          <w:color w:val="000000"/>
          <w:kern w:val="0"/>
          <w:sz w:val="30"/>
          <w:szCs w:val="30"/>
        </w:rPr>
        <w:t>÷</w:t>
      </w:r>
      <w:r>
        <w:rPr>
          <w:rFonts w:hint="eastAsia" w:eastAsia="方正仿宋简体"/>
          <w:color w:val="000000"/>
          <w:kern w:val="0"/>
          <w:sz w:val="30"/>
          <w:szCs w:val="30"/>
        </w:rPr>
        <w:t>交割结算价</w:t>
      </w:r>
      <w:r>
        <w:rPr>
          <w:rFonts w:eastAsia="方正仿宋简体"/>
          <w:color w:val="000000"/>
          <w:kern w:val="0"/>
          <w:sz w:val="30"/>
          <w:szCs w:val="30"/>
        </w:rPr>
        <w:t>÷</w:t>
      </w:r>
      <w:r>
        <w:rPr>
          <w:rFonts w:hint="eastAsia" w:eastAsia="方正仿宋简体"/>
          <w:color w:val="000000"/>
          <w:kern w:val="0"/>
          <w:sz w:val="30"/>
          <w:szCs w:val="30"/>
        </w:rPr>
        <w:t>交易单位</w:t>
      </w:r>
    </w:p>
    <w:p>
      <w:pPr>
        <w:adjustRightInd w:val="0"/>
        <w:spacing w:line="560" w:lineRule="exact"/>
        <w:ind w:firstLine="601"/>
        <w:rPr>
          <w:rFonts w:eastAsia="方正仿宋简体"/>
          <w:color w:val="000000"/>
          <w:kern w:val="0"/>
          <w:sz w:val="30"/>
          <w:szCs w:val="30"/>
        </w:rPr>
      </w:pPr>
      <w:r>
        <w:rPr>
          <w:rFonts w:hint="eastAsia" w:eastAsia="方正仿宋简体"/>
          <w:color w:val="000000"/>
          <w:kern w:val="0"/>
          <w:sz w:val="30"/>
          <w:szCs w:val="30"/>
        </w:rPr>
        <w:t>在根据买方交割违约合约数量计算交割违约金额时，应当在买方相应的保证金中预留违约部分合约价值</w:t>
      </w:r>
      <w:r>
        <w:rPr>
          <w:rFonts w:eastAsia="方正仿宋简体"/>
          <w:color w:val="000000"/>
          <w:kern w:val="0"/>
          <w:sz w:val="30"/>
          <w:szCs w:val="30"/>
        </w:rPr>
        <w:t>20%</w:t>
      </w:r>
      <w:r>
        <w:rPr>
          <w:rFonts w:hint="eastAsia" w:eastAsia="方正仿宋简体"/>
          <w:color w:val="000000"/>
          <w:kern w:val="0"/>
          <w:sz w:val="30"/>
          <w:szCs w:val="30"/>
        </w:rPr>
        <w:t>的违约金和违规惩罚金。</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第一百七十一条 </w:t>
      </w:r>
      <w:r>
        <w:rPr>
          <w:rFonts w:hint="eastAsia" w:eastAsia="方正仿宋简体"/>
          <w:color w:val="000000"/>
          <w:kern w:val="0"/>
          <w:sz w:val="30"/>
          <w:szCs w:val="30"/>
        </w:rPr>
        <w:t>发生交割违约后，交易所于违约发生当日</w:t>
      </w:r>
      <w:r>
        <w:rPr>
          <w:rFonts w:eastAsia="方正仿宋简体"/>
          <w:color w:val="000000"/>
          <w:kern w:val="0"/>
          <w:sz w:val="30"/>
          <w:szCs w:val="30"/>
        </w:rPr>
        <w:t>16:30</w:t>
      </w:r>
      <w:r>
        <w:rPr>
          <w:rFonts w:hint="eastAsia" w:eastAsia="方正仿宋简体"/>
          <w:color w:val="000000"/>
          <w:kern w:val="0"/>
          <w:sz w:val="30"/>
          <w:szCs w:val="30"/>
        </w:rPr>
        <w:t>以前通知违约方和相对应的守约方。违约通知通过会员服务系统发送，会员服务系统一经发送，即视为已经送达。</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第一百七十二条 </w:t>
      </w:r>
      <w:r>
        <w:rPr>
          <w:rFonts w:hint="eastAsia" w:eastAsia="方正仿宋简体"/>
          <w:color w:val="000000"/>
          <w:kern w:val="0"/>
          <w:sz w:val="30"/>
          <w:szCs w:val="30"/>
        </w:rPr>
        <w:t>构成交割违约的，由违约方支付违约部分合约价值（按交割结算价计算）</w:t>
      </w:r>
      <w:r>
        <w:rPr>
          <w:rFonts w:eastAsia="方正仿宋简体"/>
          <w:color w:val="000000"/>
          <w:kern w:val="0"/>
          <w:sz w:val="30"/>
          <w:szCs w:val="30"/>
        </w:rPr>
        <w:t>20%</w:t>
      </w:r>
      <w:r>
        <w:rPr>
          <w:rFonts w:hint="eastAsia" w:eastAsia="方正仿宋简体"/>
          <w:color w:val="000000"/>
          <w:kern w:val="0"/>
          <w:sz w:val="30"/>
          <w:szCs w:val="30"/>
        </w:rPr>
        <w:t>的违约金给守约方。交易所退还守约方的货款或者标准仓单，终止本次交割。</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第一百七十三条 </w:t>
      </w:r>
      <w:r>
        <w:rPr>
          <w:rFonts w:hint="eastAsia" w:eastAsia="方正仿宋简体"/>
          <w:color w:val="000000"/>
          <w:kern w:val="0"/>
          <w:sz w:val="30"/>
          <w:szCs w:val="30"/>
        </w:rPr>
        <w:t>若买卖双方都违约的，交易所按终止交割处理，并对双方分别处以违约部分合约价值</w:t>
      </w:r>
      <w:r>
        <w:rPr>
          <w:rFonts w:eastAsia="方正仿宋简体"/>
          <w:color w:val="000000"/>
          <w:kern w:val="0"/>
          <w:sz w:val="30"/>
          <w:szCs w:val="30"/>
        </w:rPr>
        <w:t>5%</w:t>
      </w:r>
      <w:r>
        <w:rPr>
          <w:rFonts w:hint="eastAsia" w:eastAsia="方正仿宋简体"/>
          <w:color w:val="000000"/>
          <w:kern w:val="0"/>
          <w:sz w:val="30"/>
          <w:szCs w:val="30"/>
        </w:rPr>
        <w:t>的违规惩罚金。</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第一百七十四条 </w:t>
      </w:r>
      <w:r>
        <w:rPr>
          <w:rFonts w:hint="eastAsia" w:eastAsia="方正仿宋简体"/>
          <w:color w:val="000000"/>
          <w:kern w:val="0"/>
          <w:sz w:val="30"/>
          <w:szCs w:val="30"/>
        </w:rPr>
        <w:t>终止交割后，交易所的担保责任终止。</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第一百七十五条 </w:t>
      </w:r>
      <w:r>
        <w:rPr>
          <w:rFonts w:hint="eastAsia" w:eastAsia="方正仿宋简体"/>
          <w:color w:val="000000"/>
          <w:kern w:val="0"/>
          <w:sz w:val="30"/>
          <w:szCs w:val="30"/>
        </w:rPr>
        <w:t>会员发生部分交割违约时，违约会员所接标准仓单或所得货款可以用于违约处理。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第一百七十六条 </w:t>
      </w:r>
      <w:r>
        <w:rPr>
          <w:rFonts w:hint="eastAsia" w:eastAsia="方正仿宋简体"/>
          <w:color w:val="000000"/>
          <w:kern w:val="0"/>
          <w:sz w:val="30"/>
          <w:szCs w:val="30"/>
        </w:rPr>
        <w:t>会员在实物交割环节上蓄意违约，按《上海期货交易所违规处理办法》的有关规定处理。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第一百七十七条 </w:t>
      </w:r>
      <w:r>
        <w:rPr>
          <w:rFonts w:hint="eastAsia" w:eastAsia="方正仿宋简体"/>
          <w:color w:val="000000"/>
          <w:kern w:val="0"/>
          <w:sz w:val="30"/>
          <w:szCs w:val="30"/>
        </w:rPr>
        <w:t>发生违约行为的会员当事人及指定交割仓库有义务提供与违约行为相关的证据材料。会员拒不提供证据的，不影响对违约事实的认定。</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第一百七十八条 </w:t>
      </w:r>
      <w:r>
        <w:rPr>
          <w:rFonts w:hint="eastAsia" w:eastAsia="方正仿宋简体"/>
          <w:color w:val="000000"/>
          <w:kern w:val="0"/>
          <w:sz w:val="30"/>
          <w:szCs w:val="30"/>
        </w:rPr>
        <w:t>货主与指定交割仓库就交收的商品检验结果发生争议时，一般通过双方会验的方式解决。也可以提请交易所指定的质量检验机构复验，复验结果为解决争议的依据。</w:t>
      </w:r>
    </w:p>
    <w:p>
      <w:pPr>
        <w:spacing w:before="156" w:beforeLines="50" w:line="560" w:lineRule="exact"/>
        <w:jc w:val="center"/>
        <w:rPr>
          <w:rFonts w:eastAsia="方正黑体简体"/>
          <w:sz w:val="30"/>
          <w:szCs w:val="30"/>
        </w:rPr>
      </w:pPr>
      <w:r>
        <w:rPr>
          <w:rFonts w:hint="eastAsia" w:eastAsia="方正黑体简体"/>
          <w:sz w:val="30"/>
          <w:szCs w:val="30"/>
        </w:rPr>
        <w:t>第二十二章 附 则</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第一百七十九条 </w:t>
      </w:r>
      <w:r>
        <w:rPr>
          <w:rFonts w:hint="eastAsia" w:eastAsia="方正仿宋简体"/>
          <w:color w:val="000000"/>
          <w:kern w:val="0"/>
          <w:sz w:val="30"/>
          <w:szCs w:val="30"/>
        </w:rPr>
        <w:t>燃料油、黄金、石油沥青等的交割规定由交易所另行发布。</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第一百八十条 </w:t>
      </w:r>
      <w:r>
        <w:rPr>
          <w:rFonts w:hint="eastAsia" w:eastAsia="方正仿宋简体"/>
          <w:color w:val="000000"/>
          <w:kern w:val="0"/>
          <w:sz w:val="30"/>
          <w:szCs w:val="30"/>
        </w:rPr>
        <w:t>有关即期合约交易、标准仓单交易的组织和实施办法另行制定。</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第一百八十一条 </w:t>
      </w:r>
      <w:r>
        <w:rPr>
          <w:rFonts w:hint="eastAsia" w:eastAsia="方正仿宋简体"/>
          <w:color w:val="000000"/>
          <w:kern w:val="0"/>
          <w:sz w:val="30"/>
          <w:szCs w:val="30"/>
        </w:rPr>
        <w:t>违反本细则规定的，交易所按《上海期货交易所违规处理办法》的有关规定处理。</w:t>
      </w:r>
    </w:p>
    <w:p>
      <w:pPr>
        <w:adjustRightInd w:val="0"/>
        <w:spacing w:line="560" w:lineRule="exact"/>
        <w:ind w:firstLine="601"/>
        <w:rPr>
          <w:rFonts w:eastAsia="方正仿宋简体"/>
          <w:color w:val="000000"/>
          <w:kern w:val="0"/>
          <w:sz w:val="30"/>
          <w:szCs w:val="30"/>
        </w:rPr>
      </w:pPr>
      <w:r>
        <w:rPr>
          <w:rFonts w:hint="eastAsia" w:eastAsia="方正仿宋简体"/>
          <w:b/>
          <w:color w:val="000000"/>
          <w:kern w:val="0"/>
          <w:sz w:val="30"/>
          <w:szCs w:val="30"/>
        </w:rPr>
        <w:t xml:space="preserve">第一百八十二条 </w:t>
      </w:r>
      <w:r>
        <w:rPr>
          <w:rFonts w:hint="eastAsia" w:eastAsia="方正仿宋简体"/>
          <w:color w:val="000000"/>
          <w:kern w:val="0"/>
          <w:sz w:val="30"/>
          <w:szCs w:val="30"/>
        </w:rPr>
        <w:t>本细则的解释权属于上海期货交易所。</w:t>
      </w:r>
    </w:p>
    <w:p>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hint="eastAsia" w:eastAsia="方正仿宋简体"/>
          <w:b/>
          <w:color w:val="000000"/>
          <w:kern w:val="0"/>
          <w:sz w:val="30"/>
          <w:szCs w:val="30"/>
        </w:rPr>
        <w:t>一百八十三</w:t>
      </w:r>
      <w:r>
        <w:rPr>
          <w:rFonts w:eastAsia="方正仿宋简体"/>
          <w:b/>
          <w:color w:val="000000"/>
          <w:kern w:val="0"/>
          <w:sz w:val="30"/>
          <w:szCs w:val="30"/>
        </w:rPr>
        <w:t>条</w:t>
      </w:r>
      <w:r>
        <w:rPr>
          <w:rFonts w:hint="eastAsia" w:eastAsia="方正仿宋简体"/>
          <w:b/>
          <w:color w:val="000000"/>
          <w:kern w:val="0"/>
          <w:sz w:val="30"/>
          <w:szCs w:val="30"/>
        </w:rPr>
        <w:t xml:space="preserve"> </w:t>
      </w:r>
      <w:r>
        <w:rPr>
          <w:rFonts w:eastAsia="方正仿宋简体"/>
          <w:color w:val="000000"/>
          <w:kern w:val="0"/>
          <w:sz w:val="30"/>
          <w:szCs w:val="30"/>
        </w:rPr>
        <w:t>本细则自</w:t>
      </w:r>
      <w:r>
        <w:rPr>
          <w:rFonts w:eastAsia="方正仿宋简体"/>
          <w:sz w:val="30"/>
          <w:szCs w:val="30"/>
        </w:rPr>
        <w:t>2023年</w:t>
      </w:r>
      <w:r>
        <w:rPr>
          <w:rFonts w:hint="eastAsia" w:eastAsia="方正仿宋简体"/>
          <w:sz w:val="30"/>
          <w:szCs w:val="30"/>
        </w:rPr>
        <w:t>7</w:t>
      </w:r>
      <w:r>
        <w:rPr>
          <w:rFonts w:eastAsia="方正仿宋简体"/>
          <w:sz w:val="30"/>
          <w:szCs w:val="30"/>
        </w:rPr>
        <w:t>月</w:t>
      </w:r>
      <w:r>
        <w:rPr>
          <w:rFonts w:hint="eastAsia" w:eastAsia="方正仿宋简体"/>
          <w:sz w:val="30"/>
          <w:szCs w:val="30"/>
        </w:rPr>
        <w:t>28</w:t>
      </w:r>
      <w:r>
        <w:rPr>
          <w:rFonts w:eastAsia="方正仿宋简体"/>
          <w:sz w:val="30"/>
          <w:szCs w:val="30"/>
        </w:rPr>
        <w:t>日</w:t>
      </w:r>
      <w:r>
        <w:rPr>
          <w:rFonts w:eastAsia="方正仿宋简体"/>
          <w:color w:val="000000"/>
          <w:kern w:val="0"/>
          <w:sz w:val="30"/>
          <w:szCs w:val="30"/>
        </w:rPr>
        <w:t>起实施。</w:t>
      </w:r>
    </w:p>
    <w:p>
      <w:pPr>
        <w:adjustRightInd w:val="0"/>
        <w:spacing w:line="570" w:lineRule="exact"/>
        <w:rPr>
          <w:rFonts w:eastAsia="方正仿宋简体"/>
          <w:color w:val="000000"/>
          <w:kern w:val="0"/>
          <w:sz w:val="30"/>
          <w:szCs w:val="30"/>
        </w:rPr>
      </w:pPr>
    </w:p>
    <w:p>
      <w:pPr>
        <w:adjustRightInd w:val="0"/>
        <w:spacing w:line="570" w:lineRule="exact"/>
        <w:ind w:left="1980" w:leftChars="300" w:hanging="1350" w:hangingChars="450"/>
        <w:rPr>
          <w:rFonts w:eastAsia="方正仿宋简体"/>
          <w:color w:val="000000"/>
          <w:kern w:val="0"/>
          <w:sz w:val="30"/>
          <w:szCs w:val="30"/>
        </w:rPr>
      </w:pPr>
      <w:r>
        <w:rPr>
          <w:rFonts w:eastAsia="方正仿宋简体"/>
          <w:color w:val="000000"/>
          <w:kern w:val="0"/>
          <w:sz w:val="30"/>
          <w:szCs w:val="30"/>
        </w:rPr>
        <w:t>附件：</w:t>
      </w:r>
      <w:r>
        <w:fldChar w:fldCharType="begin"/>
      </w:r>
      <w:r>
        <w:instrText xml:space="preserve"> HYPERLINK "http://www.shfe.com.cn/upload/20190201/1549008285538.docx" </w:instrText>
      </w:r>
      <w:r>
        <w:fldChar w:fldCharType="separate"/>
      </w:r>
      <w:r>
        <w:rPr>
          <w:rFonts w:eastAsia="方正仿宋简体"/>
          <w:color w:val="000000"/>
          <w:kern w:val="0"/>
          <w:sz w:val="30"/>
          <w:szCs w:val="30"/>
        </w:rPr>
        <w:t>1．上海期货交易所指定的铜、铝、锌、天然橡胶质量检验</w:t>
      </w:r>
      <w:bookmarkStart w:id="0" w:name="_Hlt76733387"/>
      <w:bookmarkEnd w:id="0"/>
      <w:r>
        <w:rPr>
          <w:rFonts w:eastAsia="方正仿宋简体"/>
          <w:color w:val="000000"/>
          <w:kern w:val="0"/>
          <w:sz w:val="30"/>
          <w:szCs w:val="30"/>
        </w:rPr>
        <w:t>机构</w:t>
      </w:r>
      <w:r>
        <w:rPr>
          <w:rFonts w:eastAsia="方正仿宋简体"/>
          <w:color w:val="000000"/>
          <w:kern w:val="0"/>
          <w:sz w:val="30"/>
          <w:szCs w:val="30"/>
        </w:rPr>
        <w:fldChar w:fldCharType="end"/>
      </w:r>
      <w:r>
        <w:rPr>
          <w:rFonts w:eastAsia="方正仿宋简体"/>
          <w:color w:val="000000"/>
          <w:kern w:val="0"/>
          <w:sz w:val="30"/>
          <w:szCs w:val="30"/>
        </w:rPr>
        <w:t>（略）</w:t>
      </w:r>
    </w:p>
    <w:p>
      <w:pPr>
        <w:adjustRightInd w:val="0"/>
        <w:spacing w:line="570" w:lineRule="exact"/>
        <w:ind w:firstLine="1500" w:firstLineChars="500"/>
        <w:rPr>
          <w:rFonts w:eastAsia="方正仿宋简体"/>
          <w:color w:val="000000"/>
          <w:kern w:val="0"/>
          <w:sz w:val="30"/>
          <w:szCs w:val="30"/>
        </w:rPr>
      </w:pPr>
      <w:r>
        <w:rPr>
          <w:rFonts w:eastAsia="方正仿宋简体"/>
          <w:color w:val="000000"/>
          <w:kern w:val="0"/>
          <w:sz w:val="30"/>
          <w:szCs w:val="30"/>
        </w:rPr>
        <w:t>2．</w:t>
      </w:r>
      <w:r>
        <w:fldChar w:fldCharType="begin"/>
      </w:r>
      <w:r>
        <w:instrText xml:space="preserve"> HYPERLINK "http://www.shfe.com.cn/upload/20190201/1549008302732.docx" </w:instrText>
      </w:r>
      <w:r>
        <w:fldChar w:fldCharType="separate"/>
      </w:r>
      <w:r>
        <w:rPr>
          <w:rFonts w:eastAsia="方正仿宋简体"/>
          <w:color w:val="000000"/>
          <w:kern w:val="0"/>
          <w:sz w:val="30"/>
          <w:szCs w:val="30"/>
        </w:rPr>
        <w:t>上海期货交易所指定交割仓库</w:t>
      </w:r>
      <w:r>
        <w:rPr>
          <w:rFonts w:eastAsia="方正仿宋简体"/>
          <w:color w:val="000000"/>
          <w:kern w:val="0"/>
          <w:sz w:val="30"/>
          <w:szCs w:val="30"/>
        </w:rPr>
        <w:fldChar w:fldCharType="end"/>
      </w:r>
      <w:r>
        <w:rPr>
          <w:rFonts w:eastAsia="方正仿宋简体"/>
          <w:color w:val="000000"/>
          <w:kern w:val="0"/>
          <w:sz w:val="30"/>
          <w:szCs w:val="30"/>
        </w:rPr>
        <w:t>（略）</w:t>
      </w:r>
    </w:p>
    <w:p>
      <w:pPr>
        <w:adjustRightInd w:val="0"/>
        <w:spacing w:line="570" w:lineRule="exact"/>
        <w:ind w:firstLine="1500" w:firstLineChars="500"/>
        <w:rPr>
          <w:rFonts w:hint="eastAsia" w:eastAsia="方正仿宋简体"/>
          <w:color w:val="000000"/>
          <w:kern w:val="0"/>
          <w:sz w:val="30"/>
          <w:szCs w:val="30"/>
        </w:rPr>
      </w:pPr>
      <w:r>
        <w:rPr>
          <w:rFonts w:eastAsia="方正仿宋简体"/>
          <w:color w:val="000000"/>
          <w:kern w:val="0"/>
          <w:sz w:val="30"/>
          <w:szCs w:val="30"/>
        </w:rPr>
        <w:t>3．</w:t>
      </w:r>
      <w:r>
        <w:fldChar w:fldCharType="begin"/>
      </w:r>
      <w:r>
        <w:instrText xml:space="preserve"> HYPERLINK "http://www.shfe.com.cn/upload/20190201/1549008316198.docx" </w:instrText>
      </w:r>
      <w:r>
        <w:fldChar w:fldCharType="separate"/>
      </w:r>
      <w:r>
        <w:rPr>
          <w:rFonts w:eastAsia="方正仿宋简体"/>
          <w:color w:val="000000"/>
          <w:kern w:val="0"/>
          <w:sz w:val="30"/>
          <w:szCs w:val="30"/>
        </w:rPr>
        <w:t>上海期货交易所期转现申请单</w:t>
      </w:r>
      <w:r>
        <w:rPr>
          <w:rFonts w:eastAsia="方正仿宋简体"/>
          <w:color w:val="000000"/>
          <w:kern w:val="0"/>
          <w:sz w:val="30"/>
          <w:szCs w:val="30"/>
        </w:rPr>
        <w:fldChar w:fldCharType="end"/>
      </w:r>
      <w:r>
        <w:rPr>
          <w:rFonts w:eastAsia="方正仿宋简体"/>
          <w:color w:val="000000"/>
          <w:kern w:val="0"/>
          <w:sz w:val="30"/>
          <w:szCs w:val="30"/>
        </w:rPr>
        <w:t>（略）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1738"/>
      <w:docPartObj>
        <w:docPartGallery w:val="AutoText"/>
      </w:docPartObj>
    </w:sdtPr>
    <w:sdtEndPr>
      <w:rPr>
        <w:sz w:val="24"/>
      </w:rPr>
    </w:sdtEndPr>
    <w:sdtContent>
      <w:p>
        <w:pPr>
          <w:pStyle w:val="2"/>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34FF"/>
    <w:rsid w:val="000173A2"/>
    <w:rsid w:val="005B2B4B"/>
    <w:rsid w:val="006A5354"/>
    <w:rsid w:val="006D0413"/>
    <w:rsid w:val="0071389D"/>
    <w:rsid w:val="00987F5E"/>
    <w:rsid w:val="00B234FF"/>
    <w:rsid w:val="00C008E3"/>
    <w:rsid w:val="00F03341"/>
    <w:rsid w:val="9ECF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36</Pages>
  <Words>2816</Words>
  <Characters>16055</Characters>
  <Lines>133</Lines>
  <Paragraphs>37</Paragraphs>
  <TotalTime>8</TotalTime>
  <ScaleCrop>false</ScaleCrop>
  <LinksUpToDate>false</LinksUpToDate>
  <CharactersWithSpaces>18834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2023-07-14T09:13:00Z</dcterms:created>
  <dc:creator>季铄人:返回拟稿人修改</dc:creator>
  <cp:lastModifiedBy>孙欣鹏</cp:lastModifiedBy>
  <dcterms:modified xsi:type="dcterms:W3CDTF">2023-07-31T10:26:40Z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