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仿宋简体"/>
          <w:b/>
          <w:sz w:val="32"/>
        </w:rPr>
      </w:pPr>
      <w:bookmarkStart w:id="0" w:name="_Toc1198968869"/>
      <w:bookmarkStart w:id="1" w:name="_Toc1230804121"/>
      <w:bookmarkStart w:id="2" w:name="_GoBack"/>
      <w:bookmarkEnd w:id="2"/>
    </w:p>
    <w:p>
      <w:pPr>
        <w:pStyle w:val="2"/>
        <w:spacing w:before="0" w:after="0"/>
      </w:pPr>
      <w:r>
        <w:t>上海期货交易所</w:t>
      </w:r>
      <w:r>
        <w:rPr>
          <w:rFonts w:hint="eastAsia"/>
        </w:rPr>
        <w:t>不锈钢期货业务细则</w:t>
      </w:r>
      <w:bookmarkEnd w:id="0"/>
    </w:p>
    <w:bookmarkEnd w:id="1"/>
    <w:p>
      <w:pPr>
        <w:spacing w:line="560" w:lineRule="exact"/>
        <w:rPr>
          <w:sz w:val="30"/>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为了规范上海期货交易所（以下简称交易所）不锈钢期货相关业务，根据《上海期货交易所交易规则》《上海期货交易所不锈钢期货合约》以及相关业务规则，制定本细则。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不锈钢期货合约的交易单位为5吨/手。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不锈钢期货合约的报价单位为元（人民币）/吨。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不锈钢期货合约的最小变动价位为5元/吨。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不锈钢期货合约月份为1～12月。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不锈钢期货合约的交易时间为上午9:00～11:30，下午1:30～3:00和交易所规定的其他交易时间。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不锈钢期货合约的最后交易日为合约月份的15日，遇国家法定节假日顺延，春节月份等最后交易日交易所可另行调整并通知。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不锈钢期货合约的交易代码为SS。</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不锈钢</w:t>
      </w:r>
      <w:r>
        <w:rPr>
          <w:rFonts w:eastAsia="方正仿宋简体"/>
          <w:sz w:val="30"/>
          <w:szCs w:val="30"/>
        </w:rPr>
        <w:t>期货套期保值交易</w:t>
      </w:r>
      <w:r>
        <w:rPr>
          <w:rFonts w:hint="eastAsia" w:eastAsia="方正仿宋简体"/>
          <w:color w:val="000000"/>
          <w:sz w:val="30"/>
          <w:szCs w:val="30"/>
        </w:rPr>
        <w:t>持仓额度</w:t>
      </w:r>
      <w:r>
        <w:rPr>
          <w:rFonts w:eastAsia="方正仿宋简体"/>
          <w:sz w:val="30"/>
          <w:szCs w:val="30"/>
        </w:rPr>
        <w:t>和套利交易</w:t>
      </w:r>
      <w:r>
        <w:rPr>
          <w:rFonts w:hint="eastAsia" w:eastAsia="方正仿宋简体"/>
          <w:color w:val="000000"/>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eastAsia="方正仿宋简体"/>
          <w:color w:val="000000"/>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不锈钢</w:t>
      </w:r>
      <w:r>
        <w:rPr>
          <w:rFonts w:eastAsia="方正仿宋简体"/>
          <w:sz w:val="30"/>
          <w:szCs w:val="30"/>
        </w:rPr>
        <w:t>期货一般月份套期保值交易</w:t>
      </w:r>
      <w:r>
        <w:rPr>
          <w:rFonts w:hint="eastAsia" w:eastAsia="方正仿宋简体"/>
          <w:color w:val="000000"/>
          <w:sz w:val="30"/>
          <w:szCs w:val="30"/>
        </w:rPr>
        <w:t>持仓额度</w:t>
      </w:r>
      <w:r>
        <w:rPr>
          <w:rFonts w:eastAsia="方正仿宋简体"/>
          <w:sz w:val="30"/>
          <w:szCs w:val="30"/>
        </w:rPr>
        <w:t>的申请应当在该套期保值所涉合约交割月前第二月的最后一个交易日之前提出，逾期交易所不再受理。</w:t>
      </w:r>
    </w:p>
    <w:p>
      <w:pPr>
        <w:spacing w:line="560" w:lineRule="exact"/>
        <w:ind w:firstLine="600" w:firstLineChars="200"/>
        <w:rPr>
          <w:rFonts w:eastAsia="方正仿宋简体"/>
          <w:sz w:val="30"/>
          <w:szCs w:val="30"/>
        </w:rPr>
      </w:pPr>
      <w:r>
        <w:rPr>
          <w:rFonts w:eastAsia="方正仿宋简体"/>
          <w:sz w:val="30"/>
          <w:szCs w:val="30"/>
        </w:rPr>
        <w:t>不锈钢期货临近交割月份套期保值交易</w:t>
      </w:r>
      <w:r>
        <w:rPr>
          <w:rFonts w:hint="eastAsia" w:eastAsia="方正仿宋简体"/>
          <w:color w:val="000000"/>
          <w:sz w:val="30"/>
          <w:szCs w:val="30"/>
        </w:rPr>
        <w:t>持仓额度</w:t>
      </w:r>
      <w:r>
        <w:rPr>
          <w:rFonts w:eastAsia="方正仿宋简体"/>
          <w:sz w:val="30"/>
          <w:szCs w:val="30"/>
        </w:rPr>
        <w:t>的申请应当在该套期保值所涉合约交割月前第三月的第一个交易日至交割月前第一月的最后一个交易日之间提出，逾期交易所不再受理；不锈钢期货临近交割月份套利交易</w:t>
      </w:r>
      <w:r>
        <w:rPr>
          <w:rFonts w:hint="eastAsia" w:eastAsia="方正仿宋简体"/>
          <w:color w:val="000000"/>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不锈钢期货套期保值交易</w:t>
      </w:r>
      <w:r>
        <w:rPr>
          <w:rFonts w:hint="eastAsia" w:eastAsia="方正仿宋简体"/>
          <w:color w:val="000000"/>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b/>
          <w:sz w:val="30"/>
          <w:szCs w:val="30"/>
        </w:rPr>
      </w:pPr>
      <w:r>
        <w:rPr>
          <w:rFonts w:eastAsia="方正仿宋简体"/>
          <w:b/>
          <w:sz w:val="30"/>
          <w:szCs w:val="30"/>
        </w:rPr>
        <w:t>第十三条</w:t>
      </w:r>
      <w:r>
        <w:rPr>
          <w:rFonts w:eastAsia="方正仿宋简体"/>
          <w:sz w:val="30"/>
          <w:szCs w:val="30"/>
        </w:rPr>
        <w:t xml:space="preserve"> 不锈钢期货适用期货转现货、仓库交割、厂库交割。</w:t>
      </w:r>
    </w:p>
    <w:p>
      <w:pPr>
        <w:spacing w:line="560" w:lineRule="exact"/>
        <w:ind w:firstLine="600" w:firstLineChars="200"/>
        <w:rPr>
          <w:rFonts w:eastAsia="方正仿宋简体"/>
          <w:b/>
          <w:sz w:val="30"/>
          <w:szCs w:val="30"/>
        </w:rPr>
      </w:pPr>
      <w:r>
        <w:rPr>
          <w:rFonts w:eastAsia="方正仿宋简体"/>
          <w:sz w:val="30"/>
          <w:szCs w:val="30"/>
        </w:rPr>
        <w:t>不锈钢期货实行完税交割</w:t>
      </w:r>
      <w:r>
        <w:rPr>
          <w:rFonts w:hint="eastAsia"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color w:val="000000"/>
          <w:sz w:val="30"/>
          <w:szCs w:val="30"/>
        </w:rPr>
        <w:t xml:space="preserve"> </w:t>
      </w:r>
      <w:r>
        <w:rPr>
          <w:rFonts w:eastAsia="方正仿宋简体"/>
          <w:sz w:val="30"/>
          <w:szCs w:val="30"/>
        </w:rPr>
        <w:t>不锈钢期货交割品级详见《上海期货交易所不锈钢期货合约》。</w:t>
      </w:r>
    </w:p>
    <w:p>
      <w:pPr>
        <w:spacing w:line="560" w:lineRule="exact"/>
        <w:ind w:firstLine="601"/>
        <w:rPr>
          <w:rFonts w:eastAsia="方正仿宋简体"/>
          <w:sz w:val="30"/>
          <w:szCs w:val="30"/>
        </w:rPr>
      </w:pPr>
      <w:r>
        <w:rPr>
          <w:rFonts w:eastAsia="方正仿宋简体"/>
          <w:b/>
          <w:sz w:val="30"/>
          <w:szCs w:val="30"/>
        </w:rPr>
        <w:t>第十五条</w:t>
      </w:r>
      <w:r>
        <w:rPr>
          <w:rFonts w:eastAsia="方正仿宋简体"/>
          <w:sz w:val="30"/>
          <w:szCs w:val="30"/>
        </w:rPr>
        <w:t xml:space="preserve"> 交割不锈钢质量规定</w:t>
      </w:r>
    </w:p>
    <w:p>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pPr>
        <w:spacing w:line="560" w:lineRule="exact"/>
        <w:ind w:firstLine="601"/>
        <w:rPr>
          <w:rFonts w:eastAsia="方正仿宋简体"/>
          <w:sz w:val="30"/>
          <w:szCs w:val="30"/>
        </w:rPr>
      </w:pPr>
      <w:r>
        <w:rPr>
          <w:rFonts w:eastAsia="方正仿宋简体"/>
          <w:sz w:val="30"/>
          <w:szCs w:val="30"/>
        </w:rPr>
        <w:t>交割不锈钢的质量应当符合GB/T3280-2015《不锈钢冷轧钢板和钢带》或者</w:t>
      </w:r>
      <w:r>
        <w:rPr>
          <w:rFonts w:eastAsia="方正仿宋简体"/>
          <w:kern w:val="0"/>
          <w:sz w:val="30"/>
          <w:szCs w:val="30"/>
        </w:rPr>
        <w:t>JIS G 4305</w:t>
      </w:r>
      <w:r>
        <w:rPr>
          <w:rFonts w:hint="eastAsia" w:eastAsia="方正仿宋简体"/>
          <w:kern w:val="0"/>
          <w:sz w:val="30"/>
          <w:szCs w:val="30"/>
        </w:rPr>
        <w:t xml:space="preserve">: </w:t>
      </w:r>
      <w:r>
        <w:rPr>
          <w:rFonts w:eastAsia="方正仿宋简体"/>
          <w:kern w:val="0"/>
          <w:sz w:val="30"/>
          <w:szCs w:val="30"/>
        </w:rPr>
        <w:t>2021</w:t>
      </w:r>
      <w:r>
        <w:rPr>
          <w:rFonts w:eastAsia="方正仿宋简体"/>
          <w:sz w:val="30"/>
          <w:szCs w:val="30"/>
        </w:rPr>
        <w:t>《冷轧不锈钢钢板及钢带》，以及《上海期货交易所钢材交割商品注册管理规定》的规定。</w:t>
      </w:r>
    </w:p>
    <w:p>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pPr>
        <w:spacing w:line="560" w:lineRule="exact"/>
        <w:ind w:firstLine="601"/>
        <w:rPr>
          <w:rFonts w:eastAsia="方正仿宋简体"/>
          <w:sz w:val="30"/>
          <w:szCs w:val="30"/>
        </w:rPr>
      </w:pPr>
      <w:r>
        <w:rPr>
          <w:rFonts w:eastAsia="方正仿宋简体"/>
          <w:b/>
          <w:sz w:val="30"/>
          <w:szCs w:val="30"/>
        </w:rPr>
        <w:t>第十六条</w:t>
      </w:r>
      <w:r>
        <w:rPr>
          <w:rFonts w:hint="eastAsia" w:eastAsia="方正仿宋简体"/>
          <w:b/>
          <w:sz w:val="30"/>
          <w:szCs w:val="30"/>
        </w:rPr>
        <w:t xml:space="preserve"> </w:t>
      </w:r>
      <w:r>
        <w:rPr>
          <w:rFonts w:eastAsia="方正仿宋简体"/>
          <w:sz w:val="30"/>
          <w:szCs w:val="30"/>
        </w:rPr>
        <w:t>交割商品的规格</w:t>
      </w:r>
    </w:p>
    <w:p>
      <w:pPr>
        <w:spacing w:line="560" w:lineRule="exact"/>
        <w:ind w:firstLine="601"/>
        <w:rPr>
          <w:rFonts w:eastAsia="方正仿宋简体"/>
          <w:sz w:val="30"/>
          <w:szCs w:val="30"/>
          <w:highlight w:val="yellow"/>
        </w:rPr>
      </w:pPr>
      <w:r>
        <w:rPr>
          <w:rFonts w:eastAsia="方正仿宋简体"/>
          <w:sz w:val="30"/>
          <w:szCs w:val="30"/>
        </w:rPr>
        <w:t>每一标准仓单不锈钢，应当是同一生产企业生产、同一（注册）商标、同一牌号、同一宽度、同一厚度和同一边部状态的商品组成。</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交割不锈钢的包装</w:t>
      </w:r>
    </w:p>
    <w:p>
      <w:pPr>
        <w:spacing w:line="560" w:lineRule="exact"/>
        <w:ind w:firstLine="600" w:firstLineChars="200"/>
        <w:rPr>
          <w:rFonts w:eastAsia="方正仿宋简体"/>
          <w:sz w:val="30"/>
          <w:szCs w:val="30"/>
        </w:rPr>
      </w:pPr>
      <w:r>
        <w:rPr>
          <w:rFonts w:eastAsia="方正仿宋简体"/>
          <w:sz w:val="30"/>
          <w:szCs w:val="30"/>
        </w:rPr>
        <w:t>交割不锈钢标志以及质量证明书等应当符合GB/T3280-2015《不锈钢冷轧钢板和钢带》或者</w:t>
      </w:r>
      <w:r>
        <w:rPr>
          <w:rFonts w:eastAsia="方正仿宋简体"/>
          <w:kern w:val="0"/>
          <w:sz w:val="30"/>
          <w:szCs w:val="30"/>
        </w:rPr>
        <w:t>JIS G 4305</w:t>
      </w:r>
      <w:r>
        <w:rPr>
          <w:rFonts w:hint="eastAsia" w:eastAsia="方正仿宋简体"/>
          <w:kern w:val="0"/>
          <w:sz w:val="30"/>
          <w:szCs w:val="30"/>
        </w:rPr>
        <w:t xml:space="preserve">: </w:t>
      </w:r>
      <w:r>
        <w:rPr>
          <w:rFonts w:eastAsia="方正仿宋简体"/>
          <w:kern w:val="0"/>
          <w:sz w:val="30"/>
          <w:szCs w:val="30"/>
        </w:rPr>
        <w:t>2021</w:t>
      </w:r>
      <w:r>
        <w:rPr>
          <w:rFonts w:eastAsia="方正仿宋简体"/>
          <w:sz w:val="30"/>
          <w:szCs w:val="30"/>
        </w:rPr>
        <w:t>《冷轧不锈钢钢板及钢带》的规定。</w:t>
      </w:r>
    </w:p>
    <w:p>
      <w:pPr>
        <w:spacing w:line="560" w:lineRule="exact"/>
        <w:ind w:firstLine="600" w:firstLineChars="200"/>
        <w:rPr>
          <w:rFonts w:eastAsia="方正仿宋简体"/>
          <w:sz w:val="30"/>
          <w:szCs w:val="30"/>
        </w:rPr>
      </w:pPr>
      <w:r>
        <w:rPr>
          <w:rFonts w:eastAsia="方正仿宋简体"/>
          <w:sz w:val="30"/>
          <w:szCs w:val="30"/>
        </w:rPr>
        <w:t>交割不锈钢的包装应当符合《上海期货交易所钢材交割商品注册管理规定》的规定。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sz w:val="30"/>
          <w:szCs w:val="30"/>
        </w:rPr>
        <w:t>交割不锈钢按净重进行计量。每张不锈钢标准仓单的溢短不超过±5%，磅差不超过±0.3%</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bCs/>
          <w:sz w:val="30"/>
          <w:szCs w:val="30"/>
        </w:rPr>
        <w:t>不锈钢</w:t>
      </w:r>
      <w:r>
        <w:rPr>
          <w:rFonts w:eastAsia="方正仿宋简体"/>
          <w:sz w:val="30"/>
          <w:szCs w:val="30"/>
        </w:rPr>
        <w:t>期货合约的交割单位为60吨。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不锈钢期货合约的交割日期为最后交易日后连续二个工作日。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不锈钢期货合约交割结算的基准价为该期货合约最后5个有成交交易日的结算价的算术平均值。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1"/>
        <w:rPr>
          <w:rFonts w:eastAsia="方正仿宋简体"/>
          <w:sz w:val="30"/>
          <w:szCs w:val="30"/>
        </w:rPr>
      </w:pPr>
      <w:r>
        <w:rPr>
          <w:rFonts w:eastAsia="方正仿宋简体"/>
          <w:b/>
          <w:sz w:val="30"/>
          <w:szCs w:val="30"/>
        </w:rPr>
        <w:t xml:space="preserve">第二十四条 </w:t>
      </w:r>
      <w:r>
        <w:rPr>
          <w:rFonts w:eastAsia="方正仿宋简体"/>
          <w:sz w:val="30"/>
          <w:szCs w:val="30"/>
        </w:rPr>
        <w:t>包装以及表面质量异议的处理</w:t>
      </w:r>
    </w:p>
    <w:p>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hint="eastAsia" w:eastAsia="方正仿宋简体"/>
          <w:sz w:val="30"/>
          <w:szCs w:val="30"/>
        </w:rPr>
        <w:t>。</w:t>
      </w:r>
    </w:p>
    <w:p>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（二）货主对不锈钢商品包装或者表面质量如麻点、擦划伤、海水浸泡痕迹等提出异议的，应当由生产企业、交割仓库、卖方或者首次制成标准仓单的一方配合解决。</w:t>
      </w:r>
    </w:p>
    <w:p>
      <w:pPr>
        <w:spacing w:line="560" w:lineRule="exact"/>
        <w:ind w:firstLine="601"/>
        <w:rPr>
          <w:rFonts w:eastAsia="方正仿宋简体"/>
          <w:color w:val="000000"/>
          <w:kern w:val="0"/>
          <w:sz w:val="30"/>
          <w:szCs w:val="30"/>
          <w:highlight w:val="green"/>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期转现使用标准仓单并通过交易所结算发生不锈钢交割实物质量纠纷的，买方应当在货款和标准仓单交换日后的25天内提出质量异议申请，并应当同时提供交易所指定检验机构出具的质量鉴定结论。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color w:val="000000"/>
          <w:sz w:val="30"/>
          <w:szCs w:val="30"/>
        </w:rPr>
        <w:t>不锈钢仓库标准仓单</w:t>
      </w:r>
      <w:r>
        <w:rPr>
          <w:rFonts w:eastAsia="方正仿宋简体"/>
          <w:sz w:val="30"/>
          <w:szCs w:val="30"/>
        </w:rPr>
        <w:t>有效期限为该批次产品最早生产日起的360天内。</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用于交割的不锈钢每一仓库标准仓单的标的实物应当作为一个堆放垛位进行堆放。</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第二十八条</w:t>
      </w:r>
      <w:r>
        <w:rPr>
          <w:rFonts w:eastAsia="方正仿宋简体"/>
          <w:color w:val="000000"/>
          <w:kern w:val="0"/>
          <w:sz w:val="30"/>
          <w:szCs w:val="30"/>
        </w:rPr>
        <w:t xml:space="preserve"> 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用于交割的不锈钢每批商品的有效期应当涵盖本次交割的最后交割日。即使交割不锈钢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申请单位申请交割厂库，净资产不足</w:t>
      </w:r>
      <w:r>
        <w:rPr>
          <w:rFonts w:eastAsia="方正仿宋简体"/>
          <w:sz w:val="30"/>
          <w:szCs w:val="30"/>
        </w:rPr>
        <w:t>1</w:t>
      </w:r>
      <w:r>
        <w:rPr>
          <w:rFonts w:hint="eastAsia" w:eastAsia="方正仿宋简体"/>
          <w:sz w:val="30"/>
          <w:szCs w:val="30"/>
        </w:rPr>
        <w:t>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第三十一</w:t>
      </w:r>
      <w:r>
        <w:rPr>
          <w:rFonts w:eastAsia="方正仿宋简体"/>
          <w:b/>
          <w:sz w:val="30"/>
          <w:szCs w:val="30"/>
        </w:rPr>
        <w:t>条</w:t>
      </w:r>
      <w:r>
        <w:rPr>
          <w:rFonts w:hint="eastAsia" w:eastAsia="方正仿宋简体"/>
          <w:b/>
          <w:sz w:val="30"/>
          <w:szCs w:val="30"/>
        </w:rPr>
        <w:t xml:space="preserve"> </w:t>
      </w:r>
      <w:r>
        <w:rPr>
          <w:rFonts w:hint="eastAsia" w:eastAsia="方正仿宋简体"/>
          <w:sz w:val="30"/>
          <w:szCs w:val="30"/>
        </w:rPr>
        <w:t>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厂库签发厂库标准仓单前应当向交易所提交签发申请。申请内容包括品种、牌号、商标、规格、会员单位、货主名称、拟申请签发标准仓单数量等。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厂库标准仓单的有效期为厂库标准仓单生成之日起的360天内。</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申请内容应当包括数量、拟提货日、提货方式、提货计划（每日提货量）、提货人身份证件号码、联系电话等相关内容。</w:t>
      </w:r>
    </w:p>
    <w:p>
      <w:pPr>
        <w:spacing w:line="560" w:lineRule="exact"/>
        <w:ind w:firstLine="600" w:firstLineChars="200"/>
        <w:rPr>
          <w:rFonts w:eastAsia="方正仿宋简体"/>
          <w:sz w:val="30"/>
          <w:szCs w:val="30"/>
        </w:rPr>
      </w:pPr>
      <w:r>
        <w:rPr>
          <w:rFonts w:eastAsia="方正仿宋简体"/>
          <w:sz w:val="30"/>
          <w:szCs w:val="30"/>
        </w:rPr>
        <w:t>（二）厂库在收到货主提货申请后的3个工作日内、参照货主提交的提货日以及企业的生产计划等，确认货主的提货申请。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以参照各个货主申请提货日的先后、提货计划及生产计划等统筹安排发货，并在货主提交提货申请后的3个工作日内，向货主提供一个可供选择的提货时间范围和发货计划（每日发货量）。厂库提供的可供货主选择的最早提货日，应当在货主提交的拟提货日后的10天内。货主无异议的，可选择并确定其中一天为提货日，并确定发货计划。货主有异议的，可以重新和厂库协商。</w:t>
      </w:r>
    </w:p>
    <w:p>
      <w:pPr>
        <w:spacing w:line="560" w:lineRule="exact"/>
        <w:ind w:firstLine="600" w:firstLineChars="200"/>
        <w:rPr>
          <w:rFonts w:eastAsia="方正仿宋简体"/>
          <w:sz w:val="30"/>
          <w:szCs w:val="30"/>
        </w:rPr>
      </w:pPr>
      <w:r>
        <w:rPr>
          <w:rFonts w:eastAsia="方正仿宋简体"/>
          <w:sz w:val="30"/>
          <w:szCs w:val="30"/>
        </w:rPr>
        <w:t>（三）因第二项所述多个货主同时申请提货而造成货主提货时间的延迟，厂库不承担经济责任。但是厂库应当及时报告交易所书面备案，阐明原因。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出库商品的生产日期应</w:t>
      </w:r>
      <w:r>
        <w:rPr>
          <w:rFonts w:hint="eastAsia" w:eastAsia="方正仿宋简体"/>
          <w:sz w:val="30"/>
          <w:szCs w:val="30"/>
        </w:rPr>
        <w:t>在货主和厂库之间已经确定的提货日之前的三百六十日之内，组成每一厂库标准仓单出库的不锈钢生产日期应当不超过连续三十日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出库商品重量以出库商品标签净重为准。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当按约定的提货日和发货计划到厂库提货。过了提货日但在约定的提货日后15日内（含第十五日）到厂库提货，或者因非厂库过错的原因而无法按约定的日发货计划提货，厂库仍应当按照不锈钢期货合约规定的质量标准承担有关商品质量的责任，并按照当时各货主的提货情况统一安排发货计划，直至全部发完。</w:t>
      </w:r>
    </w:p>
    <w:p>
      <w:pPr>
        <w:spacing w:line="560" w:lineRule="exact"/>
        <w:ind w:firstLine="600" w:firstLineChars="200"/>
        <w:rPr>
          <w:rFonts w:eastAsia="方正仿宋简体"/>
          <w:sz w:val="30"/>
          <w:szCs w:val="30"/>
        </w:rPr>
      </w:pPr>
      <w:r>
        <w:rPr>
          <w:rFonts w:eastAsia="方正仿宋简体"/>
          <w:sz w:val="30"/>
          <w:szCs w:val="30"/>
        </w:rPr>
        <w:t>货主应当向厂库支付滞纳金。滞纳金金额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因为货主原因造成发货延迟的，由双方约定另行协商处理。</w:t>
      </w:r>
    </w:p>
    <w:p>
      <w:pPr>
        <w:spacing w:line="560" w:lineRule="exact"/>
        <w:ind w:firstLine="602" w:firstLineChars="200"/>
        <w:rPr>
          <w:rFonts w:eastAsia="方正仿宋简体"/>
          <w:b/>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 xml:space="preserve">条 </w:t>
      </w:r>
      <w:r>
        <w:rPr>
          <w:rFonts w:eastAsia="方正仿宋简体"/>
          <w:bCs/>
          <w:sz w:val="30"/>
          <w:szCs w:val="30"/>
        </w:rPr>
        <w:t>货主未在约定的提货日后15日内（含第十五日）到厂库提货，货主应当向厂库支付滞纳金，具体提货事宜由双方自行协商。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bCs/>
          <w:sz w:val="30"/>
          <w:szCs w:val="30"/>
        </w:rPr>
        <w:t>第三十</w:t>
      </w:r>
      <w:r>
        <w:rPr>
          <w:rFonts w:hint="eastAsia" w:eastAsia="方正仿宋简体"/>
          <w:b/>
          <w:bCs/>
          <w:sz w:val="30"/>
          <w:szCs w:val="30"/>
        </w:rPr>
        <w:t>九</w:t>
      </w:r>
      <w:r>
        <w:rPr>
          <w:rFonts w:eastAsia="方正仿宋简体"/>
          <w:b/>
          <w:bCs/>
          <w:sz w:val="30"/>
          <w:szCs w:val="30"/>
        </w:rPr>
        <w:t>条</w:t>
      </w:r>
      <w:r>
        <w:rPr>
          <w:rFonts w:eastAsia="方正仿宋简体"/>
          <w:sz w:val="30"/>
          <w:szCs w:val="30"/>
        </w:rPr>
        <w:t xml:space="preserve"> 货主在约定的提货日到库提货，厂库未按约定的发货计划发货，但在约定的提货日后15日内（含第十五日）完成了相应商品的发货，厂库应当向货主支付赔偿金。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厂库在约定的提货日后15日（含第十五日）内未完成按日发货计划相应商品的发货，货主可以做如下选择：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adjustRightInd w:val="0"/>
        <w:snapToGrid w:val="0"/>
        <w:spacing w:line="560" w:lineRule="exact"/>
        <w:ind w:firstLine="602" w:firstLineChars="200"/>
        <w:rPr>
          <w:rFonts w:eastAsia="方正仿宋简体"/>
          <w:color w:val="000000"/>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color w:val="000000"/>
          <w:sz w:val="30"/>
          <w:szCs w:val="30"/>
        </w:rPr>
        <w:t>当厂库发生</w:t>
      </w:r>
      <w:r>
        <w:rPr>
          <w:rFonts w:eastAsia="方正仿宋简体"/>
          <w:sz w:val="30"/>
          <w:szCs w:val="30"/>
        </w:rPr>
        <w:t>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w:t>
      </w:r>
      <w:r>
        <w:rPr>
          <w:rFonts w:eastAsia="方正仿宋简体"/>
          <w:color w:val="000000"/>
          <w:sz w:val="30"/>
          <w:szCs w:val="30"/>
        </w:rPr>
        <w:t>中的违约行为时，厂库直接向货主支付赔偿金、返还货款和追加赔偿金。</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厂库未支付或者支付数额不足的，交易所按照以下步骤向货主支付：</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（一）动用厂库提供的担保方式支付；</w:t>
      </w:r>
    </w:p>
    <w:p>
      <w:pPr>
        <w:spacing w:line="560" w:lineRule="exact"/>
        <w:ind w:firstLine="600" w:firstLineChars="200"/>
        <w:rPr>
          <w:rFonts w:eastAsia="方正仿宋简体"/>
          <w:color w:val="000000"/>
          <w:sz w:val="30"/>
          <w:szCs w:val="30"/>
        </w:rPr>
      </w:pPr>
      <w:r>
        <w:rPr>
          <w:rFonts w:eastAsia="方正仿宋简体"/>
          <w:color w:val="000000"/>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条中的违约行为时，货主直接向厂库支付滞纳金。货主未支付的或支付数额不足的，厂库可以通过包括法律程序在内的其他手段向货主追索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提货方对交割商品的质量有异议的，应当在实物交收完成后</w:t>
      </w:r>
      <w:r>
        <w:rPr>
          <w:rFonts w:hint="eastAsia" w:eastAsia="方正仿宋简体"/>
          <w:sz w:val="30"/>
          <w:szCs w:val="30"/>
        </w:rPr>
        <w:t>十日</w:t>
      </w:r>
      <w:r>
        <w:rPr>
          <w:rFonts w:eastAsia="方正仿宋简体"/>
          <w:sz w:val="30"/>
          <w:szCs w:val="30"/>
        </w:rPr>
        <w:t>内，向交易所提出书面申请，并同时提供交易所指定检验机构出具的质量鉴定结论。逾期未提出申请的，视为提货方对所交割商品无异议，交易所不再受理交割商品有异议的申请。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不锈钢期货合约的最低交易保证金为合约价值的5%。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不锈钢期货合约上市运行不同阶段的交易保证金收取标准为：</w:t>
      </w:r>
    </w:p>
    <w:tbl>
      <w:tblPr>
        <w:tblStyle w:val="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不锈钢交易保证金比例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方正仿宋简体"/>
                <w:bCs/>
                <w:color w:val="000000"/>
                <w:kern w:val="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不锈钢期货合约涨跌停板幅度为上一交易日结算价±4%。</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期货公司会员、非期货公司会员和客户的不锈钢期货合约在不同时期的限仓比例和限仓数额具体规定如下：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7"/>
        <w:tblW w:w="86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1"/>
        <w:gridCol w:w="1024"/>
        <w:gridCol w:w="978"/>
        <w:gridCol w:w="1267"/>
        <w:gridCol w:w="848"/>
        <w:gridCol w:w="940"/>
        <w:gridCol w:w="679"/>
        <w:gridCol w:w="756"/>
        <w:gridCol w:w="793"/>
        <w:gridCol w:w="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77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002"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合约挂牌至交割月份</w:t>
            </w:r>
          </w:p>
        </w:tc>
        <w:tc>
          <w:tcPr>
            <w:tcW w:w="3055" w:type="dxa"/>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435"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9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tc>
        <w:tc>
          <w:tcPr>
            <w:tcW w:w="1267" w:type="dxa"/>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788" w:type="dxa"/>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eastAsia="方正仿宋简体"/>
                <w:kern w:val="0"/>
                <w:sz w:val="24"/>
              </w:rPr>
            </w:pPr>
            <w:r>
              <w:rPr>
                <w:rFonts w:eastAsia="方正仿宋简体"/>
                <w:bCs/>
                <w:color w:val="000000"/>
                <w:kern w:val="0"/>
                <w:sz w:val="24"/>
              </w:rPr>
              <w:t>和限仓数额(手)</w:t>
            </w:r>
          </w:p>
        </w:tc>
        <w:tc>
          <w:tcPr>
            <w:tcW w:w="1435"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限仓数额(手)</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期货公司会员</w:t>
            </w:r>
          </w:p>
        </w:tc>
        <w:tc>
          <w:tcPr>
            <w:tcW w:w="1267" w:type="dxa"/>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940"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79"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75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793"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6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77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不锈钢</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25</w:t>
            </w:r>
          </w:p>
        </w:tc>
        <w:tc>
          <w:tcPr>
            <w:tcW w:w="1267" w:type="dxa"/>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940"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79"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267" w:type="dxa"/>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940"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679"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color w:val="000000"/>
          <w:sz w:val="30"/>
          <w:szCs w:val="30"/>
        </w:rPr>
        <w:t>交易者（</w:t>
      </w:r>
      <w:r>
        <w:rPr>
          <w:rFonts w:hint="eastAsia" w:eastAsia="方正仿宋简体" w:cs="Calibri"/>
          <w:color w:val="000000"/>
          <w:kern w:val="0"/>
          <w:sz w:val="30"/>
          <w:szCs w:val="30"/>
        </w:rPr>
        <w:t>即客户、非期货公司会员，下同</w:t>
      </w:r>
      <w:r>
        <w:rPr>
          <w:rFonts w:hint="eastAsia" w:eastAsia="方正仿宋简体"/>
          <w:color w:val="000000"/>
          <w:sz w:val="30"/>
          <w:szCs w:val="30"/>
        </w:rPr>
        <w:t>）</w:t>
      </w:r>
      <w:r>
        <w:rPr>
          <w:rFonts w:eastAsia="方正仿宋简体"/>
          <w:sz w:val="30"/>
          <w:szCs w:val="30"/>
        </w:rPr>
        <w:t>在每个</w:t>
      </w:r>
      <w:r>
        <w:rPr>
          <w:rFonts w:hint="eastAsia" w:eastAsia="方正仿宋简体"/>
          <w:color w:val="000000"/>
          <w:sz w:val="30"/>
          <w:szCs w:val="30"/>
        </w:rPr>
        <w:t>交易编码上的</w:t>
      </w:r>
      <w:r>
        <w:rPr>
          <w:rFonts w:eastAsia="方正仿宋简体"/>
          <w:sz w:val="30"/>
          <w:szCs w:val="30"/>
        </w:rPr>
        <w:t>不锈钢期货合约的</w:t>
      </w:r>
      <w:r>
        <w:rPr>
          <w:rFonts w:hint="eastAsia" w:eastAsia="方正仿宋简体"/>
          <w:color w:val="000000"/>
          <w:sz w:val="30"/>
          <w:szCs w:val="30"/>
        </w:rPr>
        <w:t>一般</w:t>
      </w:r>
      <w:r>
        <w:rPr>
          <w:rFonts w:eastAsia="方正仿宋简体"/>
          <w:sz w:val="30"/>
          <w:szCs w:val="30"/>
        </w:rPr>
        <w:t>持仓应当调整为12手的整倍数（遇市场特殊情况无法按期调整的，可以顺延一天）；进入交割月后，不锈钢期货合约</w:t>
      </w:r>
      <w:r>
        <w:rPr>
          <w:rFonts w:eastAsia="方正仿宋简体"/>
          <w:color w:val="000000"/>
          <w:sz w:val="30"/>
          <w:szCs w:val="30"/>
        </w:rPr>
        <w:t>一般</w:t>
      </w:r>
      <w:r>
        <w:rPr>
          <w:rFonts w:eastAsia="方正仿宋简体"/>
          <w:sz w:val="30"/>
          <w:szCs w:val="30"/>
        </w:rPr>
        <w:t>持仓应当是12手的整倍数，新开仓、平仓也应当是12手的整倍数。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交易所对某一不锈钢期货合约采取强制减仓的，其申报平仓数量、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sz w:val="30"/>
          <w:szCs w:val="30"/>
        </w:rPr>
        <w:t>该不锈钢期货合约的单位净持仓亏损大于或者等于强制减仓基准日结算价6%的所有申报平仓数量的总和为平仓数量。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sz w:val="30"/>
          <w:szCs w:val="30"/>
        </w:rPr>
        <w:t>3%</w:t>
      </w:r>
      <w:r>
        <w:rPr>
          <w:rFonts w:eastAsia="方正仿宋简体"/>
          <w:color w:val="000000"/>
          <w:sz w:val="30"/>
          <w:szCs w:val="30"/>
        </w:rPr>
        <w:t>，小于</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sz w:val="30"/>
          <w:szCs w:val="30"/>
        </w:rPr>
        <w:t>3%</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持仓数量的比例，将申报平仓数量向盈利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持仓分配实际平仓数量；盈利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持仓数量小于申报平仓数量的，根据盈利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持仓数量与申报平仓数量的比例，将盈利</w:t>
      </w:r>
      <w:r>
        <w:rPr>
          <w:rFonts w:eastAsia="方正仿宋简体"/>
          <w:sz w:val="30"/>
          <w:szCs w:val="30"/>
        </w:rPr>
        <w:t>6%</w:t>
      </w:r>
      <w:r>
        <w:rPr>
          <w:rFonts w:eastAsia="方正仿宋简体"/>
          <w:color w:val="000000"/>
          <w:sz w:val="30"/>
          <w:szCs w:val="30"/>
        </w:rPr>
        <w:t>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sz w:val="30"/>
          <w:szCs w:val="30"/>
        </w:rPr>
        <w:t>3%</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持仓分配；还有剩余的，再向盈利</w:t>
      </w:r>
      <w:r>
        <w:rPr>
          <w:rFonts w:eastAsia="方正仿宋简体"/>
          <w:sz w:val="30"/>
          <w:szCs w:val="30"/>
        </w:rPr>
        <w:t>3%</w:t>
      </w:r>
      <w:r>
        <w:rPr>
          <w:rFonts w:eastAsia="方正仿宋简体"/>
          <w:color w:val="000000"/>
          <w:sz w:val="30"/>
          <w:szCs w:val="30"/>
        </w:rPr>
        <w:t>以下的</w:t>
      </w:r>
      <w:r>
        <w:rPr>
          <w:rFonts w:hint="eastAsia" w:eastAsia="方正仿宋简体"/>
          <w:color w:val="000000"/>
          <w:sz w:val="30"/>
          <w:szCs w:val="30"/>
        </w:rPr>
        <w:t>一般</w:t>
      </w:r>
      <w:r>
        <w:rPr>
          <w:rFonts w:eastAsia="方正仿宋简体"/>
          <w:color w:val="000000"/>
          <w:sz w:val="30"/>
          <w:szCs w:val="30"/>
        </w:rPr>
        <w:t>持仓分配；再有剩余的，再向盈利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第五十</w:t>
      </w:r>
      <w:r>
        <w:rPr>
          <w:rFonts w:hint="eastAsia" w:eastAsia="方正仿宋简体"/>
          <w:b/>
          <w:sz w:val="30"/>
          <w:szCs w:val="30"/>
        </w:rPr>
        <w:t>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w:t>
      </w:r>
      <w:r>
        <w:rPr>
          <w:rFonts w:eastAsia="方正仿宋简体"/>
          <w:color w:val="auto"/>
          <w:sz w:val="30"/>
          <w:szCs w:val="30"/>
        </w:rPr>
        <w:t>本细则自</w:t>
      </w:r>
      <w:r>
        <w:rPr>
          <w:rFonts w:hint="eastAsia" w:eastAsia="方正仿宋简体"/>
          <w:color w:val="auto"/>
          <w:sz w:val="30"/>
          <w:szCs w:val="30"/>
          <w:lang w:val="en-US" w:eastAsia="zh-CN"/>
        </w:rPr>
        <w:t>2025</w:t>
      </w:r>
      <w:r>
        <w:rPr>
          <w:rFonts w:eastAsia="方正仿宋简体"/>
          <w:color w:val="auto"/>
          <w:sz w:val="30"/>
          <w:szCs w:val="30"/>
        </w:rPr>
        <w:t>年</w:t>
      </w:r>
      <w:r>
        <w:rPr>
          <w:rFonts w:hint="eastAsia" w:eastAsia="方正仿宋简体"/>
          <w:color w:val="auto"/>
          <w:sz w:val="30"/>
          <w:szCs w:val="30"/>
          <w:lang w:val="en-US" w:eastAsia="zh-CN"/>
        </w:rPr>
        <w:t>11</w:t>
      </w:r>
      <w:r>
        <w:rPr>
          <w:rFonts w:eastAsia="方正仿宋简体"/>
          <w:color w:val="auto"/>
          <w:sz w:val="30"/>
          <w:szCs w:val="30"/>
        </w:rPr>
        <w:t>月</w:t>
      </w:r>
      <w:r>
        <w:rPr>
          <w:rFonts w:hint="eastAsia" w:eastAsia="方正仿宋简体"/>
          <w:color w:val="auto"/>
          <w:sz w:val="30"/>
          <w:szCs w:val="30"/>
          <w:lang w:val="en-US" w:eastAsia="zh-CN"/>
        </w:rPr>
        <w:t>20</w:t>
      </w:r>
      <w:r>
        <w:rPr>
          <w:rFonts w:eastAsia="方正仿宋简体"/>
          <w:color w:val="auto"/>
          <w:sz w:val="30"/>
          <w:szCs w:val="30"/>
        </w:rPr>
        <w:t>日起</w:t>
      </w:r>
      <w:r>
        <w:rPr>
          <w:rFonts w:eastAsia="方正仿宋简体"/>
          <w:sz w:val="30"/>
          <w:szCs w:val="30"/>
        </w:rPr>
        <w:t>实施。</w:t>
      </w:r>
    </w:p>
    <w:p>
      <w:pPr>
        <w:spacing w:line="560" w:lineRule="exact"/>
        <w:jc w:val="right"/>
        <w:rPr>
          <w:rFonts w:eastAsia="方正仿宋简体"/>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119"/>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46 -</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66"/>
    <w:rsid w:val="00110B52"/>
    <w:rsid w:val="00111E9F"/>
    <w:rsid w:val="001D4488"/>
    <w:rsid w:val="00224D19"/>
    <w:rsid w:val="00226DCC"/>
    <w:rsid w:val="0029026D"/>
    <w:rsid w:val="002A2BDD"/>
    <w:rsid w:val="002A5D89"/>
    <w:rsid w:val="002B5B00"/>
    <w:rsid w:val="002F2DB5"/>
    <w:rsid w:val="003564F1"/>
    <w:rsid w:val="00377960"/>
    <w:rsid w:val="0039743D"/>
    <w:rsid w:val="003A760B"/>
    <w:rsid w:val="003B544D"/>
    <w:rsid w:val="003F76E5"/>
    <w:rsid w:val="0040241D"/>
    <w:rsid w:val="0043004F"/>
    <w:rsid w:val="00433248"/>
    <w:rsid w:val="00450254"/>
    <w:rsid w:val="004966C6"/>
    <w:rsid w:val="00496D6E"/>
    <w:rsid w:val="005B6C00"/>
    <w:rsid w:val="005F5284"/>
    <w:rsid w:val="006869C0"/>
    <w:rsid w:val="00761331"/>
    <w:rsid w:val="00775B6A"/>
    <w:rsid w:val="0079017E"/>
    <w:rsid w:val="007B7959"/>
    <w:rsid w:val="007D1A0E"/>
    <w:rsid w:val="007D5AB5"/>
    <w:rsid w:val="00863A69"/>
    <w:rsid w:val="00883B99"/>
    <w:rsid w:val="00A90496"/>
    <w:rsid w:val="00AB45ED"/>
    <w:rsid w:val="00AD3BFC"/>
    <w:rsid w:val="00BA680F"/>
    <w:rsid w:val="00BB10C1"/>
    <w:rsid w:val="00C501EF"/>
    <w:rsid w:val="00CA5C0B"/>
    <w:rsid w:val="00CB5EEB"/>
    <w:rsid w:val="00CD1A18"/>
    <w:rsid w:val="00CF6D06"/>
    <w:rsid w:val="00D13190"/>
    <w:rsid w:val="00D33D71"/>
    <w:rsid w:val="00D94DD3"/>
    <w:rsid w:val="00DD4E4E"/>
    <w:rsid w:val="00E15DFE"/>
    <w:rsid w:val="00E761C2"/>
    <w:rsid w:val="00EF0FB7"/>
    <w:rsid w:val="00F53766"/>
    <w:rsid w:val="00FD5F48"/>
    <w:rsid w:val="00FE56A3"/>
    <w:rsid w:val="00FF2609"/>
    <w:rsid w:val="00FF441D"/>
    <w:rsid w:val="17DD0A50"/>
    <w:rsid w:val="1EF795BE"/>
    <w:rsid w:val="1FDBA603"/>
    <w:rsid w:val="2F5BE1C3"/>
    <w:rsid w:val="36F5B5AD"/>
    <w:rsid w:val="3FEF56B8"/>
    <w:rsid w:val="50B16954"/>
    <w:rsid w:val="56FF2701"/>
    <w:rsid w:val="5DEB0705"/>
    <w:rsid w:val="6A7B8F9C"/>
    <w:rsid w:val="6FF53B4D"/>
    <w:rsid w:val="716606AD"/>
    <w:rsid w:val="736EE759"/>
    <w:rsid w:val="73FFC7AC"/>
    <w:rsid w:val="7B2F5D06"/>
    <w:rsid w:val="7BFF4744"/>
    <w:rsid w:val="7C37F7F3"/>
    <w:rsid w:val="7C4C785F"/>
    <w:rsid w:val="7EFD0B59"/>
    <w:rsid w:val="7FB78B8A"/>
    <w:rsid w:val="7FCDB7DA"/>
    <w:rsid w:val="B54B6469"/>
    <w:rsid w:val="BE4A1C43"/>
    <w:rsid w:val="C0E43E81"/>
    <w:rsid w:val="DFF9840A"/>
    <w:rsid w:val="E2AF889F"/>
    <w:rsid w:val="F7FE14E8"/>
    <w:rsid w:val="F85918C4"/>
    <w:rsid w:val="F8DEF3E3"/>
    <w:rsid w:val="F9C39CBB"/>
    <w:rsid w:val="FE67E721"/>
    <w:rsid w:val="FEBE1B2E"/>
    <w:rsid w:val="FF7B9E1A"/>
    <w:rsid w:val="FFA792E0"/>
    <w:rsid w:val="FFB3A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20" w:after="120" w:line="560" w:lineRule="exact"/>
      <w:jc w:val="center"/>
      <w:outlineLvl w:val="0"/>
    </w:pPr>
    <w:rPr>
      <w:rFonts w:eastAsia="方正大标宋简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10FEF83-8D6A-48F0-B6A9-4D236B1DF7E2}">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11</Pages>
  <Words>3256</Words>
  <Characters>18564</Characters>
  <Lines>154</Lines>
  <Paragraphs>43</Paragraphs>
  <TotalTime>4</TotalTime>
  <ScaleCrop>false</ScaleCrop>
  <LinksUpToDate>false</LinksUpToDate>
  <CharactersWithSpaces>21777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2024-04-01T05:38:00Z</dcterms:created>
  <dc:creator>季铄人</dc:creator>
  <cp:lastModifiedBy>ji.shuoren</cp:lastModifiedBy>
  <cp:lastPrinted>2025-10-24T00:36:00Z</cp:lastPrinted>
  <dcterms:modified xsi:type="dcterms:W3CDTF">2025-11-03T08:31:06Z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eyJoZGlkIjoiYTJjMDg3MGQzYWY4ZDZiNThmMjEzYzY4YTA5YWZmMTMiLCJ1c2VySWQiOiI0NDA0MjQ2MDgifQ==</vt:lpwstr>
  </property>
  <property fmtid="{D5CDD505-2E9C-101B-9397-08002B2CF9AE}" pid="3" name="KSOProductBuildVer">
    <vt:lpwstr>2052-11.8.2.12219</vt:lpwstr>
  </property>
  <property fmtid="{D5CDD505-2E9C-101B-9397-08002B2CF9AE}" pid="4" name="ICV">
    <vt:lpwstr>803CFB9954794EA79B7E387B506D6BFA_12</vt:lpwstr>
  </property>
</Properties>
</file>