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方正大标宋简体" w:hAnsi="方正大标宋简体" w:eastAsia="方正大标宋简体"/>
          <w:sz w:val="42"/>
          <w:szCs w:val="42"/>
        </w:rPr>
      </w:pPr>
      <w:r>
        <w:rPr>
          <w:rFonts w:ascii="方正大标宋简体" w:hAnsi="方正大标宋简体" w:eastAsia="方正大标宋简体"/>
          <w:sz w:val="42"/>
          <w:szCs w:val="42"/>
        </w:rPr>
        <w:t>上海期货交易所不锈钢期货业务细则</w:t>
      </w:r>
    </w:p>
    <w:p>
      <w:pPr>
        <w:spacing w:line="560" w:lineRule="exact"/>
        <w:jc w:val="center"/>
        <w:rPr>
          <w:rFonts w:eastAsia="楷体"/>
          <w:sz w:val="30"/>
          <w:szCs w:val="30"/>
        </w:rPr>
      </w:pPr>
    </w:p>
    <w:p>
      <w:pPr>
        <w:spacing w:line="560" w:lineRule="exact"/>
        <w:jc w:val="center"/>
        <w:rPr>
          <w:rFonts w:eastAsia="方正黑体简体"/>
          <w:sz w:val="30"/>
          <w:szCs w:val="30"/>
        </w:rPr>
      </w:pPr>
      <w:r>
        <w:rPr>
          <w:rFonts w:eastAsia="方正黑体简体"/>
          <w:sz w:val="30"/>
          <w:szCs w:val="30"/>
        </w:rPr>
        <w:t>第一章 总则</w:t>
      </w:r>
    </w:p>
    <w:p>
      <w:pPr>
        <w:spacing w:line="560" w:lineRule="exact"/>
        <w:ind w:firstLine="602" w:firstLineChars="200"/>
        <w:rPr>
          <w:rFonts w:eastAsia="方正仿宋简体"/>
          <w:sz w:val="30"/>
          <w:szCs w:val="30"/>
        </w:rPr>
      </w:pPr>
      <w:r>
        <w:rPr>
          <w:rFonts w:eastAsia="方正仿宋简体"/>
          <w:b/>
          <w:sz w:val="30"/>
          <w:szCs w:val="30"/>
        </w:rPr>
        <w:t>第一条</w:t>
      </w:r>
      <w:r>
        <w:rPr>
          <w:rFonts w:eastAsia="方正仿宋简体"/>
          <w:sz w:val="30"/>
          <w:szCs w:val="30"/>
        </w:rPr>
        <w:t xml:space="preserve"> 为了规范上海期货交易所（以下简称交易所）不锈钢期货相关业务，根据《上海期货交易所交易规则》《上海期货交易所不锈钢期货合约》以及相关业务规则，制定本细则。</w:t>
      </w:r>
    </w:p>
    <w:p>
      <w:pPr>
        <w:spacing w:line="560" w:lineRule="exact"/>
        <w:ind w:firstLine="602" w:firstLineChars="200"/>
        <w:rPr>
          <w:rFonts w:eastAsia="方正仿宋简体"/>
          <w:sz w:val="30"/>
          <w:szCs w:val="30"/>
        </w:rPr>
      </w:pPr>
      <w:r>
        <w:rPr>
          <w:rFonts w:eastAsia="方正仿宋简体"/>
          <w:b/>
          <w:sz w:val="30"/>
          <w:szCs w:val="30"/>
        </w:rPr>
        <w:t>第二条</w:t>
      </w:r>
      <w:r>
        <w:rPr>
          <w:rFonts w:eastAsia="方正仿宋简体"/>
          <w:sz w:val="30"/>
          <w:szCs w:val="30"/>
        </w:rPr>
        <w:t xml:space="preserve"> 交易所、会员、客户、交割库、指定检验机构、期货保证金存管机构以及期货市场其他参与者应当遵守本细则。</w:t>
      </w:r>
    </w:p>
    <w:p>
      <w:pPr>
        <w:spacing w:line="560" w:lineRule="exact"/>
        <w:jc w:val="center"/>
        <w:rPr>
          <w:rFonts w:eastAsia="黑体"/>
          <w:sz w:val="30"/>
          <w:szCs w:val="30"/>
        </w:rPr>
      </w:pPr>
      <w:r>
        <w:rPr>
          <w:rFonts w:eastAsia="黑体"/>
          <w:sz w:val="30"/>
          <w:szCs w:val="30"/>
        </w:rPr>
        <w:t>第二章 交易业务</w:t>
      </w:r>
    </w:p>
    <w:p>
      <w:pPr>
        <w:spacing w:line="560" w:lineRule="exact"/>
        <w:ind w:firstLine="602" w:firstLineChars="200"/>
        <w:rPr>
          <w:rFonts w:eastAsia="方正仿宋简体"/>
          <w:sz w:val="30"/>
          <w:szCs w:val="30"/>
        </w:rPr>
      </w:pPr>
      <w:r>
        <w:rPr>
          <w:rFonts w:eastAsia="方正仿宋简体"/>
          <w:b/>
          <w:sz w:val="30"/>
          <w:szCs w:val="30"/>
        </w:rPr>
        <w:t>第三条</w:t>
      </w:r>
      <w:r>
        <w:rPr>
          <w:rFonts w:eastAsia="方正仿宋简体"/>
          <w:sz w:val="30"/>
          <w:szCs w:val="30"/>
        </w:rPr>
        <w:t xml:space="preserve"> 不锈钢期货合约的交易单位为5吨/手。</w:t>
      </w:r>
    </w:p>
    <w:p>
      <w:pPr>
        <w:spacing w:line="560" w:lineRule="exact"/>
        <w:ind w:firstLine="602" w:firstLineChars="200"/>
        <w:rPr>
          <w:rFonts w:eastAsia="方正仿宋简体"/>
          <w:sz w:val="30"/>
          <w:szCs w:val="30"/>
        </w:rPr>
      </w:pPr>
      <w:r>
        <w:rPr>
          <w:rFonts w:eastAsia="方正仿宋简体"/>
          <w:b/>
          <w:sz w:val="30"/>
          <w:szCs w:val="30"/>
        </w:rPr>
        <w:t>第四条</w:t>
      </w:r>
      <w:r>
        <w:rPr>
          <w:rFonts w:eastAsia="方正仿宋简体"/>
          <w:sz w:val="30"/>
          <w:szCs w:val="30"/>
        </w:rPr>
        <w:t xml:space="preserve"> 不锈钢期货合约的报价单位为元（人民币）/吨。</w:t>
      </w:r>
    </w:p>
    <w:p>
      <w:pPr>
        <w:spacing w:line="560" w:lineRule="exact"/>
        <w:ind w:firstLine="602" w:firstLineChars="200"/>
        <w:rPr>
          <w:rFonts w:eastAsia="方正仿宋简体"/>
          <w:sz w:val="30"/>
          <w:szCs w:val="30"/>
        </w:rPr>
      </w:pPr>
      <w:r>
        <w:rPr>
          <w:rFonts w:eastAsia="方正仿宋简体"/>
          <w:b/>
          <w:sz w:val="30"/>
          <w:szCs w:val="30"/>
        </w:rPr>
        <w:t>第五条</w:t>
      </w:r>
      <w:r>
        <w:rPr>
          <w:rFonts w:eastAsia="方正仿宋简体"/>
          <w:sz w:val="30"/>
          <w:szCs w:val="30"/>
        </w:rPr>
        <w:t xml:space="preserve"> 不锈钢期货合约的最小变动价位为5元/吨。</w:t>
      </w:r>
    </w:p>
    <w:p>
      <w:pPr>
        <w:spacing w:line="560" w:lineRule="exact"/>
        <w:ind w:firstLine="602" w:firstLineChars="200"/>
        <w:rPr>
          <w:rFonts w:eastAsia="方正仿宋简体"/>
          <w:sz w:val="30"/>
          <w:szCs w:val="30"/>
        </w:rPr>
      </w:pPr>
      <w:r>
        <w:rPr>
          <w:rFonts w:eastAsia="方正仿宋简体"/>
          <w:b/>
          <w:sz w:val="30"/>
          <w:szCs w:val="30"/>
        </w:rPr>
        <w:t>第六条</w:t>
      </w:r>
      <w:r>
        <w:rPr>
          <w:rFonts w:eastAsia="方正仿宋简体"/>
          <w:sz w:val="30"/>
          <w:szCs w:val="30"/>
        </w:rPr>
        <w:t xml:space="preserve"> 不锈钢期货合约月份为1～12月。</w:t>
      </w:r>
    </w:p>
    <w:p>
      <w:pPr>
        <w:spacing w:line="560" w:lineRule="exact"/>
        <w:ind w:firstLine="602" w:firstLineChars="200"/>
        <w:rPr>
          <w:rFonts w:eastAsia="方正仿宋简体"/>
          <w:sz w:val="30"/>
          <w:szCs w:val="30"/>
        </w:rPr>
      </w:pPr>
      <w:r>
        <w:rPr>
          <w:rFonts w:eastAsia="方正仿宋简体"/>
          <w:b/>
          <w:sz w:val="30"/>
          <w:szCs w:val="30"/>
        </w:rPr>
        <w:t>第七条</w:t>
      </w:r>
      <w:r>
        <w:rPr>
          <w:rFonts w:eastAsia="方正仿宋简体"/>
          <w:sz w:val="30"/>
          <w:szCs w:val="30"/>
        </w:rPr>
        <w:t xml:space="preserve"> 不锈钢期货合约的交易时间为上午9:00～11:30，下午1:30～3:00和交易所规定的其他交易时间。</w:t>
      </w:r>
    </w:p>
    <w:p>
      <w:pPr>
        <w:spacing w:line="560" w:lineRule="exact"/>
        <w:ind w:firstLine="602" w:firstLineChars="200"/>
        <w:rPr>
          <w:rFonts w:eastAsia="方正仿宋简体"/>
          <w:sz w:val="30"/>
          <w:szCs w:val="30"/>
        </w:rPr>
      </w:pPr>
      <w:r>
        <w:rPr>
          <w:rFonts w:eastAsia="方正仿宋简体"/>
          <w:b/>
          <w:sz w:val="30"/>
          <w:szCs w:val="30"/>
        </w:rPr>
        <w:t>第八条</w:t>
      </w:r>
      <w:r>
        <w:rPr>
          <w:rFonts w:eastAsia="方正仿宋简体"/>
          <w:sz w:val="30"/>
          <w:szCs w:val="30"/>
        </w:rPr>
        <w:t xml:space="preserve"> 不锈钢期货合约的最后交易日为合约月份的15日，遇国家法定节假日顺延，春节月份等最后交易日交易所可另行调整并通知。</w:t>
      </w:r>
    </w:p>
    <w:p>
      <w:pPr>
        <w:spacing w:line="560" w:lineRule="exact"/>
        <w:ind w:firstLine="602" w:firstLineChars="200"/>
        <w:rPr>
          <w:rFonts w:eastAsia="方正仿宋简体"/>
          <w:sz w:val="30"/>
          <w:szCs w:val="30"/>
        </w:rPr>
      </w:pPr>
      <w:r>
        <w:rPr>
          <w:rFonts w:eastAsia="方正仿宋简体"/>
          <w:b/>
          <w:sz w:val="30"/>
          <w:szCs w:val="30"/>
        </w:rPr>
        <w:t>第九条</w:t>
      </w:r>
      <w:r>
        <w:rPr>
          <w:rFonts w:eastAsia="方正仿宋简体"/>
          <w:sz w:val="30"/>
          <w:szCs w:val="30"/>
        </w:rPr>
        <w:t xml:space="preserve"> 不锈钢期货合约的交易代码为SS。</w:t>
      </w:r>
    </w:p>
    <w:p>
      <w:pPr>
        <w:spacing w:line="560" w:lineRule="exact"/>
        <w:ind w:firstLine="602" w:firstLineChars="200"/>
        <w:rPr>
          <w:rFonts w:eastAsia="方正仿宋简体"/>
          <w:sz w:val="30"/>
          <w:szCs w:val="30"/>
        </w:rPr>
      </w:pPr>
      <w:r>
        <w:rPr>
          <w:rFonts w:eastAsia="方正仿宋简体"/>
          <w:b/>
          <w:sz w:val="30"/>
          <w:szCs w:val="30"/>
        </w:rPr>
        <w:t>第十条</w:t>
      </w:r>
      <w:r>
        <w:rPr>
          <w:rFonts w:hint="eastAsia" w:eastAsia="方正仿宋简体"/>
          <w:b/>
          <w:sz w:val="30"/>
          <w:szCs w:val="30"/>
        </w:rPr>
        <w:t xml:space="preserve"> </w:t>
      </w:r>
      <w:r>
        <w:rPr>
          <w:rFonts w:hint="eastAsia" w:eastAsia="方正仿宋简体"/>
          <w:sz w:val="30"/>
          <w:szCs w:val="30"/>
        </w:rPr>
        <w:t>不锈钢</w:t>
      </w:r>
      <w:r>
        <w:rPr>
          <w:rFonts w:eastAsia="方正仿宋简体"/>
          <w:sz w:val="30"/>
          <w:szCs w:val="30"/>
        </w:rPr>
        <w:t>期货套期保值交易</w:t>
      </w:r>
      <w:r>
        <w:rPr>
          <w:rFonts w:hint="eastAsia" w:eastAsia="方正仿宋简体"/>
          <w:sz w:val="30"/>
          <w:szCs w:val="30"/>
        </w:rPr>
        <w:t>持仓额度</w:t>
      </w:r>
      <w:r>
        <w:rPr>
          <w:rFonts w:eastAsia="方正仿宋简体"/>
          <w:sz w:val="30"/>
          <w:szCs w:val="30"/>
        </w:rPr>
        <w:t>和套利交易</w:t>
      </w:r>
      <w:r>
        <w:rPr>
          <w:rFonts w:hint="eastAsia" w:eastAsia="方正仿宋简体"/>
          <w:sz w:val="30"/>
          <w:szCs w:val="30"/>
        </w:rPr>
        <w:t>持仓额度</w:t>
      </w:r>
      <w:r>
        <w:rPr>
          <w:rFonts w:eastAsia="方正仿宋简体"/>
          <w:sz w:val="30"/>
          <w:szCs w:val="30"/>
        </w:rPr>
        <w:t>，所涉的一般月份是指合约挂牌至交割月前第二月的最后一个交易日，所涉的临近交割月份是指交割月前第一月和交割月份</w:t>
      </w:r>
      <w:r>
        <w:rPr>
          <w:rFonts w:hint="eastAsia" w:eastAsia="方正仿宋简体"/>
          <w:sz w:val="30"/>
          <w:szCs w:val="30"/>
        </w:rPr>
        <w:t>。</w:t>
      </w:r>
    </w:p>
    <w:p>
      <w:pPr>
        <w:spacing w:line="560" w:lineRule="exact"/>
        <w:ind w:firstLine="602" w:firstLineChars="200"/>
        <w:rPr>
          <w:rFonts w:hint="eastAsia" w:eastAsia="方正仿宋简体"/>
          <w:bCs/>
          <w:sz w:val="30"/>
          <w:szCs w:val="30"/>
        </w:rPr>
      </w:pPr>
      <w:r>
        <w:rPr>
          <w:rFonts w:eastAsia="方正仿宋简体"/>
          <w:b/>
          <w:sz w:val="30"/>
          <w:szCs w:val="30"/>
        </w:rPr>
        <w:t>第十一条</w:t>
      </w:r>
      <w:r>
        <w:rPr>
          <w:rFonts w:hint="eastAsia" w:eastAsia="方正仿宋简体"/>
          <w:b/>
          <w:sz w:val="30"/>
          <w:szCs w:val="30"/>
        </w:rPr>
        <w:t xml:space="preserve"> </w:t>
      </w:r>
      <w:r>
        <w:rPr>
          <w:rFonts w:hint="eastAsia" w:eastAsia="方正仿宋简体"/>
          <w:bCs/>
          <w:sz w:val="30"/>
          <w:szCs w:val="30"/>
        </w:rPr>
        <w:t>按合约方式申请不锈钢期</w:t>
      </w:r>
      <w:bookmarkStart w:id="0" w:name="_GoBack"/>
      <w:bookmarkEnd w:id="0"/>
      <w:r>
        <w:rPr>
          <w:rFonts w:hint="eastAsia" w:eastAsia="方正仿宋简体"/>
          <w:bCs/>
          <w:sz w:val="30"/>
          <w:szCs w:val="30"/>
        </w:rPr>
        <w:t>货一般月份套期保值交易持仓额度的，应当在该套期保值所涉合约交割月前第二月的最后一个交易日之前提出，逾期交易所不再受理。按品种方式申请一般月份套期保值交易持仓额度的，按照《上海期货交易所套期保值交易管理办法》相关规定执行。</w:t>
      </w:r>
    </w:p>
    <w:p>
      <w:pPr>
        <w:spacing w:line="560" w:lineRule="exact"/>
        <w:ind w:firstLine="600" w:firstLineChars="200"/>
        <w:rPr>
          <w:rFonts w:eastAsia="方正仿宋简体"/>
          <w:sz w:val="30"/>
          <w:szCs w:val="30"/>
        </w:rPr>
      </w:pPr>
      <w:r>
        <w:rPr>
          <w:rFonts w:hint="eastAsia" w:eastAsia="方正仿宋简体"/>
          <w:bCs/>
          <w:sz w:val="30"/>
          <w:szCs w:val="30"/>
        </w:rPr>
        <w:t>不锈钢期货临近交割月份套期保值交易持仓额度的申请应当在该套期保值所涉合约交割月前第二月的</w:t>
      </w:r>
      <w:r>
        <w:rPr>
          <w:rFonts w:eastAsia="方正仿宋简体"/>
          <w:sz w:val="30"/>
          <w:szCs w:val="30"/>
        </w:rPr>
        <w:t>第一个交易日至交割月前第一月的最后一个交易日之间提出，逾期交易所不再受理；不锈钢期货临近交割月份套利交易</w:t>
      </w:r>
      <w:r>
        <w:rPr>
          <w:rFonts w:hint="eastAsia" w:eastAsia="方正仿宋简体"/>
          <w:sz w:val="30"/>
          <w:szCs w:val="30"/>
        </w:rPr>
        <w:t>持仓额度</w:t>
      </w:r>
      <w:r>
        <w:rPr>
          <w:rFonts w:eastAsia="方正仿宋简体"/>
          <w:sz w:val="30"/>
          <w:szCs w:val="30"/>
        </w:rPr>
        <w:t>的申请应当在该套利所涉合约交割月前第二月的第一个交易日至交割月前第一月的最后一个交易日之间提出，逾期交易所不再受理。</w:t>
      </w:r>
    </w:p>
    <w:p>
      <w:pPr>
        <w:spacing w:line="560" w:lineRule="exact"/>
        <w:ind w:firstLine="602" w:firstLineChars="200"/>
        <w:rPr>
          <w:rFonts w:eastAsia="方正仿宋简体"/>
          <w:color w:val="000000"/>
          <w:sz w:val="30"/>
          <w:szCs w:val="30"/>
        </w:rPr>
      </w:pPr>
      <w:r>
        <w:rPr>
          <w:rFonts w:eastAsia="方正仿宋简体"/>
          <w:b/>
          <w:sz w:val="30"/>
          <w:szCs w:val="30"/>
        </w:rPr>
        <w:t>第十二条</w:t>
      </w:r>
      <w:r>
        <w:rPr>
          <w:rFonts w:hint="eastAsia" w:eastAsia="方正仿宋简体"/>
          <w:b/>
          <w:sz w:val="30"/>
          <w:szCs w:val="30"/>
        </w:rPr>
        <w:t xml:space="preserve"> </w:t>
      </w:r>
      <w:r>
        <w:rPr>
          <w:rFonts w:eastAsia="方正仿宋简体"/>
          <w:sz w:val="30"/>
          <w:szCs w:val="30"/>
        </w:rPr>
        <w:t>不锈钢期货套期保值交易</w:t>
      </w:r>
      <w:r>
        <w:rPr>
          <w:rFonts w:hint="eastAsia" w:eastAsia="方正仿宋简体"/>
          <w:sz w:val="30"/>
          <w:szCs w:val="30"/>
        </w:rPr>
        <w:t>持仓额度</w:t>
      </w:r>
      <w:r>
        <w:rPr>
          <w:rFonts w:eastAsia="方正仿宋简体"/>
          <w:sz w:val="30"/>
          <w:szCs w:val="30"/>
        </w:rPr>
        <w:t>自交割月份第一交易日起不得重复使用。</w:t>
      </w:r>
    </w:p>
    <w:p>
      <w:pPr>
        <w:spacing w:line="560" w:lineRule="exact"/>
        <w:jc w:val="center"/>
        <w:rPr>
          <w:rFonts w:eastAsia="黑体"/>
          <w:sz w:val="30"/>
          <w:szCs w:val="30"/>
        </w:rPr>
      </w:pPr>
      <w:r>
        <w:rPr>
          <w:rFonts w:eastAsia="黑体"/>
          <w:sz w:val="30"/>
          <w:szCs w:val="30"/>
        </w:rPr>
        <w:t>第三章 交割业务</w:t>
      </w:r>
    </w:p>
    <w:p>
      <w:pPr>
        <w:spacing w:line="560" w:lineRule="exact"/>
        <w:jc w:val="center"/>
        <w:rPr>
          <w:rFonts w:eastAsia="方正仿宋简体"/>
          <w:b/>
          <w:sz w:val="30"/>
          <w:szCs w:val="30"/>
        </w:rPr>
      </w:pPr>
      <w:r>
        <w:rPr>
          <w:rFonts w:eastAsia="方正仿宋简体"/>
          <w:b/>
          <w:sz w:val="30"/>
          <w:szCs w:val="30"/>
        </w:rPr>
        <w:t>第一节 一般规定</w:t>
      </w:r>
    </w:p>
    <w:p>
      <w:pPr>
        <w:spacing w:line="560" w:lineRule="exact"/>
        <w:ind w:firstLine="602" w:firstLineChars="200"/>
        <w:rPr>
          <w:rFonts w:eastAsia="方正仿宋简体"/>
          <w:b/>
          <w:sz w:val="30"/>
          <w:szCs w:val="30"/>
        </w:rPr>
      </w:pPr>
      <w:r>
        <w:rPr>
          <w:rFonts w:eastAsia="方正仿宋简体"/>
          <w:b/>
          <w:sz w:val="30"/>
          <w:szCs w:val="30"/>
        </w:rPr>
        <w:t>第十三条</w:t>
      </w:r>
      <w:r>
        <w:rPr>
          <w:rFonts w:eastAsia="方正仿宋简体"/>
          <w:sz w:val="30"/>
          <w:szCs w:val="30"/>
        </w:rPr>
        <w:t xml:space="preserve"> 不锈钢期货适用期货转现货、仓库交割、厂库交割。</w:t>
      </w:r>
    </w:p>
    <w:p>
      <w:pPr>
        <w:spacing w:line="560" w:lineRule="exact"/>
        <w:ind w:firstLine="600" w:firstLineChars="200"/>
        <w:rPr>
          <w:rFonts w:eastAsia="方正仿宋简体"/>
          <w:b/>
          <w:sz w:val="30"/>
          <w:szCs w:val="30"/>
        </w:rPr>
      </w:pPr>
      <w:r>
        <w:rPr>
          <w:rFonts w:eastAsia="方正仿宋简体"/>
          <w:sz w:val="30"/>
          <w:szCs w:val="30"/>
        </w:rPr>
        <w:t>不锈钢期货实行完税交割</w:t>
      </w:r>
      <w:r>
        <w:rPr>
          <w:rFonts w:hint="eastAsia" w:eastAsia="方正仿宋简体"/>
          <w:color w:val="000000"/>
          <w:sz w:val="30"/>
          <w:szCs w:val="30"/>
        </w:rPr>
        <w:t>。</w:t>
      </w:r>
    </w:p>
    <w:p>
      <w:pPr>
        <w:spacing w:line="560" w:lineRule="exact"/>
        <w:ind w:firstLine="602" w:firstLineChars="200"/>
        <w:rPr>
          <w:rFonts w:eastAsia="方正仿宋简体"/>
          <w:sz w:val="30"/>
          <w:szCs w:val="30"/>
        </w:rPr>
      </w:pPr>
      <w:r>
        <w:rPr>
          <w:rFonts w:eastAsia="方正仿宋简体"/>
          <w:b/>
          <w:sz w:val="30"/>
          <w:szCs w:val="30"/>
        </w:rPr>
        <w:t>第十四条</w:t>
      </w:r>
      <w:r>
        <w:rPr>
          <w:rFonts w:eastAsia="方正仿宋简体"/>
          <w:b/>
          <w:color w:val="FF0000"/>
          <w:sz w:val="30"/>
          <w:szCs w:val="30"/>
        </w:rPr>
        <w:t xml:space="preserve"> </w:t>
      </w:r>
      <w:r>
        <w:rPr>
          <w:rFonts w:eastAsia="方正仿宋简体"/>
          <w:sz w:val="30"/>
          <w:szCs w:val="30"/>
        </w:rPr>
        <w:t>不锈钢期货交割品级详见《上海期货交易所不锈钢期货合约》。</w:t>
      </w:r>
    </w:p>
    <w:p>
      <w:pPr>
        <w:spacing w:line="560" w:lineRule="exact"/>
        <w:ind w:firstLine="601"/>
        <w:rPr>
          <w:rFonts w:eastAsia="方正仿宋简体"/>
          <w:sz w:val="30"/>
          <w:szCs w:val="30"/>
        </w:rPr>
      </w:pPr>
      <w:r>
        <w:rPr>
          <w:rFonts w:eastAsia="方正仿宋简体"/>
          <w:b/>
          <w:sz w:val="30"/>
          <w:szCs w:val="30"/>
        </w:rPr>
        <w:t>第十五条</w:t>
      </w:r>
      <w:r>
        <w:rPr>
          <w:rFonts w:eastAsia="方正仿宋简体"/>
          <w:sz w:val="30"/>
          <w:szCs w:val="30"/>
        </w:rPr>
        <w:t xml:space="preserve"> 交割不锈钢质量规定</w:t>
      </w:r>
    </w:p>
    <w:p>
      <w:pPr>
        <w:spacing w:line="560" w:lineRule="exact"/>
        <w:ind w:firstLine="601"/>
        <w:rPr>
          <w:rFonts w:eastAsia="方正仿宋简体"/>
          <w:sz w:val="30"/>
          <w:szCs w:val="30"/>
        </w:rPr>
      </w:pPr>
      <w:r>
        <w:rPr>
          <w:rFonts w:eastAsia="方正仿宋简体"/>
          <w:sz w:val="30"/>
          <w:szCs w:val="30"/>
        </w:rPr>
        <w:t>交割不锈钢应当是在交易所注册的生产企业生产的注册品牌，或者是交易所认可的生产企业生产的指定品牌（由交易所规定并公告）。</w:t>
      </w:r>
    </w:p>
    <w:p>
      <w:pPr>
        <w:spacing w:line="560" w:lineRule="exact"/>
        <w:ind w:firstLine="601"/>
        <w:rPr>
          <w:rFonts w:eastAsia="方正仿宋简体"/>
          <w:sz w:val="30"/>
          <w:szCs w:val="30"/>
        </w:rPr>
      </w:pPr>
      <w:r>
        <w:rPr>
          <w:rFonts w:eastAsia="方正仿宋简体"/>
          <w:sz w:val="30"/>
          <w:szCs w:val="30"/>
        </w:rPr>
        <w:t>交割不锈钢的质量应当符合GB/T3280-2015《不锈钢冷轧钢板和钢带》或者</w:t>
      </w:r>
      <w:r>
        <w:rPr>
          <w:rFonts w:hint="eastAsia" w:eastAsia="方正仿宋简体"/>
          <w:sz w:val="30"/>
          <w:szCs w:val="30"/>
        </w:rPr>
        <w:t>JIS G 4305</w:t>
      </w:r>
      <w:r>
        <w:rPr>
          <w:rFonts w:hint="eastAsia" w:eastAsia="方正仿宋简体"/>
          <w:sz w:val="30"/>
          <w:szCs w:val="30"/>
          <w:lang w:val="en-US" w:eastAsia="zh-CN"/>
        </w:rPr>
        <w:t>:</w:t>
      </w:r>
      <w:r>
        <w:rPr>
          <w:rFonts w:hint="eastAsia" w:eastAsia="方正仿宋简体"/>
          <w:sz w:val="30"/>
          <w:szCs w:val="30"/>
        </w:rPr>
        <w:t>2021</w:t>
      </w:r>
      <w:r>
        <w:rPr>
          <w:rFonts w:eastAsia="方正仿宋简体"/>
          <w:sz w:val="30"/>
          <w:szCs w:val="30"/>
        </w:rPr>
        <w:t>《冷轧不锈钢钢板及钢带》，以及《上海期货交易所钢材交割商品注册管理规定》的规定。</w:t>
      </w:r>
    </w:p>
    <w:p>
      <w:pPr>
        <w:spacing w:line="560" w:lineRule="exact"/>
        <w:ind w:firstLine="601"/>
        <w:rPr>
          <w:rFonts w:eastAsia="方正仿宋简体"/>
          <w:sz w:val="30"/>
          <w:szCs w:val="30"/>
        </w:rPr>
      </w:pPr>
      <w:r>
        <w:rPr>
          <w:rFonts w:eastAsia="方正仿宋简体"/>
          <w:sz w:val="30"/>
          <w:szCs w:val="30"/>
        </w:rPr>
        <w:t>交割不锈钢的表面质量检验按照《上海期货交易所钢材交割商品注册管理规定》执行。</w:t>
      </w:r>
    </w:p>
    <w:p>
      <w:pPr>
        <w:spacing w:line="560" w:lineRule="exact"/>
        <w:ind w:firstLine="601"/>
        <w:rPr>
          <w:rFonts w:eastAsia="方正仿宋简体"/>
          <w:sz w:val="30"/>
          <w:szCs w:val="30"/>
        </w:rPr>
      </w:pPr>
      <w:r>
        <w:rPr>
          <w:rFonts w:eastAsia="方正仿宋简体"/>
          <w:b/>
          <w:sz w:val="30"/>
          <w:szCs w:val="30"/>
        </w:rPr>
        <w:t>第十六条</w:t>
      </w:r>
      <w:r>
        <w:rPr>
          <w:rFonts w:hint="eastAsia" w:eastAsia="方正仿宋简体"/>
          <w:b/>
          <w:sz w:val="30"/>
          <w:szCs w:val="30"/>
        </w:rPr>
        <w:t xml:space="preserve"> </w:t>
      </w:r>
      <w:r>
        <w:rPr>
          <w:rFonts w:eastAsia="方正仿宋简体"/>
          <w:sz w:val="30"/>
          <w:szCs w:val="30"/>
        </w:rPr>
        <w:t>交割商品的规格</w:t>
      </w:r>
    </w:p>
    <w:p>
      <w:pPr>
        <w:spacing w:line="560" w:lineRule="exact"/>
        <w:ind w:firstLine="601"/>
        <w:rPr>
          <w:rFonts w:eastAsia="方正仿宋简体"/>
          <w:sz w:val="30"/>
          <w:szCs w:val="30"/>
          <w:highlight w:val="yellow"/>
        </w:rPr>
      </w:pPr>
      <w:r>
        <w:rPr>
          <w:rFonts w:eastAsia="方正仿宋简体"/>
          <w:sz w:val="30"/>
          <w:szCs w:val="30"/>
        </w:rPr>
        <w:t>每一标准仓单不锈钢，应当是同一生产企业生产、同一（注册）商标、同一牌号、同一宽度、同一厚度和同一边部状态的商品组成。</w:t>
      </w:r>
    </w:p>
    <w:p>
      <w:pPr>
        <w:spacing w:line="560" w:lineRule="exact"/>
        <w:ind w:firstLine="602" w:firstLineChars="200"/>
        <w:rPr>
          <w:rFonts w:eastAsia="方正仿宋简体"/>
          <w:sz w:val="30"/>
          <w:szCs w:val="30"/>
        </w:rPr>
      </w:pPr>
      <w:r>
        <w:rPr>
          <w:rFonts w:eastAsia="方正仿宋简体"/>
          <w:b/>
          <w:sz w:val="30"/>
          <w:szCs w:val="30"/>
        </w:rPr>
        <w:t>第十七条</w:t>
      </w:r>
      <w:r>
        <w:rPr>
          <w:rFonts w:eastAsia="方正仿宋简体"/>
          <w:sz w:val="30"/>
          <w:szCs w:val="30"/>
        </w:rPr>
        <w:t xml:space="preserve"> 交割不锈钢的包装</w:t>
      </w:r>
    </w:p>
    <w:p>
      <w:pPr>
        <w:spacing w:line="560" w:lineRule="exact"/>
        <w:ind w:firstLine="600" w:firstLineChars="200"/>
        <w:rPr>
          <w:rFonts w:eastAsia="方正仿宋简体"/>
          <w:sz w:val="30"/>
          <w:szCs w:val="30"/>
        </w:rPr>
      </w:pPr>
      <w:r>
        <w:rPr>
          <w:rFonts w:eastAsia="方正仿宋简体"/>
          <w:sz w:val="30"/>
          <w:szCs w:val="30"/>
        </w:rPr>
        <w:t>交割不锈钢标志以及质量证明书等应当符合GB/T3280-2015《不锈钢冷轧钢板和钢带》或者</w:t>
      </w:r>
      <w:r>
        <w:rPr>
          <w:rFonts w:hint="eastAsia" w:eastAsia="方正仿宋简体"/>
          <w:sz w:val="30"/>
          <w:szCs w:val="30"/>
        </w:rPr>
        <w:t>JIS G 4305</w:t>
      </w:r>
      <w:r>
        <w:rPr>
          <w:rFonts w:hint="eastAsia" w:eastAsia="方正仿宋简体"/>
          <w:sz w:val="30"/>
          <w:szCs w:val="30"/>
          <w:lang w:val="en-US" w:eastAsia="zh-CN"/>
        </w:rPr>
        <w:t>:</w:t>
      </w:r>
      <w:r>
        <w:rPr>
          <w:rFonts w:hint="eastAsia" w:eastAsia="方正仿宋简体"/>
          <w:sz w:val="30"/>
          <w:szCs w:val="30"/>
        </w:rPr>
        <w:t>2021</w:t>
      </w:r>
      <w:r>
        <w:rPr>
          <w:rFonts w:eastAsia="方正仿宋简体"/>
          <w:sz w:val="30"/>
          <w:szCs w:val="30"/>
        </w:rPr>
        <w:t>《冷轧不锈钢钢板及钢带》的规定。</w:t>
      </w:r>
    </w:p>
    <w:p>
      <w:pPr>
        <w:spacing w:line="560" w:lineRule="exact"/>
        <w:ind w:firstLine="600" w:firstLineChars="200"/>
        <w:rPr>
          <w:rFonts w:eastAsia="方正仿宋简体"/>
          <w:sz w:val="30"/>
          <w:szCs w:val="30"/>
        </w:rPr>
      </w:pPr>
      <w:r>
        <w:rPr>
          <w:rFonts w:eastAsia="方正仿宋简体"/>
          <w:sz w:val="30"/>
          <w:szCs w:val="30"/>
        </w:rPr>
        <w:t>交割不锈钢的包装应当符合《上海期货交易所钢材交割商品注册管理规定》的规定。</w:t>
      </w:r>
    </w:p>
    <w:p>
      <w:pPr>
        <w:spacing w:line="560" w:lineRule="exact"/>
        <w:ind w:firstLine="602" w:firstLineChars="200"/>
        <w:rPr>
          <w:rFonts w:eastAsia="方正仿宋简体"/>
          <w:sz w:val="30"/>
          <w:szCs w:val="30"/>
        </w:rPr>
      </w:pPr>
      <w:r>
        <w:rPr>
          <w:rFonts w:eastAsia="方正仿宋简体"/>
          <w:b/>
          <w:sz w:val="30"/>
          <w:szCs w:val="30"/>
        </w:rPr>
        <w:t>第十八条</w:t>
      </w:r>
      <w:r>
        <w:rPr>
          <w:rFonts w:eastAsia="方正仿宋简体"/>
          <w:sz w:val="30"/>
          <w:szCs w:val="30"/>
        </w:rPr>
        <w:t xml:space="preserve"> 交割商品必备单证</w:t>
      </w:r>
    </w:p>
    <w:p>
      <w:pPr>
        <w:spacing w:line="560" w:lineRule="exact"/>
        <w:ind w:firstLine="601"/>
        <w:rPr>
          <w:rFonts w:eastAsia="方正仿宋简体"/>
          <w:sz w:val="30"/>
          <w:szCs w:val="30"/>
        </w:rPr>
      </w:pPr>
      <w:r>
        <w:rPr>
          <w:rFonts w:eastAsia="方正仿宋简体"/>
          <w:sz w:val="30"/>
          <w:szCs w:val="30"/>
        </w:rPr>
        <w:t>应当提供注册生产企业或者交易所认可生产企业出具的产品质量证明书。</w:t>
      </w:r>
    </w:p>
    <w:p>
      <w:pPr>
        <w:spacing w:line="560" w:lineRule="exact"/>
        <w:ind w:firstLine="602" w:firstLineChars="200"/>
        <w:rPr>
          <w:rFonts w:eastAsia="方正仿宋简体"/>
          <w:sz w:val="30"/>
          <w:szCs w:val="30"/>
        </w:rPr>
      </w:pPr>
      <w:r>
        <w:rPr>
          <w:rFonts w:eastAsia="方正仿宋简体"/>
          <w:b/>
          <w:sz w:val="30"/>
          <w:szCs w:val="30"/>
        </w:rPr>
        <w:t>第十九条</w:t>
      </w:r>
      <w:r>
        <w:rPr>
          <w:rFonts w:eastAsia="方正仿宋简体"/>
          <w:sz w:val="30"/>
          <w:szCs w:val="30"/>
        </w:rPr>
        <w:t xml:space="preserve"> 计量和溢短</w:t>
      </w:r>
    </w:p>
    <w:p>
      <w:pPr>
        <w:spacing w:line="560" w:lineRule="exact"/>
        <w:ind w:firstLine="600" w:firstLineChars="200"/>
        <w:rPr>
          <w:rFonts w:eastAsia="方正仿宋简体"/>
          <w:sz w:val="30"/>
          <w:szCs w:val="30"/>
        </w:rPr>
      </w:pPr>
      <w:r>
        <w:rPr>
          <w:rFonts w:eastAsia="方正仿宋简体"/>
          <w:sz w:val="30"/>
          <w:szCs w:val="30"/>
        </w:rPr>
        <w:t>交割不锈钢按净重进行计量。每张不锈钢标准仓单的溢短不超过±5%，磅差不超过±0.3%</w:t>
      </w:r>
      <w:r>
        <w:rPr>
          <w:rFonts w:hint="eastAsia" w:eastAsia="方正仿宋简体"/>
          <w:sz w:val="30"/>
          <w:szCs w:val="30"/>
        </w:rPr>
        <w:t>。</w:t>
      </w:r>
    </w:p>
    <w:p>
      <w:pPr>
        <w:spacing w:line="560" w:lineRule="exact"/>
        <w:ind w:firstLine="602" w:firstLineChars="200"/>
        <w:rPr>
          <w:rFonts w:eastAsia="方正仿宋简体"/>
          <w:sz w:val="30"/>
          <w:szCs w:val="30"/>
        </w:rPr>
      </w:pPr>
      <w:r>
        <w:rPr>
          <w:rFonts w:eastAsia="方正仿宋简体"/>
          <w:b/>
          <w:sz w:val="30"/>
          <w:szCs w:val="30"/>
        </w:rPr>
        <w:t xml:space="preserve">第二十条 </w:t>
      </w:r>
      <w:r>
        <w:rPr>
          <w:rFonts w:eastAsia="方正仿宋简体"/>
          <w:bCs/>
          <w:sz w:val="30"/>
          <w:szCs w:val="30"/>
        </w:rPr>
        <w:t>不锈钢</w:t>
      </w:r>
      <w:r>
        <w:rPr>
          <w:rFonts w:eastAsia="方正仿宋简体"/>
          <w:sz w:val="30"/>
          <w:szCs w:val="30"/>
        </w:rPr>
        <w:t>期货合约的交割单位为60吨。</w:t>
      </w:r>
    </w:p>
    <w:p>
      <w:pPr>
        <w:spacing w:line="560" w:lineRule="exact"/>
        <w:ind w:firstLine="602" w:firstLineChars="200"/>
        <w:rPr>
          <w:rFonts w:eastAsia="方正仿宋简体"/>
          <w:sz w:val="30"/>
          <w:szCs w:val="30"/>
        </w:rPr>
      </w:pPr>
      <w:r>
        <w:rPr>
          <w:rFonts w:eastAsia="方正仿宋简体"/>
          <w:b/>
          <w:sz w:val="30"/>
          <w:szCs w:val="30"/>
        </w:rPr>
        <w:t>第二十一条</w:t>
      </w:r>
      <w:r>
        <w:rPr>
          <w:rFonts w:eastAsia="方正仿宋简体"/>
          <w:sz w:val="30"/>
          <w:szCs w:val="30"/>
        </w:rPr>
        <w:t xml:space="preserve"> 不锈钢期货合约的交割日期为最后交易日后连续二个工作日。</w:t>
      </w:r>
    </w:p>
    <w:p>
      <w:pPr>
        <w:spacing w:line="560" w:lineRule="exact"/>
        <w:ind w:firstLine="602" w:firstLineChars="200"/>
        <w:rPr>
          <w:rFonts w:eastAsia="方正仿宋简体"/>
          <w:sz w:val="30"/>
          <w:szCs w:val="30"/>
        </w:rPr>
      </w:pPr>
      <w:r>
        <w:rPr>
          <w:rFonts w:eastAsia="方正仿宋简体"/>
          <w:b/>
          <w:sz w:val="30"/>
          <w:szCs w:val="30"/>
        </w:rPr>
        <w:t>第二十二条</w:t>
      </w:r>
      <w:r>
        <w:rPr>
          <w:rFonts w:eastAsia="方正仿宋简体"/>
          <w:sz w:val="30"/>
          <w:szCs w:val="30"/>
        </w:rPr>
        <w:t xml:space="preserve"> 不锈钢期货合约交割结算的基准价为该期货合约最后5个有成交交易日的结算价的算术平均值。</w:t>
      </w:r>
    </w:p>
    <w:p>
      <w:pPr>
        <w:spacing w:line="560" w:lineRule="exact"/>
        <w:ind w:firstLine="602" w:firstLineChars="200"/>
        <w:rPr>
          <w:rFonts w:eastAsia="方正仿宋简体"/>
          <w:sz w:val="30"/>
          <w:szCs w:val="30"/>
        </w:rPr>
      </w:pPr>
      <w:r>
        <w:rPr>
          <w:rFonts w:eastAsia="方正仿宋简体"/>
          <w:b/>
          <w:sz w:val="30"/>
          <w:szCs w:val="30"/>
        </w:rPr>
        <w:t>第二十三条</w:t>
      </w:r>
      <w:r>
        <w:rPr>
          <w:rFonts w:eastAsia="方正仿宋简体"/>
          <w:sz w:val="30"/>
          <w:szCs w:val="30"/>
        </w:rPr>
        <w:t xml:space="preserve"> 交割地点：交易所交割仓库和交割厂库，由交易所另行公告。</w:t>
      </w:r>
    </w:p>
    <w:p>
      <w:pPr>
        <w:spacing w:line="560" w:lineRule="exact"/>
        <w:ind w:firstLine="601"/>
        <w:rPr>
          <w:rFonts w:eastAsia="方正仿宋简体"/>
          <w:sz w:val="30"/>
          <w:szCs w:val="30"/>
        </w:rPr>
      </w:pPr>
      <w:r>
        <w:rPr>
          <w:rFonts w:eastAsia="方正仿宋简体"/>
          <w:b/>
          <w:sz w:val="30"/>
          <w:szCs w:val="30"/>
        </w:rPr>
        <w:t xml:space="preserve">第二十四条 </w:t>
      </w:r>
      <w:r>
        <w:rPr>
          <w:rFonts w:eastAsia="方正仿宋简体"/>
          <w:sz w:val="30"/>
          <w:szCs w:val="30"/>
        </w:rPr>
        <w:t>包装以及表面质量异议的处理</w:t>
      </w:r>
    </w:p>
    <w:p>
      <w:pPr>
        <w:spacing w:line="560" w:lineRule="exact"/>
        <w:ind w:firstLine="601"/>
        <w:rPr>
          <w:rFonts w:eastAsia="方正仿宋简体"/>
          <w:sz w:val="30"/>
          <w:szCs w:val="30"/>
        </w:rPr>
      </w:pPr>
      <w:r>
        <w:rPr>
          <w:rFonts w:eastAsia="方正仿宋简体"/>
          <w:sz w:val="30"/>
          <w:szCs w:val="30"/>
        </w:rPr>
        <w:t>（一）包装以及表面质量异议不属于交割违约</w:t>
      </w:r>
      <w:r>
        <w:rPr>
          <w:rFonts w:hint="eastAsia" w:eastAsia="方正仿宋简体"/>
          <w:sz w:val="30"/>
          <w:szCs w:val="30"/>
        </w:rPr>
        <w:t>。</w:t>
      </w:r>
    </w:p>
    <w:p>
      <w:pPr>
        <w:spacing w:line="560" w:lineRule="exact"/>
        <w:ind w:firstLine="601"/>
        <w:rPr>
          <w:rFonts w:eastAsia="方正仿宋简体"/>
          <w:sz w:val="30"/>
          <w:szCs w:val="30"/>
        </w:rPr>
      </w:pPr>
      <w:r>
        <w:rPr>
          <w:rFonts w:eastAsia="方正仿宋简体"/>
          <w:sz w:val="30"/>
          <w:szCs w:val="30"/>
        </w:rPr>
        <w:t>（二）货主对不锈钢商品包装或者表面质量如麻点、擦划伤、海水浸泡痕迹等提出异议的，应当由生产企业、交割仓库、卖方或者首次制成标准仓单的一方配合解决。</w:t>
      </w:r>
    </w:p>
    <w:p>
      <w:pPr>
        <w:spacing w:line="560" w:lineRule="exact"/>
        <w:ind w:firstLine="601"/>
        <w:rPr>
          <w:rFonts w:eastAsia="方正仿宋简体"/>
          <w:color w:val="000000"/>
          <w:kern w:val="0"/>
          <w:sz w:val="30"/>
          <w:szCs w:val="30"/>
          <w:highlight w:val="green"/>
        </w:rPr>
      </w:pPr>
      <w:r>
        <w:rPr>
          <w:rFonts w:eastAsia="方正仿宋简体"/>
          <w:sz w:val="30"/>
          <w:szCs w:val="30"/>
        </w:rPr>
        <w:t>指定检验机构可以根据货主等异议主体的申请，按照《上海期货交易所钢材交割商品注册管理规定》出具质量检验报告。检验报告的结果仅适用于被检验的该卷货物。</w:t>
      </w:r>
    </w:p>
    <w:p>
      <w:pPr>
        <w:spacing w:line="560" w:lineRule="exact"/>
        <w:ind w:firstLine="602" w:firstLineChars="200"/>
        <w:rPr>
          <w:rFonts w:eastAsia="方正仿宋简体"/>
          <w:sz w:val="30"/>
          <w:szCs w:val="30"/>
        </w:rPr>
      </w:pPr>
      <w:r>
        <w:rPr>
          <w:rFonts w:eastAsia="方正仿宋简体"/>
          <w:b/>
          <w:sz w:val="30"/>
          <w:szCs w:val="30"/>
        </w:rPr>
        <w:t>第二十五条</w:t>
      </w:r>
      <w:r>
        <w:rPr>
          <w:rFonts w:eastAsia="方正仿宋简体"/>
          <w:sz w:val="30"/>
          <w:szCs w:val="30"/>
        </w:rPr>
        <w:t xml:space="preserve"> 期转现使用标准仓单并通过交易所结算发生不锈钢交割实物质量纠纷的，买方应当在货款和标准仓单交换日后的25天内提出质量异议申请，并应当同时提供交易所指定检验机构出具的质量鉴定结论。</w:t>
      </w:r>
    </w:p>
    <w:p>
      <w:pPr>
        <w:spacing w:line="560" w:lineRule="exact"/>
        <w:jc w:val="center"/>
        <w:rPr>
          <w:rFonts w:eastAsia="方正仿宋简体"/>
          <w:b/>
          <w:sz w:val="30"/>
          <w:szCs w:val="30"/>
          <w:highlight w:val="yellow"/>
        </w:rPr>
      </w:pPr>
      <w:r>
        <w:rPr>
          <w:rFonts w:eastAsia="方正仿宋简体"/>
          <w:b/>
          <w:sz w:val="30"/>
          <w:szCs w:val="30"/>
        </w:rPr>
        <w:t>第二节 仓库交割</w:t>
      </w:r>
    </w:p>
    <w:p>
      <w:pPr>
        <w:spacing w:line="560" w:lineRule="exact"/>
        <w:ind w:firstLine="602" w:firstLineChars="200"/>
        <w:rPr>
          <w:rFonts w:eastAsia="方正仿宋简体"/>
          <w:sz w:val="30"/>
          <w:szCs w:val="30"/>
        </w:rPr>
      </w:pPr>
      <w:r>
        <w:rPr>
          <w:rFonts w:eastAsia="方正仿宋简体"/>
          <w:b/>
          <w:sz w:val="30"/>
          <w:szCs w:val="30"/>
        </w:rPr>
        <w:t xml:space="preserve">第二十六条 </w:t>
      </w:r>
      <w:r>
        <w:rPr>
          <w:rFonts w:eastAsia="方正仿宋简体"/>
          <w:color w:val="000000"/>
          <w:sz w:val="30"/>
          <w:szCs w:val="30"/>
        </w:rPr>
        <w:t>不锈钢仓库标准仓单</w:t>
      </w:r>
      <w:r>
        <w:rPr>
          <w:rFonts w:eastAsia="方正仿宋简体"/>
          <w:sz w:val="30"/>
          <w:szCs w:val="30"/>
        </w:rPr>
        <w:t>有效期限为该批次产品最早生产日起的360天内。</w:t>
      </w:r>
    </w:p>
    <w:p>
      <w:pPr>
        <w:spacing w:line="560" w:lineRule="exact"/>
        <w:ind w:firstLine="602" w:firstLineChars="200"/>
        <w:rPr>
          <w:rFonts w:eastAsia="方正仿宋简体"/>
          <w:sz w:val="30"/>
          <w:szCs w:val="30"/>
        </w:rPr>
      </w:pPr>
      <w:r>
        <w:rPr>
          <w:rFonts w:eastAsia="方正仿宋简体"/>
          <w:b/>
          <w:sz w:val="30"/>
          <w:szCs w:val="30"/>
        </w:rPr>
        <w:t xml:space="preserve">第二十七条 </w:t>
      </w:r>
      <w:r>
        <w:rPr>
          <w:rFonts w:eastAsia="方正仿宋简体"/>
          <w:sz w:val="30"/>
          <w:szCs w:val="30"/>
        </w:rPr>
        <w:t>用于交割的不锈钢每一仓库标准仓单的标的实物应当作为一个堆放垛位进行堆放。</w:t>
      </w:r>
    </w:p>
    <w:p>
      <w:pPr>
        <w:spacing w:line="560" w:lineRule="exact"/>
        <w:ind w:firstLine="602" w:firstLineChars="200"/>
        <w:rPr>
          <w:rFonts w:eastAsia="方正仿宋简体"/>
          <w:color w:val="000000"/>
          <w:kern w:val="0"/>
          <w:sz w:val="30"/>
          <w:szCs w:val="30"/>
        </w:rPr>
      </w:pPr>
      <w:r>
        <w:rPr>
          <w:rFonts w:eastAsia="方正仿宋简体"/>
          <w:b/>
          <w:sz w:val="30"/>
          <w:szCs w:val="30"/>
        </w:rPr>
        <w:t>第二十八条</w:t>
      </w:r>
      <w:r>
        <w:rPr>
          <w:rFonts w:eastAsia="方正仿宋简体"/>
          <w:color w:val="000000"/>
          <w:kern w:val="0"/>
          <w:sz w:val="30"/>
          <w:szCs w:val="30"/>
        </w:rPr>
        <w:t xml:space="preserve"> 实物交割完成后，若买方对交割商品的质量、数量有异议的，应当在实物交割月份的下一月份的15日之前（含当日，遇法定假日时顺延至假日后的第一个工作日），向交易所提出书面申请，并应当同时提供交易所指定检验机构出具的质量鉴定结论。用于交割的不锈钢每批商品的有效期应当涵盖本次交割的最后交割日。即使交割不锈钢每批商品的有效期截止时间早于质量异议期的提交截止时间，如果该批商品的质量鉴定结论不合格，卖方对该批交割商品的实际质量仍需承担全部责任。</w:t>
      </w:r>
    </w:p>
    <w:p>
      <w:pPr>
        <w:spacing w:line="560" w:lineRule="exact"/>
        <w:jc w:val="center"/>
        <w:rPr>
          <w:rFonts w:eastAsia="方正仿宋简体"/>
          <w:b/>
          <w:sz w:val="30"/>
          <w:szCs w:val="30"/>
        </w:rPr>
      </w:pPr>
      <w:r>
        <w:rPr>
          <w:rFonts w:eastAsia="方正仿宋简体"/>
          <w:b/>
          <w:sz w:val="30"/>
          <w:szCs w:val="30"/>
        </w:rPr>
        <w:t>第三节 厂库交割</w:t>
      </w:r>
    </w:p>
    <w:p>
      <w:pPr>
        <w:spacing w:line="560" w:lineRule="exact"/>
        <w:ind w:firstLine="602" w:firstLineChars="200"/>
        <w:rPr>
          <w:rFonts w:eastAsia="方正仿宋简体"/>
          <w:sz w:val="30"/>
          <w:szCs w:val="30"/>
        </w:rPr>
      </w:pPr>
      <w:r>
        <w:rPr>
          <w:rFonts w:hint="eastAsia" w:eastAsia="方正仿宋简体"/>
          <w:b/>
          <w:sz w:val="30"/>
          <w:szCs w:val="30"/>
        </w:rPr>
        <w:t>第二十九</w:t>
      </w:r>
      <w:r>
        <w:rPr>
          <w:rFonts w:eastAsia="方正仿宋简体"/>
          <w:b/>
          <w:sz w:val="30"/>
          <w:szCs w:val="30"/>
        </w:rPr>
        <w:t>条</w:t>
      </w:r>
      <w:r>
        <w:rPr>
          <w:rFonts w:hint="eastAsia" w:eastAsia="方正仿宋简体"/>
          <w:sz w:val="30"/>
          <w:szCs w:val="30"/>
        </w:rPr>
        <w:t xml:space="preserve"> 申请单位申请交割厂库，净资产不足</w:t>
      </w:r>
      <w:r>
        <w:rPr>
          <w:rFonts w:eastAsia="方正仿宋简体"/>
          <w:sz w:val="30"/>
          <w:szCs w:val="30"/>
        </w:rPr>
        <w:t>1</w:t>
      </w:r>
      <w:r>
        <w:rPr>
          <w:rFonts w:hint="eastAsia" w:eastAsia="方正仿宋简体"/>
          <w:sz w:val="30"/>
          <w:szCs w:val="30"/>
        </w:rPr>
        <w:t>亿元的，应当向交易所提供有关单位出具的担保函。</w:t>
      </w:r>
    </w:p>
    <w:p>
      <w:pPr>
        <w:spacing w:line="560" w:lineRule="exact"/>
        <w:ind w:firstLine="602" w:firstLineChars="200"/>
        <w:rPr>
          <w:rFonts w:eastAsia="方正仿宋简体"/>
          <w:sz w:val="30"/>
          <w:szCs w:val="30"/>
        </w:rPr>
      </w:pPr>
      <w:r>
        <w:rPr>
          <w:rFonts w:hint="eastAsia" w:eastAsia="方正仿宋简体"/>
          <w:b/>
          <w:sz w:val="30"/>
          <w:szCs w:val="30"/>
        </w:rPr>
        <w:t>第三十</w:t>
      </w:r>
      <w:r>
        <w:rPr>
          <w:rFonts w:eastAsia="方正仿宋简体"/>
          <w:b/>
          <w:sz w:val="30"/>
          <w:szCs w:val="30"/>
        </w:rPr>
        <w:t>条</w:t>
      </w:r>
      <w:r>
        <w:rPr>
          <w:rFonts w:hint="eastAsia" w:eastAsia="方正仿宋简体"/>
          <w:sz w:val="30"/>
          <w:szCs w:val="30"/>
        </w:rPr>
        <w:t xml:space="preserve"> 厂库提货地包括交易所相关钢材期货品种注册企业（生）产地、交割库以及其他经交易所公布的提货地。</w:t>
      </w:r>
    </w:p>
    <w:p>
      <w:pPr>
        <w:spacing w:line="560" w:lineRule="exact"/>
        <w:ind w:firstLine="602" w:firstLineChars="200"/>
        <w:rPr>
          <w:rFonts w:eastAsia="方正仿宋简体"/>
          <w:sz w:val="30"/>
          <w:szCs w:val="30"/>
        </w:rPr>
      </w:pPr>
      <w:r>
        <w:rPr>
          <w:rFonts w:hint="eastAsia" w:eastAsia="方正仿宋简体"/>
          <w:b/>
          <w:sz w:val="30"/>
          <w:szCs w:val="30"/>
        </w:rPr>
        <w:t>第三十一</w:t>
      </w:r>
      <w:r>
        <w:rPr>
          <w:rFonts w:eastAsia="方正仿宋简体"/>
          <w:b/>
          <w:sz w:val="30"/>
          <w:szCs w:val="30"/>
        </w:rPr>
        <w:t>条</w:t>
      </w:r>
      <w:r>
        <w:rPr>
          <w:rFonts w:hint="eastAsia" w:eastAsia="方正仿宋简体"/>
          <w:b/>
          <w:sz w:val="30"/>
          <w:szCs w:val="30"/>
        </w:rPr>
        <w:t xml:space="preserve"> </w:t>
      </w:r>
      <w:r>
        <w:rPr>
          <w:rFonts w:hint="eastAsia" w:eastAsia="方正仿宋简体"/>
          <w:sz w:val="30"/>
          <w:szCs w:val="30"/>
        </w:rPr>
        <w:t>厂库提货地分为基准提货地和非基准提货地。</w:t>
      </w:r>
    </w:p>
    <w:p>
      <w:pPr>
        <w:spacing w:line="560" w:lineRule="exact"/>
        <w:ind w:firstLine="600" w:firstLineChars="200"/>
        <w:rPr>
          <w:rFonts w:eastAsia="方正仿宋简体"/>
          <w:sz w:val="30"/>
          <w:szCs w:val="30"/>
        </w:rPr>
      </w:pPr>
      <w:r>
        <w:rPr>
          <w:rFonts w:hint="eastAsia" w:eastAsia="方正仿宋简体"/>
          <w:sz w:val="30"/>
          <w:szCs w:val="30"/>
        </w:rPr>
        <w:t>基准提货地名单以及对应的提货升贴水由交易所确定并公告。</w:t>
      </w:r>
    </w:p>
    <w:p>
      <w:pPr>
        <w:spacing w:line="560" w:lineRule="exact"/>
        <w:ind w:firstLine="600" w:firstLineChars="200"/>
        <w:rPr>
          <w:rFonts w:eastAsia="方正仿宋简体"/>
          <w:sz w:val="30"/>
          <w:szCs w:val="30"/>
        </w:rPr>
      </w:pPr>
      <w:r>
        <w:rPr>
          <w:rFonts w:hint="eastAsia" w:eastAsia="方正仿宋简体"/>
          <w:sz w:val="30"/>
          <w:szCs w:val="30"/>
        </w:rPr>
        <w:t>非基准提货地名单以及对应的提货升贴水由厂库确定、调整，并通过交易所网站公布。</w:t>
      </w:r>
    </w:p>
    <w:p>
      <w:pPr>
        <w:spacing w:line="560" w:lineRule="exact"/>
        <w:ind w:firstLine="600" w:firstLineChars="200"/>
        <w:rPr>
          <w:rFonts w:eastAsia="方正仿宋简体"/>
          <w:sz w:val="30"/>
          <w:szCs w:val="30"/>
        </w:rPr>
      </w:pPr>
      <w:r>
        <w:rPr>
          <w:rFonts w:hint="eastAsia" w:eastAsia="方正仿宋简体"/>
          <w:sz w:val="30"/>
          <w:szCs w:val="30"/>
        </w:rPr>
        <w:t>提货地的提货升贴水由厂库和厂库标准仓单货主按厂库标准仓单重量自行结算。</w:t>
      </w:r>
    </w:p>
    <w:p>
      <w:pPr>
        <w:spacing w:line="560" w:lineRule="exact"/>
        <w:ind w:firstLine="600" w:firstLineChars="200"/>
        <w:rPr>
          <w:rFonts w:eastAsia="方正仿宋简体"/>
          <w:b/>
          <w:sz w:val="30"/>
          <w:szCs w:val="30"/>
        </w:rPr>
      </w:pPr>
      <w:r>
        <w:rPr>
          <w:rFonts w:hint="eastAsia" w:eastAsia="方正仿宋简体"/>
          <w:sz w:val="30"/>
          <w:szCs w:val="30"/>
        </w:rPr>
        <w:t>厂库标准仓单货主在提交提货申请时，应当选择并确认提货地。</w:t>
      </w:r>
    </w:p>
    <w:p>
      <w:pPr>
        <w:spacing w:line="560" w:lineRule="exact"/>
        <w:ind w:firstLine="602" w:firstLineChars="200"/>
        <w:rPr>
          <w:rFonts w:eastAsia="方正仿宋简体"/>
          <w:sz w:val="30"/>
          <w:szCs w:val="30"/>
        </w:rPr>
      </w:pPr>
      <w:r>
        <w:rPr>
          <w:rFonts w:eastAsia="方正仿宋简体"/>
          <w:b/>
          <w:sz w:val="30"/>
          <w:szCs w:val="30"/>
        </w:rPr>
        <w:t>第</w:t>
      </w:r>
      <w:r>
        <w:rPr>
          <w:rFonts w:hint="eastAsia" w:eastAsia="方正仿宋简体"/>
          <w:b/>
          <w:sz w:val="30"/>
          <w:szCs w:val="30"/>
        </w:rPr>
        <w:t>三十二</w:t>
      </w:r>
      <w:r>
        <w:rPr>
          <w:rFonts w:eastAsia="方正仿宋简体"/>
          <w:b/>
          <w:sz w:val="30"/>
          <w:szCs w:val="30"/>
        </w:rPr>
        <w:t>条</w:t>
      </w:r>
      <w:r>
        <w:rPr>
          <w:rFonts w:eastAsia="方正仿宋简体"/>
          <w:sz w:val="30"/>
          <w:szCs w:val="30"/>
        </w:rPr>
        <w:t xml:space="preserve"> 申请</w:t>
      </w:r>
    </w:p>
    <w:p>
      <w:pPr>
        <w:spacing w:line="560" w:lineRule="exact"/>
        <w:ind w:firstLine="600" w:firstLineChars="200"/>
        <w:rPr>
          <w:rFonts w:eastAsia="方正仿宋简体"/>
          <w:b/>
          <w:bCs/>
          <w:sz w:val="30"/>
          <w:szCs w:val="30"/>
          <w:shd w:val="clear" w:color="FFFFFF" w:fill="D9D9D9"/>
        </w:rPr>
      </w:pPr>
      <w:r>
        <w:rPr>
          <w:rFonts w:eastAsia="方正仿宋简体"/>
          <w:sz w:val="30"/>
          <w:szCs w:val="30"/>
        </w:rPr>
        <w:t>厂库签发厂库标准仓单前应当向交易所提交签发申请。申请内容包括品种、牌号、商标、规格、会员单位、货主名称、拟申请签发标准仓单数量等。</w:t>
      </w:r>
    </w:p>
    <w:p>
      <w:pPr>
        <w:spacing w:line="560" w:lineRule="exact"/>
        <w:ind w:firstLine="602" w:firstLineChars="200"/>
        <w:rPr>
          <w:rFonts w:eastAsia="方正仿宋简体"/>
          <w:sz w:val="30"/>
          <w:szCs w:val="30"/>
        </w:rPr>
      </w:pPr>
      <w:r>
        <w:rPr>
          <w:rFonts w:eastAsia="方正仿宋简体"/>
          <w:b/>
          <w:sz w:val="30"/>
          <w:szCs w:val="30"/>
        </w:rPr>
        <w:t>第三十</w:t>
      </w:r>
      <w:r>
        <w:rPr>
          <w:rFonts w:hint="eastAsia" w:eastAsia="方正仿宋简体"/>
          <w:b/>
          <w:sz w:val="30"/>
          <w:szCs w:val="30"/>
        </w:rPr>
        <w:t>三</w:t>
      </w:r>
      <w:r>
        <w:rPr>
          <w:rFonts w:eastAsia="方正仿宋简体"/>
          <w:b/>
          <w:sz w:val="30"/>
          <w:szCs w:val="30"/>
        </w:rPr>
        <w:t>条</w:t>
      </w:r>
      <w:r>
        <w:rPr>
          <w:rFonts w:eastAsia="方正仿宋简体"/>
          <w:sz w:val="30"/>
          <w:szCs w:val="30"/>
        </w:rPr>
        <w:t xml:space="preserve"> 厂库标准仓单的有效期为厂库标准仓单生成之日起的360天内。</w:t>
      </w:r>
    </w:p>
    <w:p>
      <w:pPr>
        <w:spacing w:line="560" w:lineRule="exact"/>
        <w:ind w:firstLine="602" w:firstLineChars="200"/>
        <w:rPr>
          <w:rFonts w:eastAsia="方正仿宋简体"/>
          <w:sz w:val="30"/>
          <w:szCs w:val="30"/>
        </w:rPr>
      </w:pPr>
      <w:r>
        <w:rPr>
          <w:rFonts w:eastAsia="方正仿宋简体"/>
          <w:b/>
          <w:sz w:val="30"/>
          <w:szCs w:val="30"/>
        </w:rPr>
        <w:t>第三十</w:t>
      </w:r>
      <w:r>
        <w:rPr>
          <w:rFonts w:hint="eastAsia" w:eastAsia="方正仿宋简体"/>
          <w:b/>
          <w:sz w:val="30"/>
          <w:szCs w:val="30"/>
        </w:rPr>
        <w:t>四</w:t>
      </w:r>
      <w:r>
        <w:rPr>
          <w:rFonts w:eastAsia="方正仿宋简体"/>
          <w:b/>
          <w:sz w:val="30"/>
          <w:szCs w:val="30"/>
        </w:rPr>
        <w:t>条</w:t>
      </w:r>
      <w:r>
        <w:rPr>
          <w:rFonts w:eastAsia="方正仿宋简体"/>
          <w:sz w:val="30"/>
          <w:szCs w:val="30"/>
        </w:rPr>
        <w:t xml:space="preserve"> 提货申请</w:t>
      </w:r>
    </w:p>
    <w:p>
      <w:pPr>
        <w:spacing w:line="560" w:lineRule="exact"/>
        <w:ind w:firstLine="600" w:firstLineChars="200"/>
        <w:rPr>
          <w:rFonts w:eastAsia="方正仿宋简体"/>
          <w:sz w:val="30"/>
          <w:szCs w:val="30"/>
        </w:rPr>
      </w:pPr>
      <w:r>
        <w:rPr>
          <w:rFonts w:eastAsia="方正仿宋简体"/>
          <w:sz w:val="30"/>
          <w:szCs w:val="30"/>
        </w:rPr>
        <w:t>（一）货主应</w:t>
      </w:r>
      <w:r>
        <w:rPr>
          <w:rFonts w:hint="eastAsia" w:eastAsia="方正仿宋简体"/>
          <w:sz w:val="30"/>
          <w:szCs w:val="30"/>
        </w:rPr>
        <w:t>按照对应</w:t>
      </w:r>
      <w:r>
        <w:rPr>
          <w:rFonts w:eastAsia="方正仿宋简体"/>
          <w:sz w:val="30"/>
          <w:szCs w:val="30"/>
        </w:rPr>
        <w:t>提货地</w:t>
      </w:r>
      <w:r>
        <w:rPr>
          <w:rFonts w:hint="eastAsia" w:eastAsia="方正仿宋简体"/>
          <w:sz w:val="30"/>
          <w:szCs w:val="30"/>
        </w:rPr>
        <w:t>最小提货量、提前申请日数等规定</w:t>
      </w:r>
      <w:r>
        <w:rPr>
          <w:rFonts w:eastAsia="方正仿宋简体"/>
          <w:sz w:val="30"/>
          <w:szCs w:val="30"/>
        </w:rPr>
        <w:t>通过标准仓单管理系统向厂库提交提货申请，</w:t>
      </w:r>
      <w:r>
        <w:rPr>
          <w:rFonts w:hint="eastAsia" w:eastAsia="方正仿宋简体"/>
          <w:sz w:val="30"/>
          <w:szCs w:val="30"/>
        </w:rPr>
        <w:t>具体内容由交易所另行公告。</w:t>
      </w:r>
      <w:r>
        <w:rPr>
          <w:rFonts w:eastAsia="方正仿宋简体"/>
          <w:sz w:val="30"/>
          <w:szCs w:val="30"/>
        </w:rPr>
        <w:t>申请内容应当包括数量、拟提货日、提货方式、提货计划（每日提货量）、提货人身份证件号码、联系电话等相关内容。</w:t>
      </w:r>
    </w:p>
    <w:p>
      <w:pPr>
        <w:spacing w:line="560" w:lineRule="exact"/>
        <w:ind w:firstLine="600" w:firstLineChars="200"/>
        <w:rPr>
          <w:rFonts w:eastAsia="方正仿宋简体"/>
          <w:sz w:val="30"/>
          <w:szCs w:val="30"/>
        </w:rPr>
      </w:pPr>
      <w:r>
        <w:rPr>
          <w:rFonts w:eastAsia="方正仿宋简体"/>
          <w:sz w:val="30"/>
          <w:szCs w:val="30"/>
        </w:rPr>
        <w:t>（二）厂库在收到货主提货申请后的3个工作日内、参照货主提交的提货日以及企业的生产计划等，确认货主的提货申请。</w:t>
      </w:r>
    </w:p>
    <w:p>
      <w:pPr>
        <w:spacing w:line="560" w:lineRule="exact"/>
        <w:ind w:firstLine="600" w:firstLineChars="200"/>
        <w:rPr>
          <w:rFonts w:eastAsia="方正仿宋简体"/>
          <w:sz w:val="30"/>
          <w:szCs w:val="30"/>
        </w:rPr>
      </w:pPr>
      <w:r>
        <w:rPr>
          <w:rFonts w:eastAsia="方正仿宋简体"/>
          <w:sz w:val="30"/>
          <w:szCs w:val="30"/>
        </w:rPr>
        <w:t>如果货主提交的拟提货日有多个持有厂库标准仓单的货主同时申请提货，且日提货总量超出厂库的日发货量时，厂库可以参照各个货主申请提货日的先后、提货计划及生产计划等统筹安排发货，并在货主提交提货申请后的3个工作日内，向货主提供一个可供选择的提货时间范围和发货计划（每日发货量）。厂库提供的可供货主选择的最早提货日，应当在货主提交的拟提货日后的10天内。货主无异议的，可选择并确定其中一天为提货日，并确定发货计划。货主有异议的，可以重新和厂库协商。</w:t>
      </w:r>
    </w:p>
    <w:p>
      <w:pPr>
        <w:spacing w:line="560" w:lineRule="exact"/>
        <w:ind w:firstLine="600" w:firstLineChars="200"/>
        <w:rPr>
          <w:rFonts w:eastAsia="方正仿宋简体"/>
          <w:sz w:val="30"/>
          <w:szCs w:val="30"/>
        </w:rPr>
      </w:pPr>
      <w:r>
        <w:rPr>
          <w:rFonts w:eastAsia="方正仿宋简体"/>
          <w:sz w:val="30"/>
          <w:szCs w:val="30"/>
        </w:rPr>
        <w:t>（三）因第二项所述多个货主同时申请提货而造成货主提货时间的延迟，厂库不承担经济责任。但是厂库应当及时报告交易所书面备案，阐明原因。</w:t>
      </w:r>
    </w:p>
    <w:p>
      <w:pPr>
        <w:spacing w:line="560" w:lineRule="exact"/>
        <w:ind w:firstLine="602" w:firstLineChars="200"/>
        <w:rPr>
          <w:rFonts w:eastAsia="方正仿宋简体"/>
          <w:sz w:val="30"/>
          <w:szCs w:val="30"/>
        </w:rPr>
      </w:pPr>
      <w:r>
        <w:rPr>
          <w:rFonts w:eastAsia="方正仿宋简体"/>
          <w:b/>
          <w:sz w:val="30"/>
          <w:szCs w:val="30"/>
        </w:rPr>
        <w:t>第三十</w:t>
      </w:r>
      <w:r>
        <w:rPr>
          <w:rFonts w:hint="eastAsia" w:eastAsia="方正仿宋简体"/>
          <w:b/>
          <w:sz w:val="30"/>
          <w:szCs w:val="30"/>
        </w:rPr>
        <w:t>五</w:t>
      </w:r>
      <w:r>
        <w:rPr>
          <w:rFonts w:eastAsia="方正仿宋简体"/>
          <w:b/>
          <w:sz w:val="30"/>
          <w:szCs w:val="30"/>
        </w:rPr>
        <w:t>条</w:t>
      </w:r>
      <w:r>
        <w:rPr>
          <w:rFonts w:eastAsia="方正仿宋简体"/>
          <w:sz w:val="30"/>
          <w:szCs w:val="30"/>
        </w:rPr>
        <w:t xml:space="preserve"> 出库商品的生产日期应</w:t>
      </w:r>
      <w:r>
        <w:rPr>
          <w:rFonts w:hint="eastAsia" w:eastAsia="方正仿宋简体"/>
          <w:sz w:val="30"/>
          <w:szCs w:val="30"/>
        </w:rPr>
        <w:t>在货主和厂库之间已经确定的提货日之前的三百六十日之内，组成每一厂库标准仓单出库的不锈钢生产日期应当不超过连续三十日</w:t>
      </w:r>
      <w:r>
        <w:rPr>
          <w:rFonts w:eastAsia="方正仿宋简体"/>
          <w:sz w:val="30"/>
          <w:szCs w:val="30"/>
        </w:rPr>
        <w:t>。</w:t>
      </w:r>
    </w:p>
    <w:p>
      <w:pPr>
        <w:spacing w:line="560" w:lineRule="exact"/>
        <w:ind w:firstLine="602" w:firstLineChars="200"/>
        <w:rPr>
          <w:rFonts w:eastAsia="方正仿宋简体"/>
          <w:sz w:val="30"/>
          <w:szCs w:val="30"/>
        </w:rPr>
      </w:pPr>
      <w:r>
        <w:rPr>
          <w:rFonts w:eastAsia="方正仿宋简体"/>
          <w:b/>
          <w:sz w:val="30"/>
          <w:szCs w:val="30"/>
        </w:rPr>
        <w:t>第三十</w:t>
      </w:r>
      <w:r>
        <w:rPr>
          <w:rFonts w:hint="eastAsia" w:eastAsia="方正仿宋简体"/>
          <w:b/>
          <w:sz w:val="30"/>
          <w:szCs w:val="30"/>
        </w:rPr>
        <w:t>六</w:t>
      </w:r>
      <w:r>
        <w:rPr>
          <w:rFonts w:eastAsia="方正仿宋简体"/>
          <w:b/>
          <w:sz w:val="30"/>
          <w:szCs w:val="30"/>
        </w:rPr>
        <w:t>条</w:t>
      </w:r>
      <w:r>
        <w:rPr>
          <w:rFonts w:eastAsia="方正仿宋简体"/>
          <w:sz w:val="30"/>
          <w:szCs w:val="30"/>
        </w:rPr>
        <w:t xml:space="preserve"> 出库商品重量以出库商品标签净重为准。</w:t>
      </w:r>
    </w:p>
    <w:p>
      <w:pPr>
        <w:spacing w:line="560" w:lineRule="exact"/>
        <w:ind w:firstLine="602" w:firstLineChars="200"/>
        <w:rPr>
          <w:rFonts w:eastAsia="方正仿宋简体"/>
          <w:sz w:val="30"/>
          <w:szCs w:val="30"/>
        </w:rPr>
      </w:pPr>
      <w:r>
        <w:rPr>
          <w:rFonts w:eastAsia="方正仿宋简体"/>
          <w:b/>
          <w:sz w:val="30"/>
          <w:szCs w:val="30"/>
        </w:rPr>
        <w:t>第三十</w:t>
      </w:r>
      <w:r>
        <w:rPr>
          <w:rFonts w:hint="eastAsia" w:eastAsia="方正仿宋简体"/>
          <w:b/>
          <w:sz w:val="30"/>
          <w:szCs w:val="30"/>
        </w:rPr>
        <w:t>七</w:t>
      </w:r>
      <w:r>
        <w:rPr>
          <w:rFonts w:eastAsia="方正仿宋简体"/>
          <w:b/>
          <w:sz w:val="30"/>
          <w:szCs w:val="30"/>
        </w:rPr>
        <w:t>条</w:t>
      </w:r>
      <w:r>
        <w:rPr>
          <w:rFonts w:eastAsia="方正仿宋简体"/>
          <w:sz w:val="30"/>
          <w:szCs w:val="30"/>
        </w:rPr>
        <w:t xml:space="preserve"> 货主应当按约定的提货日和发货计划到厂库提货。过了提货日但在约定的提货日后15日内（含第十五日）到厂库提货，或者因非厂库过错的原因而无法按约定的日发货计划提货，厂库仍应当按照不锈钢期货合约规定的质量标准承担有关商品质量的责任，并按照当时各货主的提货情况统一安排发货计划，直至全部发完。</w:t>
      </w:r>
    </w:p>
    <w:p>
      <w:pPr>
        <w:spacing w:line="560" w:lineRule="exact"/>
        <w:ind w:firstLine="600" w:firstLineChars="200"/>
        <w:rPr>
          <w:rFonts w:eastAsia="方正仿宋简体"/>
          <w:sz w:val="30"/>
          <w:szCs w:val="30"/>
        </w:rPr>
      </w:pPr>
      <w:r>
        <w:rPr>
          <w:rFonts w:eastAsia="方正仿宋简体"/>
          <w:sz w:val="30"/>
          <w:szCs w:val="30"/>
        </w:rPr>
        <w:t>货主应当向厂库支付滞纳金。滞纳金金额</w:t>
      </w:r>
      <w:r>
        <w:rPr>
          <w:rFonts w:hint="eastAsia" w:eastAsia="方正仿宋简体"/>
          <w:sz w:val="30"/>
          <w:szCs w:val="30"/>
        </w:rPr>
        <w:t>=</w:t>
      </w:r>
      <w:r>
        <w:rPr>
          <w:rFonts w:eastAsia="方正仿宋简体"/>
          <w:sz w:val="30"/>
          <w:szCs w:val="30"/>
        </w:rPr>
        <w:t>2元/吨</w:t>
      </w:r>
      <w:r>
        <w:rPr>
          <w:rFonts w:hint="eastAsia" w:eastAsia="方正仿宋简体"/>
          <w:sz w:val="30"/>
          <w:szCs w:val="30"/>
        </w:rPr>
        <w:t>·</w:t>
      </w:r>
      <w:r>
        <w:rPr>
          <w:rFonts w:eastAsia="方正仿宋简体"/>
          <w:sz w:val="30"/>
          <w:szCs w:val="30"/>
        </w:rPr>
        <w:t>天×应提而未提的商品数量×该批商品的滞留天数</w:t>
      </w:r>
    </w:p>
    <w:p>
      <w:pPr>
        <w:spacing w:line="560" w:lineRule="exact"/>
        <w:ind w:firstLine="600" w:firstLineChars="200"/>
        <w:rPr>
          <w:rFonts w:eastAsia="方正仿宋简体"/>
          <w:sz w:val="30"/>
          <w:szCs w:val="30"/>
        </w:rPr>
      </w:pPr>
      <w:r>
        <w:rPr>
          <w:rFonts w:eastAsia="方正仿宋简体"/>
          <w:sz w:val="30"/>
          <w:szCs w:val="30"/>
        </w:rPr>
        <w:t>因为货主原因造成发货延迟的，由双方约定另行协商处理。</w:t>
      </w:r>
    </w:p>
    <w:p>
      <w:pPr>
        <w:spacing w:line="560" w:lineRule="exact"/>
        <w:ind w:firstLine="602" w:firstLineChars="200"/>
        <w:rPr>
          <w:rFonts w:eastAsia="方正仿宋简体"/>
          <w:b/>
          <w:sz w:val="30"/>
          <w:szCs w:val="30"/>
        </w:rPr>
      </w:pPr>
      <w:r>
        <w:rPr>
          <w:rFonts w:eastAsia="方正仿宋简体"/>
          <w:b/>
          <w:sz w:val="30"/>
          <w:szCs w:val="30"/>
        </w:rPr>
        <w:t>第三十</w:t>
      </w:r>
      <w:r>
        <w:rPr>
          <w:rFonts w:hint="eastAsia" w:eastAsia="方正仿宋简体"/>
          <w:b/>
          <w:sz w:val="30"/>
          <w:szCs w:val="30"/>
        </w:rPr>
        <w:t>八</w:t>
      </w:r>
      <w:r>
        <w:rPr>
          <w:rFonts w:eastAsia="方正仿宋简体"/>
          <w:b/>
          <w:sz w:val="30"/>
          <w:szCs w:val="30"/>
        </w:rPr>
        <w:t xml:space="preserve">条 </w:t>
      </w:r>
      <w:r>
        <w:rPr>
          <w:rFonts w:eastAsia="方正仿宋简体"/>
          <w:bCs/>
          <w:sz w:val="30"/>
          <w:szCs w:val="30"/>
        </w:rPr>
        <w:t>货主未在约定的提货日后15日内（含第十五日）到厂库提货，货主应当向厂库支付滞纳金，具体提货事宜由双方自行协商。</w:t>
      </w:r>
    </w:p>
    <w:p>
      <w:pPr>
        <w:spacing w:line="560" w:lineRule="exact"/>
        <w:ind w:firstLine="600" w:firstLineChars="200"/>
        <w:rPr>
          <w:rFonts w:eastAsia="方正仿宋简体"/>
          <w:sz w:val="30"/>
          <w:szCs w:val="30"/>
        </w:rPr>
      </w:pPr>
      <w:r>
        <w:rPr>
          <w:rFonts w:eastAsia="方正仿宋简体"/>
          <w:sz w:val="30"/>
          <w:szCs w:val="30"/>
        </w:rPr>
        <w:t>滞纳金金额</w:t>
      </w:r>
      <w:r>
        <w:rPr>
          <w:rFonts w:hint="eastAsia" w:eastAsia="方正仿宋简体"/>
          <w:sz w:val="30"/>
          <w:szCs w:val="30"/>
        </w:rPr>
        <w:t>=</w:t>
      </w:r>
      <w:r>
        <w:rPr>
          <w:rFonts w:eastAsia="方正仿宋简体"/>
          <w:sz w:val="30"/>
          <w:szCs w:val="30"/>
        </w:rPr>
        <w:t>35元/吨×应提而未提的商品数量</w:t>
      </w:r>
    </w:p>
    <w:p>
      <w:pPr>
        <w:spacing w:line="560" w:lineRule="exact"/>
        <w:ind w:firstLine="602" w:firstLineChars="200"/>
        <w:rPr>
          <w:rFonts w:eastAsia="方正仿宋简体"/>
          <w:sz w:val="30"/>
          <w:szCs w:val="30"/>
        </w:rPr>
      </w:pPr>
      <w:r>
        <w:rPr>
          <w:rFonts w:eastAsia="方正仿宋简体"/>
          <w:b/>
          <w:bCs/>
          <w:sz w:val="30"/>
          <w:szCs w:val="30"/>
        </w:rPr>
        <w:t>第三十</w:t>
      </w:r>
      <w:r>
        <w:rPr>
          <w:rFonts w:hint="eastAsia" w:eastAsia="方正仿宋简体"/>
          <w:b/>
          <w:bCs/>
          <w:sz w:val="30"/>
          <w:szCs w:val="30"/>
        </w:rPr>
        <w:t>九</w:t>
      </w:r>
      <w:r>
        <w:rPr>
          <w:rFonts w:eastAsia="方正仿宋简体"/>
          <w:b/>
          <w:bCs/>
          <w:sz w:val="30"/>
          <w:szCs w:val="30"/>
        </w:rPr>
        <w:t>条</w:t>
      </w:r>
      <w:r>
        <w:rPr>
          <w:rFonts w:eastAsia="方正仿宋简体"/>
          <w:sz w:val="30"/>
          <w:szCs w:val="30"/>
        </w:rPr>
        <w:t xml:space="preserve"> 货主在约定的提货日到库提货，厂库未按约定的发货计划发货，但在约定的提货日后15日内（含第十五日）完成了相应商品的发货，厂库应当向货主支付赔偿金。</w:t>
      </w:r>
    </w:p>
    <w:p>
      <w:pPr>
        <w:spacing w:line="560" w:lineRule="exact"/>
        <w:ind w:firstLine="600" w:firstLineChars="200"/>
        <w:rPr>
          <w:rFonts w:eastAsia="方正仿宋简体"/>
          <w:sz w:val="30"/>
          <w:szCs w:val="30"/>
        </w:rPr>
      </w:pPr>
      <w:r>
        <w:rPr>
          <w:rFonts w:eastAsia="方正仿宋简体"/>
          <w:sz w:val="30"/>
          <w:szCs w:val="30"/>
        </w:rPr>
        <w:t>赔偿金金额</w:t>
      </w:r>
      <w:r>
        <w:rPr>
          <w:rFonts w:hint="eastAsia" w:eastAsia="方正仿宋简体"/>
          <w:sz w:val="30"/>
          <w:szCs w:val="30"/>
        </w:rPr>
        <w:t>=</w:t>
      </w:r>
      <w:r>
        <w:rPr>
          <w:rFonts w:eastAsia="方正仿宋简体"/>
          <w:sz w:val="30"/>
          <w:szCs w:val="30"/>
        </w:rPr>
        <w:t>50元/吨×按日发货计划应发而未发的商品数量</w:t>
      </w:r>
    </w:p>
    <w:p>
      <w:pPr>
        <w:spacing w:line="560" w:lineRule="exact"/>
        <w:ind w:firstLine="602" w:firstLineChars="200"/>
        <w:rPr>
          <w:rFonts w:eastAsia="方正仿宋简体"/>
          <w:sz w:val="30"/>
          <w:szCs w:val="30"/>
        </w:rPr>
      </w:pPr>
      <w:r>
        <w:rPr>
          <w:rFonts w:eastAsia="方正仿宋简体"/>
          <w:b/>
          <w:sz w:val="30"/>
          <w:szCs w:val="30"/>
        </w:rPr>
        <w:t>第</w:t>
      </w:r>
      <w:r>
        <w:rPr>
          <w:rFonts w:hint="eastAsia" w:eastAsia="方正仿宋简体"/>
          <w:b/>
          <w:sz w:val="30"/>
          <w:szCs w:val="30"/>
        </w:rPr>
        <w:t>四十</w:t>
      </w:r>
      <w:r>
        <w:rPr>
          <w:rFonts w:eastAsia="方正仿宋简体"/>
          <w:b/>
          <w:sz w:val="30"/>
          <w:szCs w:val="30"/>
        </w:rPr>
        <w:t>条</w:t>
      </w:r>
      <w:r>
        <w:rPr>
          <w:rFonts w:eastAsia="方正仿宋简体"/>
          <w:sz w:val="30"/>
          <w:szCs w:val="30"/>
        </w:rPr>
        <w:t xml:space="preserve"> 厂库在约定的提货日后15日（含第十五日）内未完成按日发货计划相应商品的发货，货主可以做如下选择：</w:t>
      </w:r>
    </w:p>
    <w:p>
      <w:pPr>
        <w:spacing w:line="560" w:lineRule="exact"/>
        <w:ind w:firstLine="600" w:firstLineChars="200"/>
        <w:rPr>
          <w:rFonts w:eastAsia="方正仿宋简体"/>
          <w:sz w:val="30"/>
          <w:szCs w:val="30"/>
        </w:rPr>
      </w:pPr>
      <w:r>
        <w:rPr>
          <w:rFonts w:eastAsia="方正仿宋简体"/>
          <w:sz w:val="30"/>
          <w:szCs w:val="30"/>
        </w:rPr>
        <w:t>（一）货主在约定提货日后的第15日向厂库提出自约定提货日后的第16日起，终止接受厂库应发而未发的剩余商品，厂库应当向货主返还货款并支付追加赔偿金。</w:t>
      </w:r>
    </w:p>
    <w:p>
      <w:pPr>
        <w:spacing w:line="560" w:lineRule="exact"/>
        <w:ind w:firstLine="600" w:firstLineChars="200"/>
        <w:rPr>
          <w:rFonts w:eastAsia="方正仿宋简体"/>
          <w:sz w:val="30"/>
          <w:szCs w:val="30"/>
        </w:rPr>
      </w:pPr>
      <w:r>
        <w:rPr>
          <w:rFonts w:eastAsia="方正仿宋简体"/>
          <w:sz w:val="30"/>
          <w:szCs w:val="30"/>
        </w:rPr>
        <w:t>返还货款和追加赔偿金的金额</w:t>
      </w:r>
      <w:r>
        <w:rPr>
          <w:rFonts w:hint="eastAsia" w:eastAsia="方正仿宋简体"/>
          <w:sz w:val="30"/>
          <w:szCs w:val="30"/>
        </w:rPr>
        <w:t>=</w:t>
      </w:r>
      <w:r>
        <w:rPr>
          <w:rFonts w:eastAsia="方正仿宋简体"/>
          <w:sz w:val="30"/>
          <w:szCs w:val="30"/>
        </w:rPr>
        <w:t>赔偿结算价×应发而未发的商品数量×130%</w:t>
      </w:r>
    </w:p>
    <w:p>
      <w:pPr>
        <w:spacing w:line="560" w:lineRule="exact"/>
        <w:ind w:firstLine="600" w:firstLineChars="200"/>
        <w:rPr>
          <w:rFonts w:eastAsia="方正仿宋简体"/>
          <w:sz w:val="30"/>
          <w:szCs w:val="30"/>
        </w:rPr>
      </w:pPr>
      <w:r>
        <w:rPr>
          <w:rFonts w:eastAsia="方正仿宋简体"/>
          <w:sz w:val="30"/>
          <w:szCs w:val="30"/>
        </w:rPr>
        <w:t>赔偿结算价为约定提货日后的第16日前一交易日交易所挂牌交易的最近月份对应期货合约的结算价</w:t>
      </w:r>
    </w:p>
    <w:p>
      <w:pPr>
        <w:spacing w:line="560" w:lineRule="exact"/>
        <w:ind w:firstLine="600" w:firstLineChars="200"/>
        <w:rPr>
          <w:rFonts w:eastAsia="方正仿宋简体"/>
          <w:sz w:val="30"/>
          <w:szCs w:val="30"/>
        </w:rPr>
      </w:pPr>
      <w:r>
        <w:rPr>
          <w:rFonts w:eastAsia="方正仿宋简体"/>
          <w:sz w:val="30"/>
          <w:szCs w:val="30"/>
        </w:rPr>
        <w:t>（二）货主在约定提货日后的第15日未向厂库提出终止接受厂库应发而未发的剩余商品，则剩余商品具体提货事宜由双方自行协商。</w:t>
      </w:r>
    </w:p>
    <w:p>
      <w:pPr>
        <w:adjustRightInd w:val="0"/>
        <w:snapToGrid w:val="0"/>
        <w:spacing w:line="560" w:lineRule="exact"/>
        <w:ind w:firstLine="602" w:firstLineChars="200"/>
        <w:rPr>
          <w:rFonts w:eastAsia="方正仿宋简体"/>
          <w:color w:val="000000"/>
          <w:sz w:val="30"/>
          <w:szCs w:val="30"/>
        </w:rPr>
      </w:pPr>
      <w:r>
        <w:rPr>
          <w:rFonts w:eastAsia="方正仿宋简体"/>
          <w:b/>
          <w:sz w:val="30"/>
          <w:szCs w:val="30"/>
        </w:rPr>
        <w:t>第</w:t>
      </w:r>
      <w:r>
        <w:rPr>
          <w:rFonts w:hint="eastAsia" w:eastAsia="方正仿宋简体"/>
          <w:b/>
          <w:sz w:val="30"/>
          <w:szCs w:val="30"/>
        </w:rPr>
        <w:t>四十一</w:t>
      </w:r>
      <w:r>
        <w:rPr>
          <w:rFonts w:eastAsia="方正仿宋简体"/>
          <w:b/>
          <w:sz w:val="30"/>
          <w:szCs w:val="30"/>
        </w:rPr>
        <w:t>条</w:t>
      </w:r>
      <w:r>
        <w:rPr>
          <w:rFonts w:eastAsia="方正仿宋简体"/>
          <w:sz w:val="30"/>
          <w:szCs w:val="30"/>
        </w:rPr>
        <w:t xml:space="preserve"> </w:t>
      </w:r>
      <w:r>
        <w:rPr>
          <w:rFonts w:eastAsia="方正仿宋简体"/>
          <w:color w:val="000000"/>
          <w:sz w:val="30"/>
          <w:szCs w:val="30"/>
        </w:rPr>
        <w:t>当厂库发生</w:t>
      </w:r>
      <w:r>
        <w:rPr>
          <w:rFonts w:eastAsia="方正仿宋简体"/>
          <w:sz w:val="30"/>
          <w:szCs w:val="30"/>
        </w:rPr>
        <w:t>第</w:t>
      </w:r>
      <w:r>
        <w:rPr>
          <w:rFonts w:hint="eastAsia" w:eastAsia="方正仿宋简体"/>
          <w:sz w:val="30"/>
          <w:szCs w:val="30"/>
        </w:rPr>
        <w:t>三十九</w:t>
      </w:r>
      <w:r>
        <w:rPr>
          <w:rFonts w:eastAsia="方正仿宋简体"/>
          <w:sz w:val="30"/>
          <w:szCs w:val="30"/>
        </w:rPr>
        <w:t>条、第</w:t>
      </w:r>
      <w:r>
        <w:rPr>
          <w:rFonts w:hint="eastAsia" w:eastAsia="方正仿宋简体"/>
          <w:sz w:val="30"/>
          <w:szCs w:val="30"/>
        </w:rPr>
        <w:t>四十</w:t>
      </w:r>
      <w:r>
        <w:rPr>
          <w:rFonts w:eastAsia="方正仿宋简体"/>
          <w:sz w:val="30"/>
          <w:szCs w:val="30"/>
        </w:rPr>
        <w:t>条</w:t>
      </w:r>
      <w:r>
        <w:rPr>
          <w:rFonts w:eastAsia="方正仿宋简体"/>
          <w:color w:val="000000"/>
          <w:sz w:val="30"/>
          <w:szCs w:val="30"/>
        </w:rPr>
        <w:t>中的违约行为时，厂库直接向货主支付赔偿金、返还货款和追加赔偿金。</w:t>
      </w:r>
    </w:p>
    <w:p>
      <w:pPr>
        <w:adjustRightInd w:val="0"/>
        <w:snapToGrid w:val="0"/>
        <w:spacing w:line="560" w:lineRule="exact"/>
        <w:ind w:firstLine="600" w:firstLineChars="200"/>
        <w:rPr>
          <w:rFonts w:eastAsia="方正仿宋简体"/>
          <w:color w:val="000000"/>
          <w:sz w:val="30"/>
          <w:szCs w:val="30"/>
        </w:rPr>
      </w:pPr>
      <w:r>
        <w:rPr>
          <w:rFonts w:eastAsia="方正仿宋简体"/>
          <w:color w:val="000000"/>
          <w:sz w:val="30"/>
          <w:szCs w:val="30"/>
        </w:rPr>
        <w:t>厂库未支付或者支付数额不足的，交易所按照以下步骤向货主支付：</w:t>
      </w:r>
    </w:p>
    <w:p>
      <w:pPr>
        <w:adjustRightInd w:val="0"/>
        <w:snapToGrid w:val="0"/>
        <w:spacing w:line="560" w:lineRule="exact"/>
        <w:ind w:firstLine="600" w:firstLineChars="200"/>
        <w:rPr>
          <w:rFonts w:eastAsia="方正仿宋简体"/>
          <w:color w:val="000000"/>
          <w:sz w:val="30"/>
          <w:szCs w:val="30"/>
        </w:rPr>
      </w:pPr>
      <w:r>
        <w:rPr>
          <w:rFonts w:eastAsia="方正仿宋简体"/>
          <w:color w:val="000000"/>
          <w:sz w:val="30"/>
          <w:szCs w:val="30"/>
        </w:rPr>
        <w:t>（一）动用厂库提供的担保方式支付；</w:t>
      </w:r>
    </w:p>
    <w:p>
      <w:pPr>
        <w:spacing w:line="560" w:lineRule="exact"/>
        <w:ind w:firstLine="600" w:firstLineChars="200"/>
        <w:rPr>
          <w:rFonts w:eastAsia="方正仿宋简体"/>
          <w:color w:val="000000"/>
          <w:sz w:val="30"/>
          <w:szCs w:val="30"/>
        </w:rPr>
      </w:pPr>
      <w:r>
        <w:rPr>
          <w:rFonts w:eastAsia="方正仿宋简体"/>
          <w:color w:val="000000"/>
          <w:sz w:val="30"/>
          <w:szCs w:val="30"/>
        </w:rPr>
        <w:t>（二）交易所代为垫付，并通过包括法律程序在内的其他手段向厂库追索。</w:t>
      </w:r>
    </w:p>
    <w:p>
      <w:pPr>
        <w:spacing w:line="560" w:lineRule="exact"/>
        <w:ind w:firstLine="602" w:firstLineChars="200"/>
        <w:rPr>
          <w:rFonts w:eastAsia="方正仿宋简体"/>
          <w:sz w:val="30"/>
          <w:szCs w:val="30"/>
        </w:rPr>
      </w:pPr>
      <w:r>
        <w:rPr>
          <w:rFonts w:eastAsia="方正仿宋简体"/>
          <w:b/>
          <w:sz w:val="30"/>
          <w:szCs w:val="30"/>
        </w:rPr>
        <w:t>第</w:t>
      </w:r>
      <w:r>
        <w:rPr>
          <w:rFonts w:hint="eastAsia" w:eastAsia="方正仿宋简体"/>
          <w:b/>
          <w:sz w:val="30"/>
          <w:szCs w:val="30"/>
        </w:rPr>
        <w:t>四十二</w:t>
      </w:r>
      <w:r>
        <w:rPr>
          <w:rFonts w:eastAsia="方正仿宋简体"/>
          <w:b/>
          <w:sz w:val="30"/>
          <w:szCs w:val="30"/>
        </w:rPr>
        <w:t>条</w:t>
      </w:r>
      <w:r>
        <w:rPr>
          <w:rFonts w:eastAsia="方正仿宋简体"/>
          <w:sz w:val="30"/>
          <w:szCs w:val="30"/>
        </w:rPr>
        <w:t xml:space="preserve"> 当货主发生第</w:t>
      </w:r>
      <w:r>
        <w:rPr>
          <w:rFonts w:hint="eastAsia" w:eastAsia="方正仿宋简体"/>
          <w:sz w:val="30"/>
          <w:szCs w:val="30"/>
        </w:rPr>
        <w:t>三十七</w:t>
      </w:r>
      <w:r>
        <w:rPr>
          <w:rFonts w:eastAsia="方正仿宋简体"/>
          <w:sz w:val="30"/>
          <w:szCs w:val="30"/>
        </w:rPr>
        <w:t>条、第三十</w:t>
      </w:r>
      <w:r>
        <w:rPr>
          <w:rFonts w:hint="eastAsia" w:eastAsia="方正仿宋简体"/>
          <w:sz w:val="30"/>
          <w:szCs w:val="30"/>
        </w:rPr>
        <w:t>八</w:t>
      </w:r>
      <w:r>
        <w:rPr>
          <w:rFonts w:eastAsia="方正仿宋简体"/>
          <w:sz w:val="30"/>
          <w:szCs w:val="30"/>
        </w:rPr>
        <w:t>条中的违约行为时，货主直接向厂库支付滞纳金。货主未支付的或支付数额不足的，厂库可以通过包括法律程序在内的其他手段向货主追索</w:t>
      </w:r>
      <w:r>
        <w:rPr>
          <w:rFonts w:hint="eastAsia" w:eastAsia="方正仿宋简体"/>
          <w:sz w:val="30"/>
          <w:szCs w:val="30"/>
        </w:rPr>
        <w:t>。</w:t>
      </w:r>
    </w:p>
    <w:p>
      <w:pPr>
        <w:spacing w:line="560" w:lineRule="exact"/>
        <w:ind w:firstLine="602" w:firstLineChars="200"/>
        <w:rPr>
          <w:rFonts w:eastAsia="方正仿宋简体"/>
          <w:sz w:val="30"/>
          <w:szCs w:val="30"/>
        </w:rPr>
      </w:pPr>
      <w:r>
        <w:rPr>
          <w:rFonts w:eastAsia="方正仿宋简体"/>
          <w:b/>
          <w:sz w:val="30"/>
          <w:szCs w:val="30"/>
        </w:rPr>
        <w:t>第四十</w:t>
      </w:r>
      <w:r>
        <w:rPr>
          <w:rFonts w:hint="eastAsia" w:eastAsia="方正仿宋简体"/>
          <w:b/>
          <w:sz w:val="30"/>
          <w:szCs w:val="30"/>
        </w:rPr>
        <w:t>三</w:t>
      </w:r>
      <w:r>
        <w:rPr>
          <w:rFonts w:eastAsia="方正仿宋简体"/>
          <w:b/>
          <w:sz w:val="30"/>
          <w:szCs w:val="30"/>
        </w:rPr>
        <w:t>条</w:t>
      </w:r>
      <w:r>
        <w:rPr>
          <w:rFonts w:eastAsia="方正仿宋简体"/>
          <w:sz w:val="30"/>
          <w:szCs w:val="30"/>
        </w:rPr>
        <w:t xml:space="preserve"> 当发生第三十</w:t>
      </w:r>
      <w:r>
        <w:rPr>
          <w:rFonts w:hint="eastAsia" w:eastAsia="方正仿宋简体"/>
          <w:sz w:val="30"/>
          <w:szCs w:val="30"/>
        </w:rPr>
        <w:t>七</w:t>
      </w:r>
      <w:r>
        <w:rPr>
          <w:rFonts w:eastAsia="方正仿宋简体"/>
          <w:sz w:val="30"/>
          <w:szCs w:val="30"/>
        </w:rPr>
        <w:t>条、第三十</w:t>
      </w:r>
      <w:r>
        <w:rPr>
          <w:rFonts w:hint="eastAsia" w:eastAsia="方正仿宋简体"/>
          <w:sz w:val="30"/>
          <w:szCs w:val="30"/>
        </w:rPr>
        <w:t>八</w:t>
      </w:r>
      <w:r>
        <w:rPr>
          <w:rFonts w:eastAsia="方正仿宋简体"/>
          <w:sz w:val="30"/>
          <w:szCs w:val="30"/>
        </w:rPr>
        <w:t>条、第三十</w:t>
      </w:r>
      <w:r>
        <w:rPr>
          <w:rFonts w:hint="eastAsia" w:eastAsia="方正仿宋简体"/>
          <w:sz w:val="30"/>
          <w:szCs w:val="30"/>
        </w:rPr>
        <w:t>九</w:t>
      </w:r>
      <w:r>
        <w:rPr>
          <w:rFonts w:eastAsia="方正仿宋简体"/>
          <w:sz w:val="30"/>
          <w:szCs w:val="30"/>
        </w:rPr>
        <w:t>条、第</w:t>
      </w:r>
      <w:r>
        <w:rPr>
          <w:rFonts w:hint="eastAsia" w:eastAsia="方正仿宋简体"/>
          <w:sz w:val="30"/>
          <w:szCs w:val="30"/>
        </w:rPr>
        <w:t>四十</w:t>
      </w:r>
      <w:r>
        <w:rPr>
          <w:rFonts w:eastAsia="方正仿宋简体"/>
          <w:sz w:val="30"/>
          <w:szCs w:val="30"/>
        </w:rPr>
        <w:t>条所述情况而给厂库或货主其中一方造成损失，如双方约定另行协商处理，则按双方协议而定，书面协议报交易所备案。</w:t>
      </w:r>
    </w:p>
    <w:p>
      <w:pPr>
        <w:spacing w:line="560" w:lineRule="exact"/>
        <w:ind w:firstLine="602" w:firstLineChars="200"/>
        <w:rPr>
          <w:rFonts w:eastAsia="方正仿宋简体"/>
          <w:sz w:val="30"/>
          <w:szCs w:val="30"/>
        </w:rPr>
      </w:pPr>
      <w:r>
        <w:rPr>
          <w:rFonts w:eastAsia="方正仿宋简体"/>
          <w:b/>
          <w:sz w:val="30"/>
          <w:szCs w:val="30"/>
        </w:rPr>
        <w:t>第四十</w:t>
      </w:r>
      <w:r>
        <w:rPr>
          <w:rFonts w:hint="eastAsia" w:eastAsia="方正仿宋简体"/>
          <w:b/>
          <w:sz w:val="30"/>
          <w:szCs w:val="30"/>
        </w:rPr>
        <w:t>四</w:t>
      </w:r>
      <w:r>
        <w:rPr>
          <w:rFonts w:eastAsia="方正仿宋简体"/>
          <w:b/>
          <w:sz w:val="30"/>
          <w:szCs w:val="30"/>
        </w:rPr>
        <w:t>条</w:t>
      </w:r>
      <w:r>
        <w:rPr>
          <w:rFonts w:eastAsia="方正仿宋简体"/>
          <w:sz w:val="30"/>
          <w:szCs w:val="30"/>
        </w:rPr>
        <w:t xml:space="preserve"> 质量争议处理</w:t>
      </w:r>
    </w:p>
    <w:p>
      <w:pPr>
        <w:spacing w:line="560" w:lineRule="exact"/>
        <w:ind w:firstLine="600" w:firstLineChars="200"/>
        <w:rPr>
          <w:rFonts w:eastAsia="方正仿宋简体"/>
          <w:sz w:val="30"/>
          <w:szCs w:val="30"/>
        </w:rPr>
      </w:pPr>
      <w:r>
        <w:rPr>
          <w:rFonts w:eastAsia="方正仿宋简体"/>
          <w:sz w:val="30"/>
          <w:szCs w:val="30"/>
        </w:rPr>
        <w:t>提货方对交割商品的质量有异议的，应当在实物交收完成后</w:t>
      </w:r>
      <w:r>
        <w:rPr>
          <w:rFonts w:hint="eastAsia" w:eastAsia="方正仿宋简体"/>
          <w:sz w:val="30"/>
          <w:szCs w:val="30"/>
        </w:rPr>
        <w:t>十日</w:t>
      </w:r>
      <w:r>
        <w:rPr>
          <w:rFonts w:eastAsia="方正仿宋简体"/>
          <w:sz w:val="30"/>
          <w:szCs w:val="30"/>
        </w:rPr>
        <w:t>内，向交易所提出书面申请，并同时提供交易所指定检验机构出具的质量鉴定结论。逾期未提出申请的，视为提货方对所交割商品无异议，交易所不再受理交割商品有异议的申请。</w:t>
      </w:r>
    </w:p>
    <w:p>
      <w:pPr>
        <w:spacing w:line="560" w:lineRule="exact"/>
        <w:ind w:firstLine="602" w:firstLineChars="200"/>
        <w:rPr>
          <w:rFonts w:eastAsia="方正仿宋简体"/>
          <w:sz w:val="30"/>
          <w:szCs w:val="30"/>
        </w:rPr>
      </w:pPr>
      <w:r>
        <w:rPr>
          <w:rFonts w:hint="eastAsia" w:eastAsia="方正仿宋简体"/>
          <w:b/>
          <w:sz w:val="30"/>
          <w:szCs w:val="30"/>
        </w:rPr>
        <w:t>第四十五</w:t>
      </w:r>
      <w:r>
        <w:rPr>
          <w:rFonts w:eastAsia="方正仿宋简体"/>
          <w:b/>
          <w:sz w:val="30"/>
          <w:szCs w:val="30"/>
        </w:rPr>
        <w:t>条</w:t>
      </w:r>
      <w:r>
        <w:rPr>
          <w:rFonts w:hint="eastAsia" w:eastAsia="方正仿宋简体"/>
          <w:sz w:val="30"/>
          <w:szCs w:val="30"/>
        </w:rPr>
        <w:t xml:space="preserve"> 厂库持有的厂库标准仓单被注销后，厂库可以向交易所申请调整担保数额。</w:t>
      </w:r>
    </w:p>
    <w:p>
      <w:pPr>
        <w:spacing w:line="560" w:lineRule="exact"/>
        <w:jc w:val="center"/>
        <w:rPr>
          <w:rFonts w:eastAsia="黑体"/>
          <w:sz w:val="30"/>
          <w:szCs w:val="30"/>
        </w:rPr>
      </w:pPr>
      <w:r>
        <w:rPr>
          <w:rFonts w:eastAsia="黑体"/>
          <w:sz w:val="30"/>
          <w:szCs w:val="30"/>
        </w:rPr>
        <w:t>第四章 风险管理</w:t>
      </w:r>
    </w:p>
    <w:p>
      <w:pPr>
        <w:spacing w:line="560" w:lineRule="exact"/>
        <w:ind w:firstLine="602" w:firstLineChars="200"/>
        <w:jc w:val="left"/>
        <w:rPr>
          <w:rFonts w:eastAsia="方正仿宋简体"/>
          <w:sz w:val="30"/>
          <w:szCs w:val="30"/>
        </w:rPr>
      </w:pPr>
      <w:r>
        <w:rPr>
          <w:rFonts w:eastAsia="方正仿宋简体"/>
          <w:b/>
          <w:sz w:val="30"/>
          <w:szCs w:val="30"/>
        </w:rPr>
        <w:t>第四十</w:t>
      </w:r>
      <w:r>
        <w:rPr>
          <w:rFonts w:hint="eastAsia" w:eastAsia="方正仿宋简体"/>
          <w:b/>
          <w:sz w:val="30"/>
          <w:szCs w:val="30"/>
        </w:rPr>
        <w:t>六</w:t>
      </w:r>
      <w:r>
        <w:rPr>
          <w:rFonts w:eastAsia="方正仿宋简体"/>
          <w:b/>
          <w:sz w:val="30"/>
          <w:szCs w:val="30"/>
        </w:rPr>
        <w:t>条</w:t>
      </w:r>
      <w:r>
        <w:rPr>
          <w:rFonts w:eastAsia="方正仿宋简体"/>
          <w:sz w:val="30"/>
          <w:szCs w:val="30"/>
        </w:rPr>
        <w:t xml:space="preserve"> 不锈钢期货合约的最低交易保证金为合约价值的5%。</w:t>
      </w:r>
    </w:p>
    <w:p>
      <w:pPr>
        <w:spacing w:line="560" w:lineRule="exact"/>
        <w:ind w:firstLine="602" w:firstLineChars="200"/>
        <w:rPr>
          <w:rFonts w:eastAsia="方正仿宋简体"/>
          <w:b/>
          <w:color w:val="FF0000"/>
          <w:sz w:val="30"/>
          <w:szCs w:val="30"/>
        </w:rPr>
      </w:pPr>
      <w:r>
        <w:rPr>
          <w:rFonts w:eastAsia="方正仿宋简体"/>
          <w:b/>
          <w:sz w:val="30"/>
          <w:szCs w:val="30"/>
        </w:rPr>
        <w:t>第四十</w:t>
      </w:r>
      <w:r>
        <w:rPr>
          <w:rFonts w:hint="eastAsia" w:eastAsia="方正仿宋简体"/>
          <w:b/>
          <w:sz w:val="30"/>
          <w:szCs w:val="30"/>
        </w:rPr>
        <w:t>七</w:t>
      </w:r>
      <w:r>
        <w:rPr>
          <w:rFonts w:eastAsia="方正仿宋简体"/>
          <w:b/>
          <w:sz w:val="30"/>
          <w:szCs w:val="30"/>
        </w:rPr>
        <w:t>条</w:t>
      </w:r>
      <w:r>
        <w:rPr>
          <w:rFonts w:eastAsia="方正仿宋简体"/>
          <w:sz w:val="30"/>
          <w:szCs w:val="30"/>
        </w:rPr>
        <w:t xml:space="preserve"> 不锈钢期货合约上市运行不同阶段的交易保证金收取标准为：</w:t>
      </w:r>
    </w:p>
    <w:tbl>
      <w:tblPr>
        <w:tblStyle w:val="4"/>
        <w:tblW w:w="8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5"/>
        <w:gridCol w:w="3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49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1" w:firstLineChars="200"/>
              <w:jc w:val="center"/>
              <w:rPr>
                <w:rFonts w:eastAsia="方正仿宋简体"/>
                <w:b/>
                <w:bCs/>
                <w:color w:val="000000"/>
                <w:sz w:val="24"/>
              </w:rPr>
            </w:pPr>
            <w:r>
              <w:rPr>
                <w:rFonts w:eastAsia="方正仿宋简体"/>
                <w:b/>
                <w:bCs/>
                <w:color w:val="000000"/>
                <w:sz w:val="24"/>
              </w:rPr>
              <w:t>交易时间段</w:t>
            </w:r>
          </w:p>
        </w:tc>
        <w:tc>
          <w:tcPr>
            <w:tcW w:w="37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方正仿宋简体"/>
                <w:b/>
                <w:bCs/>
                <w:color w:val="000000"/>
                <w:sz w:val="24"/>
              </w:rPr>
            </w:pPr>
            <w:r>
              <w:rPr>
                <w:rFonts w:eastAsia="方正仿宋简体"/>
                <w:b/>
                <w:bCs/>
                <w:color w:val="000000"/>
                <w:sz w:val="24"/>
              </w:rPr>
              <w:t>不锈钢交易保证金比例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4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方正仿宋简体"/>
                <w:bCs/>
                <w:color w:val="000000"/>
                <w:sz w:val="24"/>
              </w:rPr>
            </w:pPr>
            <w:r>
              <w:rPr>
                <w:rFonts w:eastAsia="方正仿宋简体"/>
                <w:bCs/>
                <w:color w:val="000000"/>
                <w:sz w:val="24"/>
              </w:rPr>
              <w:t>合约挂牌之日起</w:t>
            </w:r>
          </w:p>
        </w:tc>
        <w:tc>
          <w:tcPr>
            <w:tcW w:w="37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方正仿宋简体"/>
                <w:bCs/>
                <w:color w:val="000000"/>
                <w:sz w:val="24"/>
              </w:rPr>
            </w:pPr>
            <w:r>
              <w:rPr>
                <w:rFonts w:eastAsia="方正仿宋简体"/>
                <w:bCs/>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4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方正仿宋简体"/>
                <w:bCs/>
                <w:color w:val="000000"/>
                <w:sz w:val="24"/>
              </w:rPr>
            </w:pPr>
            <w:r>
              <w:rPr>
                <w:rFonts w:eastAsia="方正仿宋简体"/>
                <w:bCs/>
                <w:color w:val="000000"/>
                <w:sz w:val="24"/>
              </w:rPr>
              <w:t>交割月前第一月的第一个交易日起</w:t>
            </w:r>
          </w:p>
        </w:tc>
        <w:tc>
          <w:tcPr>
            <w:tcW w:w="37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方正仿宋简体"/>
                <w:bCs/>
                <w:color w:val="000000"/>
                <w:sz w:val="24"/>
              </w:rPr>
            </w:pPr>
            <w:r>
              <w:rPr>
                <w:rFonts w:eastAsia="方正仿宋简体"/>
                <w:bCs/>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4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方正仿宋简体"/>
                <w:bCs/>
                <w:color w:val="000000"/>
                <w:sz w:val="24"/>
              </w:rPr>
            </w:pPr>
            <w:r>
              <w:rPr>
                <w:rFonts w:eastAsia="方正仿宋简体"/>
                <w:bCs/>
                <w:color w:val="000000"/>
                <w:sz w:val="24"/>
              </w:rPr>
              <w:t>交割月份第一个交易日起</w:t>
            </w:r>
          </w:p>
        </w:tc>
        <w:tc>
          <w:tcPr>
            <w:tcW w:w="37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方正仿宋简体"/>
                <w:bCs/>
                <w:color w:val="000000"/>
                <w:sz w:val="24"/>
              </w:rPr>
            </w:pPr>
            <w:r>
              <w:rPr>
                <w:rFonts w:eastAsia="方正仿宋简体"/>
                <w:bCs/>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4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方正仿宋简体"/>
                <w:bCs/>
                <w:color w:val="000000"/>
                <w:sz w:val="24"/>
              </w:rPr>
            </w:pPr>
            <w:r>
              <w:rPr>
                <w:rFonts w:eastAsia="方正仿宋简体"/>
                <w:bCs/>
                <w:color w:val="000000"/>
                <w:sz w:val="24"/>
              </w:rPr>
              <w:t>最后交易日前二个交易日起</w:t>
            </w:r>
          </w:p>
        </w:tc>
        <w:tc>
          <w:tcPr>
            <w:tcW w:w="37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方正仿宋简体"/>
                <w:bCs/>
                <w:color w:val="000000"/>
                <w:sz w:val="24"/>
              </w:rPr>
            </w:pPr>
            <w:r>
              <w:rPr>
                <w:rFonts w:eastAsia="方正仿宋简体"/>
                <w:bCs/>
                <w:color w:val="000000"/>
                <w:sz w:val="24"/>
              </w:rPr>
              <w:t>20%</w:t>
            </w:r>
          </w:p>
        </w:tc>
      </w:tr>
    </w:tbl>
    <w:p>
      <w:pPr>
        <w:spacing w:line="560" w:lineRule="exact"/>
        <w:ind w:firstLine="602" w:firstLineChars="200"/>
        <w:rPr>
          <w:rFonts w:eastAsia="方正仿宋简体"/>
          <w:sz w:val="30"/>
          <w:szCs w:val="30"/>
        </w:rPr>
      </w:pPr>
      <w:r>
        <w:rPr>
          <w:rFonts w:eastAsia="方正仿宋简体"/>
          <w:b/>
          <w:sz w:val="30"/>
          <w:szCs w:val="30"/>
        </w:rPr>
        <w:t>第四十</w:t>
      </w:r>
      <w:r>
        <w:rPr>
          <w:rFonts w:hint="eastAsia" w:eastAsia="方正仿宋简体"/>
          <w:b/>
          <w:sz w:val="30"/>
          <w:szCs w:val="30"/>
        </w:rPr>
        <w:t>八</w:t>
      </w:r>
      <w:r>
        <w:rPr>
          <w:rFonts w:eastAsia="方正仿宋简体"/>
          <w:b/>
          <w:sz w:val="30"/>
          <w:szCs w:val="30"/>
        </w:rPr>
        <w:t xml:space="preserve">条 </w:t>
      </w:r>
      <w:r>
        <w:rPr>
          <w:rFonts w:eastAsia="方正仿宋简体"/>
          <w:sz w:val="30"/>
          <w:szCs w:val="30"/>
        </w:rPr>
        <w:t>不锈钢期货合约涨跌停板幅度为上一交易日结算价±4%。</w:t>
      </w:r>
    </w:p>
    <w:p>
      <w:pPr>
        <w:spacing w:line="560" w:lineRule="exact"/>
        <w:ind w:firstLine="602" w:firstLineChars="200"/>
        <w:rPr>
          <w:rFonts w:eastAsia="方正仿宋简体"/>
          <w:bCs/>
          <w:color w:val="000000"/>
          <w:sz w:val="24"/>
        </w:rPr>
      </w:pPr>
      <w:r>
        <w:rPr>
          <w:rFonts w:eastAsia="方正仿宋简体"/>
          <w:b/>
          <w:sz w:val="30"/>
          <w:szCs w:val="30"/>
        </w:rPr>
        <w:t>第四十</w:t>
      </w:r>
      <w:r>
        <w:rPr>
          <w:rFonts w:hint="eastAsia" w:eastAsia="方正仿宋简体"/>
          <w:b/>
          <w:sz w:val="30"/>
          <w:szCs w:val="30"/>
        </w:rPr>
        <w:t>九</w:t>
      </w:r>
      <w:r>
        <w:rPr>
          <w:rFonts w:eastAsia="方正仿宋简体"/>
          <w:b/>
          <w:sz w:val="30"/>
          <w:szCs w:val="30"/>
        </w:rPr>
        <w:t>条</w:t>
      </w:r>
      <w:r>
        <w:rPr>
          <w:rFonts w:eastAsia="方正仿宋简体"/>
          <w:sz w:val="30"/>
          <w:szCs w:val="30"/>
        </w:rPr>
        <w:t xml:space="preserve"> 不锈钢期货合约在不同时期的限仓比例和限仓数额具体规定如下：</w:t>
      </w:r>
    </w:p>
    <w:p>
      <w:pPr>
        <w:spacing w:line="560" w:lineRule="exact"/>
        <w:ind w:firstLine="480" w:firstLineChars="200"/>
        <w:rPr>
          <w:rFonts w:eastAsia="方正仿宋简体"/>
          <w:bCs/>
          <w:color w:val="000000"/>
          <w:sz w:val="24"/>
        </w:rPr>
      </w:pPr>
      <w:r>
        <w:rPr>
          <w:rFonts w:eastAsia="方正仿宋简体"/>
          <w:bCs/>
          <w:color w:val="000000"/>
          <w:sz w:val="24"/>
        </w:rPr>
        <w:t>（单位：手）</w:t>
      </w:r>
    </w:p>
    <w:tbl>
      <w:tblPr>
        <w:tblStyle w:val="4"/>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3"/>
        <w:gridCol w:w="1600"/>
        <w:gridCol w:w="1070"/>
        <w:gridCol w:w="1187"/>
        <w:gridCol w:w="856"/>
        <w:gridCol w:w="955"/>
        <w:gridCol w:w="1001"/>
        <w:gridCol w:w="71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36" w:hRule="atLeast"/>
          <w:jc w:val="center"/>
        </w:trPr>
        <w:tc>
          <w:tcPr>
            <w:tcW w:w="582" w:type="pct"/>
            <w:vMerge w:val="restar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p>
        </w:tc>
        <w:tc>
          <w:tcPr>
            <w:tcW w:w="2307" w:type="pct"/>
            <w:gridSpan w:val="3"/>
            <w:tcBorders>
              <w:top w:val="single" w:color="auto" w:sz="6" w:space="0"/>
              <w:left w:val="single" w:color="auto" w:sz="4" w:space="0"/>
              <w:bottom w:val="single" w:color="auto" w:sz="6" w:space="0"/>
              <w:right w:val="single" w:color="auto" w:sz="4"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合约挂牌至交割月前第二月</w:t>
            </w:r>
          </w:p>
          <w:p>
            <w:pPr>
              <w:widowControl/>
              <w:spacing w:line="560" w:lineRule="exact"/>
              <w:jc w:val="center"/>
              <w:rPr>
                <w:rFonts w:eastAsia="方正仿宋简体"/>
                <w:kern w:val="0"/>
                <w:sz w:val="24"/>
              </w:rPr>
            </w:pPr>
            <w:r>
              <w:rPr>
                <w:rFonts w:eastAsia="方正仿宋简体"/>
                <w:bCs/>
                <w:color w:val="000000"/>
                <w:kern w:val="0"/>
                <w:sz w:val="24"/>
              </w:rPr>
              <w:t>的最后一个交易日</w:t>
            </w:r>
          </w:p>
        </w:tc>
        <w:tc>
          <w:tcPr>
            <w:tcW w:w="1083" w:type="pct"/>
            <w:gridSpan w:val="2"/>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交割月前</w:t>
            </w:r>
          </w:p>
          <w:p>
            <w:pPr>
              <w:widowControl/>
              <w:spacing w:line="560" w:lineRule="exact"/>
              <w:jc w:val="center"/>
              <w:rPr>
                <w:rFonts w:eastAsia="方正仿宋简体"/>
                <w:kern w:val="0"/>
                <w:sz w:val="24"/>
              </w:rPr>
            </w:pPr>
            <w:r>
              <w:rPr>
                <w:rFonts w:eastAsia="方正仿宋简体"/>
                <w:bCs/>
                <w:color w:val="000000"/>
                <w:kern w:val="0"/>
                <w:sz w:val="24"/>
              </w:rPr>
              <w:t>第一月</w:t>
            </w:r>
          </w:p>
        </w:tc>
        <w:tc>
          <w:tcPr>
            <w:tcW w:w="1026" w:type="pct"/>
            <w:gridSpan w:val="2"/>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交割月份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50" w:hRule="atLeast"/>
          <w:jc w:val="center"/>
        </w:trPr>
        <w:tc>
          <w:tcPr>
            <w:tcW w:w="582" w:type="pct"/>
            <w:vMerge w:val="continue"/>
            <w:tcBorders>
              <w:top w:val="single" w:color="auto" w:sz="6" w:space="0"/>
              <w:left w:val="single" w:color="auto" w:sz="6" w:space="0"/>
              <w:bottom w:val="single" w:color="auto" w:sz="6" w:space="0"/>
              <w:right w:val="single" w:color="auto" w:sz="6" w:space="0"/>
            </w:tcBorders>
            <w:vAlign w:val="center"/>
          </w:tcPr>
          <w:p>
            <w:pPr>
              <w:widowControl/>
              <w:spacing w:line="560" w:lineRule="exact"/>
              <w:jc w:val="left"/>
              <w:rPr>
                <w:rFonts w:eastAsia="方正仿宋简体"/>
                <w:kern w:val="0"/>
                <w:sz w:val="24"/>
              </w:rPr>
            </w:pPr>
          </w:p>
        </w:tc>
        <w:tc>
          <w:tcPr>
            <w:tcW w:w="957" w:type="pct"/>
            <w:vMerge w:val="restart"/>
            <w:tcBorders>
              <w:top w:val="single" w:color="auto" w:sz="6" w:space="0"/>
              <w:left w:val="single" w:color="auto" w:sz="4" w:space="0"/>
              <w:bottom w:val="single" w:color="auto" w:sz="6" w:space="0"/>
              <w:right w:val="single" w:color="auto" w:sz="4"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某一期</w:t>
            </w:r>
          </w:p>
          <w:p>
            <w:pPr>
              <w:widowControl/>
              <w:spacing w:line="560" w:lineRule="exact"/>
              <w:jc w:val="center"/>
              <w:rPr>
                <w:rFonts w:eastAsia="方正仿宋简体"/>
                <w:kern w:val="0"/>
                <w:sz w:val="24"/>
              </w:rPr>
            </w:pPr>
            <w:r>
              <w:rPr>
                <w:rFonts w:eastAsia="方正仿宋简体"/>
                <w:bCs/>
                <w:color w:val="000000"/>
                <w:kern w:val="0"/>
                <w:sz w:val="24"/>
              </w:rPr>
              <w:t>货合约</w:t>
            </w:r>
          </w:p>
          <w:p>
            <w:pPr>
              <w:widowControl/>
              <w:spacing w:line="560" w:lineRule="exact"/>
              <w:jc w:val="center"/>
              <w:rPr>
                <w:rFonts w:eastAsia="方正仿宋简体"/>
                <w:kern w:val="0"/>
                <w:sz w:val="24"/>
              </w:rPr>
            </w:pPr>
            <w:r>
              <w:rPr>
                <w:rFonts w:eastAsia="方正仿宋简体"/>
                <w:bCs/>
                <w:color w:val="000000"/>
                <w:kern w:val="0"/>
                <w:sz w:val="24"/>
              </w:rPr>
              <w:t>持仓量</w:t>
            </w:r>
          </w:p>
        </w:tc>
        <w:tc>
          <w:tcPr>
            <w:tcW w:w="1350" w:type="pct"/>
            <w:gridSpan w:val="2"/>
            <w:tcBorders>
              <w:top w:val="single" w:color="auto" w:sz="6" w:space="0"/>
              <w:left w:val="single" w:color="auto" w:sz="4" w:space="0"/>
              <w:bottom w:val="single" w:color="auto" w:sz="6" w:space="0"/>
              <w:right w:val="single" w:color="auto" w:sz="4"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限仓比例（</w:t>
            </w:r>
            <w:r>
              <w:rPr>
                <w:rFonts w:hint="eastAsia" w:eastAsia="方正仿宋简体"/>
                <w:bCs/>
                <w:color w:val="000000"/>
                <w:kern w:val="0"/>
                <w:sz w:val="24"/>
              </w:rPr>
              <w:t>%</w:t>
            </w:r>
            <w:r>
              <w:rPr>
                <w:rFonts w:eastAsia="方正仿宋简体"/>
                <w:bCs/>
                <w:color w:val="000000"/>
                <w:kern w:val="0"/>
                <w:sz w:val="24"/>
              </w:rPr>
              <w:t>）</w:t>
            </w:r>
          </w:p>
          <w:p>
            <w:pPr>
              <w:widowControl/>
              <w:spacing w:line="560" w:lineRule="exact"/>
              <w:jc w:val="center"/>
              <w:rPr>
                <w:rFonts w:hint="eastAsia" w:eastAsia="方正仿宋简体"/>
                <w:kern w:val="0"/>
                <w:sz w:val="24"/>
                <w:lang w:eastAsia="zh-CN"/>
              </w:rPr>
            </w:pPr>
            <w:r>
              <w:rPr>
                <w:rFonts w:eastAsia="方正仿宋简体"/>
                <w:bCs/>
                <w:color w:val="000000"/>
                <w:kern w:val="0"/>
                <w:sz w:val="24"/>
              </w:rPr>
              <w:t>和限仓数额</w:t>
            </w:r>
            <w:r>
              <w:rPr>
                <w:rFonts w:hint="eastAsia" w:eastAsia="方正仿宋简体"/>
                <w:bCs/>
                <w:color w:val="000000"/>
                <w:kern w:val="0"/>
                <w:sz w:val="24"/>
                <w:lang w:eastAsia="zh-CN"/>
              </w:rPr>
              <w:t>（手）</w:t>
            </w:r>
          </w:p>
        </w:tc>
        <w:tc>
          <w:tcPr>
            <w:tcW w:w="1083" w:type="pct"/>
            <w:gridSpan w:val="2"/>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hint="eastAsia" w:eastAsia="方正仿宋简体"/>
                <w:kern w:val="0"/>
                <w:sz w:val="24"/>
                <w:lang w:eastAsia="zh-CN"/>
              </w:rPr>
            </w:pPr>
            <w:r>
              <w:rPr>
                <w:rFonts w:eastAsia="方正仿宋简体"/>
                <w:bCs/>
                <w:color w:val="000000"/>
                <w:kern w:val="0"/>
                <w:sz w:val="24"/>
              </w:rPr>
              <w:t>限仓数额</w:t>
            </w:r>
            <w:r>
              <w:rPr>
                <w:rFonts w:hint="eastAsia" w:eastAsia="方正仿宋简体"/>
                <w:bCs/>
                <w:color w:val="000000"/>
                <w:kern w:val="0"/>
                <w:sz w:val="24"/>
                <w:lang w:eastAsia="zh-CN"/>
              </w:rPr>
              <w:t>（手）</w:t>
            </w:r>
          </w:p>
        </w:tc>
        <w:tc>
          <w:tcPr>
            <w:tcW w:w="1026" w:type="pct"/>
            <w:gridSpan w:val="2"/>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hint="eastAsia" w:eastAsia="方正仿宋简体"/>
                <w:kern w:val="0"/>
                <w:sz w:val="24"/>
                <w:lang w:eastAsia="zh-CN"/>
              </w:rPr>
            </w:pPr>
            <w:r>
              <w:rPr>
                <w:rFonts w:eastAsia="方正仿宋简体"/>
                <w:bCs/>
                <w:color w:val="000000"/>
                <w:kern w:val="0"/>
                <w:sz w:val="24"/>
              </w:rPr>
              <w:t>限仓数额</w:t>
            </w:r>
            <w:r>
              <w:rPr>
                <w:rFonts w:hint="eastAsia" w:eastAsia="方正仿宋简体"/>
                <w:bCs/>
                <w:color w:val="000000"/>
                <w:kern w:val="0"/>
                <w:sz w:val="24"/>
                <w:lang w:eastAsia="zh-CN"/>
              </w:rPr>
              <w:t>（手）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534" w:hRule="atLeast"/>
          <w:jc w:val="center"/>
        </w:trPr>
        <w:tc>
          <w:tcPr>
            <w:tcW w:w="582" w:type="pct"/>
            <w:vMerge w:val="continue"/>
            <w:tcBorders>
              <w:top w:val="single" w:color="auto" w:sz="6" w:space="0"/>
              <w:left w:val="single" w:color="auto" w:sz="6" w:space="0"/>
              <w:bottom w:val="single" w:color="auto" w:sz="6" w:space="0"/>
              <w:right w:val="single" w:color="auto" w:sz="6" w:space="0"/>
            </w:tcBorders>
            <w:vAlign w:val="center"/>
          </w:tcPr>
          <w:p>
            <w:pPr>
              <w:widowControl/>
              <w:spacing w:line="560" w:lineRule="exact"/>
              <w:jc w:val="left"/>
              <w:rPr>
                <w:rFonts w:eastAsia="方正仿宋简体"/>
                <w:kern w:val="0"/>
                <w:sz w:val="24"/>
              </w:rPr>
            </w:pPr>
          </w:p>
        </w:tc>
        <w:tc>
          <w:tcPr>
            <w:tcW w:w="957" w:type="pct"/>
            <w:vMerge w:val="continue"/>
            <w:tcBorders>
              <w:top w:val="single" w:color="auto" w:sz="6" w:space="0"/>
              <w:left w:val="single" w:color="auto" w:sz="4" w:space="0"/>
              <w:bottom w:val="single" w:color="auto" w:sz="6" w:space="0"/>
              <w:right w:val="single" w:color="auto" w:sz="4" w:space="0"/>
            </w:tcBorders>
            <w:vAlign w:val="center"/>
          </w:tcPr>
          <w:p>
            <w:pPr>
              <w:widowControl/>
              <w:spacing w:line="560" w:lineRule="exact"/>
              <w:jc w:val="left"/>
              <w:rPr>
                <w:rFonts w:eastAsia="方正仿宋简体"/>
                <w:kern w:val="0"/>
                <w:sz w:val="24"/>
              </w:rPr>
            </w:pPr>
          </w:p>
        </w:tc>
        <w:tc>
          <w:tcPr>
            <w:tcW w:w="640"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非期货</w:t>
            </w:r>
          </w:p>
          <w:p>
            <w:pPr>
              <w:widowControl/>
              <w:spacing w:line="560" w:lineRule="exact"/>
              <w:jc w:val="center"/>
              <w:rPr>
                <w:rFonts w:eastAsia="方正仿宋简体"/>
                <w:kern w:val="0"/>
                <w:sz w:val="24"/>
              </w:rPr>
            </w:pPr>
            <w:r>
              <w:rPr>
                <w:rFonts w:eastAsia="方正仿宋简体"/>
                <w:bCs/>
                <w:color w:val="000000"/>
                <w:kern w:val="0"/>
                <w:sz w:val="24"/>
              </w:rPr>
              <w:t>公司</w:t>
            </w:r>
          </w:p>
          <w:p>
            <w:pPr>
              <w:widowControl/>
              <w:spacing w:line="560" w:lineRule="exact"/>
              <w:jc w:val="center"/>
              <w:rPr>
                <w:rFonts w:eastAsia="方正仿宋简体"/>
                <w:kern w:val="0"/>
                <w:sz w:val="24"/>
              </w:rPr>
            </w:pPr>
            <w:r>
              <w:rPr>
                <w:rFonts w:eastAsia="方正仿宋简体"/>
                <w:bCs/>
                <w:color w:val="000000"/>
                <w:kern w:val="0"/>
                <w:sz w:val="24"/>
              </w:rPr>
              <w:t>会员</w:t>
            </w:r>
          </w:p>
        </w:tc>
        <w:tc>
          <w:tcPr>
            <w:tcW w:w="710"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客户</w:t>
            </w:r>
          </w:p>
        </w:tc>
        <w:tc>
          <w:tcPr>
            <w:tcW w:w="512"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非期货公司</w:t>
            </w:r>
          </w:p>
          <w:p>
            <w:pPr>
              <w:widowControl/>
              <w:spacing w:line="560" w:lineRule="exact"/>
              <w:jc w:val="center"/>
              <w:rPr>
                <w:rFonts w:eastAsia="方正仿宋简体"/>
                <w:kern w:val="0"/>
                <w:sz w:val="24"/>
              </w:rPr>
            </w:pPr>
            <w:r>
              <w:rPr>
                <w:rFonts w:eastAsia="方正仿宋简体"/>
                <w:bCs/>
                <w:color w:val="000000"/>
                <w:kern w:val="0"/>
                <w:sz w:val="24"/>
              </w:rPr>
              <w:t>会员</w:t>
            </w:r>
          </w:p>
        </w:tc>
        <w:tc>
          <w:tcPr>
            <w:tcW w:w="571"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客户</w:t>
            </w:r>
          </w:p>
        </w:tc>
        <w:tc>
          <w:tcPr>
            <w:tcW w:w="598"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非期货</w:t>
            </w:r>
          </w:p>
          <w:p>
            <w:pPr>
              <w:widowControl/>
              <w:spacing w:line="560" w:lineRule="exact"/>
              <w:jc w:val="center"/>
              <w:rPr>
                <w:rFonts w:eastAsia="方正仿宋简体"/>
                <w:kern w:val="0"/>
                <w:sz w:val="24"/>
              </w:rPr>
            </w:pPr>
            <w:r>
              <w:rPr>
                <w:rFonts w:eastAsia="方正仿宋简体"/>
                <w:bCs/>
                <w:color w:val="000000"/>
                <w:kern w:val="0"/>
                <w:sz w:val="24"/>
              </w:rPr>
              <w:t>公司</w:t>
            </w:r>
          </w:p>
          <w:p>
            <w:pPr>
              <w:widowControl/>
              <w:spacing w:line="560" w:lineRule="exact"/>
              <w:jc w:val="center"/>
              <w:rPr>
                <w:rFonts w:eastAsia="方正仿宋简体"/>
                <w:kern w:val="0"/>
                <w:sz w:val="24"/>
              </w:rPr>
            </w:pPr>
            <w:r>
              <w:rPr>
                <w:rFonts w:eastAsia="方正仿宋简体"/>
                <w:bCs/>
                <w:color w:val="000000"/>
                <w:kern w:val="0"/>
                <w:sz w:val="24"/>
              </w:rPr>
              <w:t>会员</w:t>
            </w:r>
          </w:p>
        </w:tc>
        <w:tc>
          <w:tcPr>
            <w:tcW w:w="427"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客户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81" w:hRule="atLeast"/>
          <w:jc w:val="center"/>
        </w:trPr>
        <w:tc>
          <w:tcPr>
            <w:tcW w:w="582" w:type="pct"/>
            <w:vMerge w:val="restar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不锈钢</w:t>
            </w:r>
          </w:p>
        </w:tc>
        <w:tc>
          <w:tcPr>
            <w:tcW w:w="957" w:type="pct"/>
            <w:tcBorders>
              <w:top w:val="single" w:color="auto" w:sz="6" w:space="0"/>
              <w:left w:val="single" w:color="auto" w:sz="4" w:space="0"/>
              <w:bottom w:val="single" w:color="auto" w:sz="6" w:space="0"/>
              <w:right w:val="single" w:color="auto" w:sz="4" w:space="0"/>
            </w:tcBorders>
            <w:vAlign w:val="center"/>
          </w:tcPr>
          <w:p>
            <w:pPr>
              <w:widowControl/>
              <w:spacing w:line="560" w:lineRule="exact"/>
              <w:jc w:val="center"/>
              <w:rPr>
                <w:rFonts w:eastAsia="方正仿宋简体"/>
                <w:kern w:val="0"/>
                <w:sz w:val="24"/>
              </w:rPr>
            </w:pPr>
            <w:r>
              <w:rPr>
                <w:rFonts w:hint="eastAsia" w:eastAsia="方正仿宋简体"/>
                <w:bCs/>
                <w:color w:val="000000"/>
                <w:kern w:val="0"/>
                <w:sz w:val="24"/>
              </w:rPr>
              <w:t>≥</w:t>
            </w:r>
            <w:r>
              <w:rPr>
                <w:rFonts w:eastAsia="方正仿宋简体"/>
                <w:bCs/>
                <w:color w:val="000000"/>
                <w:kern w:val="0"/>
                <w:sz w:val="24"/>
              </w:rPr>
              <w:t>7万手</w:t>
            </w:r>
          </w:p>
        </w:tc>
        <w:tc>
          <w:tcPr>
            <w:tcW w:w="640"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10</w:t>
            </w:r>
          </w:p>
        </w:tc>
        <w:tc>
          <w:tcPr>
            <w:tcW w:w="710"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10</w:t>
            </w:r>
          </w:p>
        </w:tc>
        <w:tc>
          <w:tcPr>
            <w:tcW w:w="512" w:type="pct"/>
            <w:vMerge w:val="restar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1800</w:t>
            </w:r>
          </w:p>
        </w:tc>
        <w:tc>
          <w:tcPr>
            <w:tcW w:w="571" w:type="pct"/>
            <w:vMerge w:val="restar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1800</w:t>
            </w:r>
          </w:p>
        </w:tc>
        <w:tc>
          <w:tcPr>
            <w:tcW w:w="598" w:type="pct"/>
            <w:vMerge w:val="restar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kern w:val="0"/>
                <w:sz w:val="24"/>
              </w:rPr>
              <w:t>360</w:t>
            </w:r>
          </w:p>
        </w:tc>
        <w:tc>
          <w:tcPr>
            <w:tcW w:w="427" w:type="pct"/>
            <w:vMerge w:val="restar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kern w:val="0"/>
                <w:sz w:val="24"/>
              </w:rPr>
              <w:t>360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81" w:hRule="atLeast"/>
          <w:jc w:val="center"/>
        </w:trPr>
        <w:tc>
          <w:tcPr>
            <w:tcW w:w="582" w:type="pct"/>
            <w:vMerge w:val="continue"/>
            <w:tcBorders>
              <w:top w:val="single" w:color="auto" w:sz="6" w:space="0"/>
              <w:left w:val="single" w:color="auto" w:sz="6" w:space="0"/>
              <w:bottom w:val="single" w:color="auto" w:sz="6" w:space="0"/>
              <w:right w:val="single" w:color="auto" w:sz="6" w:space="0"/>
            </w:tcBorders>
            <w:vAlign w:val="center"/>
          </w:tcPr>
          <w:p>
            <w:pPr>
              <w:widowControl/>
              <w:spacing w:line="560" w:lineRule="exact"/>
              <w:jc w:val="left"/>
              <w:rPr>
                <w:rFonts w:eastAsia="方正仿宋简体"/>
                <w:kern w:val="0"/>
                <w:sz w:val="24"/>
              </w:rPr>
            </w:pPr>
          </w:p>
        </w:tc>
        <w:tc>
          <w:tcPr>
            <w:tcW w:w="957" w:type="pct"/>
            <w:tcBorders>
              <w:top w:val="single" w:color="auto" w:sz="6" w:space="0"/>
              <w:left w:val="single" w:color="auto" w:sz="4" w:space="0"/>
              <w:bottom w:val="single" w:color="auto" w:sz="6" w:space="0"/>
              <w:right w:val="single" w:color="auto" w:sz="4" w:space="0"/>
            </w:tcBorders>
            <w:vAlign w:val="center"/>
          </w:tcPr>
          <w:p>
            <w:pPr>
              <w:widowControl/>
              <w:spacing w:line="560" w:lineRule="exact"/>
              <w:jc w:val="center"/>
              <w:rPr>
                <w:rFonts w:eastAsia="方正仿宋简体"/>
                <w:kern w:val="0"/>
                <w:sz w:val="24"/>
              </w:rPr>
            </w:pPr>
            <w:r>
              <w:rPr>
                <w:rFonts w:hint="eastAsia" w:eastAsia="方正仿宋简体"/>
                <w:bCs/>
                <w:color w:val="000000"/>
                <w:kern w:val="0"/>
                <w:sz w:val="24"/>
              </w:rPr>
              <w:t>＜</w:t>
            </w:r>
            <w:r>
              <w:rPr>
                <w:rFonts w:eastAsia="方正仿宋简体"/>
                <w:bCs/>
                <w:color w:val="000000"/>
                <w:kern w:val="0"/>
                <w:sz w:val="24"/>
              </w:rPr>
              <w:t>7万手</w:t>
            </w:r>
          </w:p>
        </w:tc>
        <w:tc>
          <w:tcPr>
            <w:tcW w:w="640"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7000</w:t>
            </w:r>
          </w:p>
        </w:tc>
        <w:tc>
          <w:tcPr>
            <w:tcW w:w="710" w:type="pct"/>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eastAsia="方正仿宋简体"/>
                <w:kern w:val="0"/>
                <w:sz w:val="24"/>
              </w:rPr>
            </w:pPr>
            <w:r>
              <w:rPr>
                <w:rFonts w:eastAsia="方正仿宋简体"/>
                <w:bCs/>
                <w:color w:val="000000"/>
                <w:kern w:val="0"/>
                <w:sz w:val="24"/>
              </w:rPr>
              <w:t>7000</w:t>
            </w:r>
          </w:p>
        </w:tc>
        <w:tc>
          <w:tcPr>
            <w:tcW w:w="512" w:type="pct"/>
            <w:vMerge w:val="continue"/>
            <w:tcBorders>
              <w:top w:val="single" w:color="auto" w:sz="6" w:space="0"/>
              <w:left w:val="single" w:color="auto" w:sz="6" w:space="0"/>
              <w:bottom w:val="single" w:color="auto" w:sz="6" w:space="0"/>
              <w:right w:val="single" w:color="auto" w:sz="6" w:space="0"/>
            </w:tcBorders>
            <w:vAlign w:val="center"/>
          </w:tcPr>
          <w:p>
            <w:pPr>
              <w:widowControl/>
              <w:spacing w:line="560" w:lineRule="exact"/>
              <w:jc w:val="left"/>
              <w:rPr>
                <w:rFonts w:eastAsia="方正仿宋简体"/>
                <w:kern w:val="0"/>
                <w:sz w:val="24"/>
              </w:rPr>
            </w:pPr>
          </w:p>
        </w:tc>
        <w:tc>
          <w:tcPr>
            <w:tcW w:w="571" w:type="pct"/>
            <w:vMerge w:val="continue"/>
            <w:tcBorders>
              <w:top w:val="single" w:color="auto" w:sz="6" w:space="0"/>
              <w:left w:val="single" w:color="auto" w:sz="6" w:space="0"/>
              <w:bottom w:val="single" w:color="auto" w:sz="6" w:space="0"/>
              <w:right w:val="single" w:color="auto" w:sz="6" w:space="0"/>
            </w:tcBorders>
            <w:vAlign w:val="center"/>
          </w:tcPr>
          <w:p>
            <w:pPr>
              <w:widowControl/>
              <w:spacing w:line="560" w:lineRule="exact"/>
              <w:jc w:val="left"/>
              <w:rPr>
                <w:rFonts w:eastAsia="方正仿宋简体"/>
                <w:kern w:val="0"/>
                <w:sz w:val="24"/>
              </w:rPr>
            </w:pPr>
          </w:p>
        </w:tc>
        <w:tc>
          <w:tcPr>
            <w:tcW w:w="598" w:type="pct"/>
            <w:vMerge w:val="continue"/>
            <w:tcBorders>
              <w:top w:val="single" w:color="auto" w:sz="6" w:space="0"/>
              <w:left w:val="single" w:color="auto" w:sz="6" w:space="0"/>
              <w:bottom w:val="single" w:color="auto" w:sz="6" w:space="0"/>
              <w:right w:val="single" w:color="auto" w:sz="6" w:space="0"/>
            </w:tcBorders>
            <w:vAlign w:val="center"/>
          </w:tcPr>
          <w:p>
            <w:pPr>
              <w:widowControl/>
              <w:spacing w:line="560" w:lineRule="exact"/>
              <w:jc w:val="left"/>
              <w:rPr>
                <w:rFonts w:eastAsia="方正仿宋简体"/>
                <w:kern w:val="0"/>
                <w:sz w:val="24"/>
              </w:rPr>
            </w:pPr>
          </w:p>
        </w:tc>
        <w:tc>
          <w:tcPr>
            <w:tcW w:w="427" w:type="pct"/>
            <w:vMerge w:val="continue"/>
            <w:tcBorders>
              <w:top w:val="single" w:color="auto" w:sz="6" w:space="0"/>
              <w:left w:val="single" w:color="auto" w:sz="6" w:space="0"/>
              <w:bottom w:val="single" w:color="auto" w:sz="6" w:space="0"/>
              <w:right w:val="single" w:color="auto" w:sz="6" w:space="0"/>
            </w:tcBorders>
            <w:vAlign w:val="center"/>
          </w:tcPr>
          <w:p>
            <w:pPr>
              <w:widowControl/>
              <w:spacing w:line="560" w:lineRule="exact"/>
              <w:jc w:val="left"/>
              <w:rPr>
                <w:rFonts w:eastAsia="方正仿宋简体"/>
                <w:kern w:val="0"/>
                <w:sz w:val="24"/>
              </w:rPr>
            </w:pPr>
          </w:p>
        </w:tc>
      </w:tr>
    </w:tbl>
    <w:p>
      <w:pPr>
        <w:spacing w:line="560" w:lineRule="exact"/>
        <w:rPr>
          <w:rFonts w:eastAsia="方正仿宋简体"/>
          <w:bCs/>
          <w:color w:val="000000"/>
          <w:sz w:val="24"/>
        </w:rPr>
      </w:pPr>
      <w:r>
        <w:rPr>
          <w:rFonts w:eastAsia="方正仿宋简体"/>
          <w:bCs/>
          <w:color w:val="000000"/>
          <w:sz w:val="24"/>
        </w:rPr>
        <w:t>注：表中持仓量、限仓数额为单向计算。</w:t>
      </w:r>
    </w:p>
    <w:p>
      <w:pPr>
        <w:spacing w:line="560" w:lineRule="exact"/>
        <w:ind w:firstLine="602" w:firstLineChars="200"/>
        <w:rPr>
          <w:rFonts w:eastAsia="方正仿宋简体"/>
          <w:sz w:val="30"/>
          <w:szCs w:val="30"/>
        </w:rPr>
      </w:pPr>
      <w:r>
        <w:rPr>
          <w:rFonts w:eastAsia="方正仿宋简体"/>
          <w:b/>
          <w:sz w:val="30"/>
          <w:szCs w:val="30"/>
        </w:rPr>
        <w:t>第</w:t>
      </w:r>
      <w:r>
        <w:rPr>
          <w:rFonts w:hint="eastAsia" w:eastAsia="方正仿宋简体"/>
          <w:b/>
          <w:sz w:val="30"/>
          <w:szCs w:val="30"/>
        </w:rPr>
        <w:t>五十</w:t>
      </w:r>
      <w:r>
        <w:rPr>
          <w:rFonts w:eastAsia="方正仿宋简体"/>
          <w:b/>
          <w:sz w:val="30"/>
          <w:szCs w:val="30"/>
        </w:rPr>
        <w:t>条</w:t>
      </w:r>
      <w:r>
        <w:rPr>
          <w:rFonts w:hint="eastAsia" w:eastAsia="方正仿宋简体"/>
          <w:b/>
          <w:sz w:val="30"/>
          <w:szCs w:val="30"/>
        </w:rPr>
        <w:t xml:space="preserve"> </w:t>
      </w:r>
      <w:r>
        <w:rPr>
          <w:rFonts w:eastAsia="方正仿宋简体"/>
          <w:sz w:val="30"/>
          <w:szCs w:val="30"/>
        </w:rPr>
        <w:t>交割月前</w:t>
      </w:r>
      <w:r>
        <w:rPr>
          <w:rFonts w:eastAsia="方正仿宋简体"/>
          <w:color w:val="000000"/>
          <w:sz w:val="30"/>
          <w:szCs w:val="30"/>
        </w:rPr>
        <w:t>第一月的最后一个交易日收盘前，</w:t>
      </w:r>
      <w:r>
        <w:rPr>
          <w:rFonts w:hint="eastAsia" w:eastAsia="方正仿宋简体"/>
          <w:color w:val="000000"/>
          <w:sz w:val="30"/>
          <w:szCs w:val="30"/>
        </w:rPr>
        <w:t>交易者（即客户、非期货公司会员，下同）</w:t>
      </w:r>
      <w:r>
        <w:rPr>
          <w:rFonts w:eastAsia="方正仿宋简体"/>
          <w:color w:val="000000"/>
          <w:sz w:val="30"/>
          <w:szCs w:val="30"/>
        </w:rPr>
        <w:t>在每个</w:t>
      </w:r>
      <w:r>
        <w:rPr>
          <w:rFonts w:hint="eastAsia" w:eastAsia="方正仿宋简体"/>
          <w:color w:val="000000"/>
          <w:sz w:val="30"/>
          <w:szCs w:val="30"/>
        </w:rPr>
        <w:t>交易编码上的</w:t>
      </w:r>
      <w:r>
        <w:rPr>
          <w:rFonts w:eastAsia="方正仿宋简体"/>
          <w:color w:val="000000"/>
          <w:sz w:val="30"/>
          <w:szCs w:val="30"/>
        </w:rPr>
        <w:t>不锈钢期货合约的</w:t>
      </w:r>
      <w:r>
        <w:rPr>
          <w:rFonts w:hint="eastAsia" w:eastAsia="方正仿宋简体"/>
          <w:color w:val="000000"/>
          <w:sz w:val="30"/>
          <w:szCs w:val="30"/>
        </w:rPr>
        <w:t>一般</w:t>
      </w:r>
      <w:r>
        <w:rPr>
          <w:rFonts w:eastAsia="方正仿宋简体"/>
          <w:color w:val="000000"/>
          <w:sz w:val="30"/>
          <w:szCs w:val="30"/>
        </w:rPr>
        <w:t>持仓应当调整为12手的整倍数（遇市场特殊情况无法按期调整的，可以顺延一天）；进入交割月后，不锈钢期货合约一般持仓应当是12手的整倍数，新开仓、平仓也应当是12手的整倍数。</w:t>
      </w:r>
    </w:p>
    <w:p>
      <w:pPr>
        <w:spacing w:line="560" w:lineRule="exact"/>
        <w:ind w:firstLine="602" w:firstLineChars="200"/>
        <w:rPr>
          <w:rFonts w:eastAsia="方正仿宋简体"/>
          <w:color w:val="000000"/>
          <w:sz w:val="30"/>
          <w:szCs w:val="30"/>
        </w:rPr>
      </w:pPr>
      <w:r>
        <w:rPr>
          <w:rFonts w:eastAsia="方正仿宋简体"/>
          <w:b/>
          <w:sz w:val="30"/>
          <w:szCs w:val="30"/>
        </w:rPr>
        <w:t>第</w:t>
      </w:r>
      <w:r>
        <w:rPr>
          <w:rFonts w:hint="eastAsia" w:eastAsia="方正仿宋简体"/>
          <w:b/>
          <w:sz w:val="30"/>
          <w:szCs w:val="30"/>
        </w:rPr>
        <w:t>五十一</w:t>
      </w:r>
      <w:r>
        <w:rPr>
          <w:rFonts w:eastAsia="方正仿宋简体"/>
          <w:b/>
          <w:sz w:val="30"/>
          <w:szCs w:val="30"/>
        </w:rPr>
        <w:t>条</w:t>
      </w:r>
      <w:r>
        <w:rPr>
          <w:rFonts w:hint="eastAsia" w:eastAsia="方正仿宋简体"/>
          <w:b/>
          <w:sz w:val="30"/>
          <w:szCs w:val="30"/>
        </w:rPr>
        <w:t xml:space="preserve"> </w:t>
      </w:r>
      <w:r>
        <w:rPr>
          <w:rFonts w:eastAsia="方正仿宋简体"/>
          <w:sz w:val="30"/>
          <w:szCs w:val="30"/>
        </w:rPr>
        <w:t>交易所对某一不锈钢期货合约采取强制减仓的，其申报平仓数量、</w:t>
      </w:r>
      <w:r>
        <w:rPr>
          <w:rFonts w:eastAsia="方正仿宋简体"/>
          <w:color w:val="000000"/>
          <w:sz w:val="30"/>
          <w:szCs w:val="30"/>
        </w:rPr>
        <w:t>持仓盈利</w:t>
      </w:r>
      <w:r>
        <w:rPr>
          <w:rFonts w:hint="eastAsia" w:eastAsia="方正仿宋简体"/>
          <w:color w:val="000000"/>
          <w:sz w:val="30"/>
          <w:szCs w:val="30"/>
        </w:rPr>
        <w:t>交易者</w:t>
      </w:r>
      <w:r>
        <w:rPr>
          <w:rFonts w:eastAsia="方正仿宋简体"/>
          <w:color w:val="000000"/>
          <w:sz w:val="30"/>
          <w:szCs w:val="30"/>
        </w:rPr>
        <w:t>平仓范围以及平仓数量的分配原则及方法按照下列方法确定：</w:t>
      </w:r>
    </w:p>
    <w:p>
      <w:pPr>
        <w:spacing w:line="560" w:lineRule="exact"/>
        <w:ind w:firstLine="600" w:firstLineChars="200"/>
        <w:rPr>
          <w:rFonts w:eastAsia="方正仿宋简体"/>
          <w:color w:val="000000"/>
          <w:sz w:val="30"/>
          <w:szCs w:val="30"/>
        </w:rPr>
      </w:pPr>
      <w:r>
        <w:rPr>
          <w:rFonts w:eastAsia="方正仿宋简体"/>
          <w:color w:val="000000"/>
          <w:sz w:val="30"/>
          <w:szCs w:val="30"/>
        </w:rPr>
        <w:t>（一）申报平仓数量。在强制减仓基准日收市后，已在计算机系统中以涨跌停板价申报无法成交的，且</w:t>
      </w:r>
      <w:r>
        <w:rPr>
          <w:rFonts w:hint="eastAsia" w:eastAsia="方正仿宋简体"/>
          <w:color w:val="000000"/>
          <w:sz w:val="30"/>
          <w:szCs w:val="30"/>
        </w:rPr>
        <w:t>交易者</w:t>
      </w:r>
      <w:r>
        <w:rPr>
          <w:rFonts w:eastAsia="方正仿宋简体"/>
          <w:color w:val="000000"/>
          <w:sz w:val="30"/>
          <w:szCs w:val="30"/>
        </w:rPr>
        <w:t>该不锈钢期货合约的单位净持仓亏损大于或者等于强制减仓基准日结算价6%的所有申报平仓数量的总和为平仓数量。</w:t>
      </w:r>
    </w:p>
    <w:p>
      <w:pPr>
        <w:autoSpaceDE w:val="0"/>
        <w:autoSpaceDN w:val="0"/>
        <w:adjustRightInd w:val="0"/>
        <w:spacing w:line="560" w:lineRule="exact"/>
        <w:ind w:firstLine="600" w:firstLineChars="200"/>
        <w:rPr>
          <w:rFonts w:eastAsia="方正仿宋简体"/>
          <w:color w:val="000000"/>
          <w:sz w:val="30"/>
          <w:szCs w:val="30"/>
        </w:rPr>
      </w:pPr>
      <w:r>
        <w:rPr>
          <w:rFonts w:eastAsia="方正仿宋简体"/>
          <w:color w:val="000000"/>
          <w:sz w:val="30"/>
          <w:szCs w:val="30"/>
        </w:rPr>
        <w:t>（二）持仓盈利</w:t>
      </w:r>
      <w:r>
        <w:rPr>
          <w:rFonts w:hint="eastAsia" w:eastAsia="方正仿宋简体"/>
          <w:color w:val="000000"/>
          <w:sz w:val="30"/>
          <w:szCs w:val="30"/>
        </w:rPr>
        <w:t>交易者</w:t>
      </w:r>
      <w:r>
        <w:rPr>
          <w:rFonts w:eastAsia="方正仿宋简体"/>
          <w:color w:val="000000"/>
          <w:sz w:val="30"/>
          <w:szCs w:val="30"/>
        </w:rPr>
        <w:t>平仓范围。根据《上海期货交易所风险控制管理办法》所述方法计算的</w:t>
      </w:r>
      <w:r>
        <w:rPr>
          <w:rFonts w:hint="eastAsia" w:eastAsia="方正仿宋简体"/>
          <w:color w:val="000000"/>
          <w:sz w:val="30"/>
          <w:szCs w:val="30"/>
        </w:rPr>
        <w:t>交易者</w:t>
      </w:r>
      <w:r>
        <w:rPr>
          <w:rFonts w:eastAsia="方正仿宋简体"/>
          <w:color w:val="000000"/>
          <w:sz w:val="30"/>
          <w:szCs w:val="30"/>
        </w:rPr>
        <w:t>单位净持仓盈利的</w:t>
      </w:r>
      <w:r>
        <w:rPr>
          <w:rFonts w:hint="eastAsia" w:eastAsia="方正仿宋简体"/>
          <w:color w:val="000000"/>
          <w:sz w:val="30"/>
          <w:szCs w:val="30"/>
        </w:rPr>
        <w:t>一般</w:t>
      </w:r>
      <w:r>
        <w:rPr>
          <w:rFonts w:eastAsia="方正仿宋简体"/>
          <w:color w:val="000000"/>
          <w:sz w:val="30"/>
          <w:szCs w:val="30"/>
        </w:rPr>
        <w:t>持仓以及</w:t>
      </w:r>
      <w:r>
        <w:rPr>
          <w:rFonts w:hint="eastAsia" w:eastAsia="方正仿宋简体"/>
          <w:color w:val="000000"/>
          <w:sz w:val="30"/>
          <w:szCs w:val="30"/>
        </w:rPr>
        <w:t>交易者</w:t>
      </w:r>
      <w:r>
        <w:rPr>
          <w:rFonts w:eastAsia="方正仿宋简体"/>
          <w:color w:val="000000"/>
          <w:sz w:val="30"/>
          <w:szCs w:val="30"/>
        </w:rPr>
        <w:t>单位净持仓盈利大于或者等于强制减仓基准日结算价6%的</w:t>
      </w:r>
      <w:r>
        <w:rPr>
          <w:rFonts w:hint="eastAsia" w:eastAsia="方正仿宋简体"/>
          <w:color w:val="000000"/>
          <w:sz w:val="30"/>
          <w:szCs w:val="30"/>
        </w:rPr>
        <w:t>套期保值交易持仓</w:t>
      </w:r>
      <w:r>
        <w:rPr>
          <w:rFonts w:eastAsia="方正仿宋简体"/>
          <w:color w:val="000000"/>
          <w:sz w:val="30"/>
          <w:szCs w:val="30"/>
        </w:rPr>
        <w:t>都列入平仓范围。</w:t>
      </w:r>
    </w:p>
    <w:p>
      <w:pPr>
        <w:autoSpaceDE w:val="0"/>
        <w:autoSpaceDN w:val="0"/>
        <w:adjustRightInd w:val="0"/>
        <w:spacing w:line="560" w:lineRule="exact"/>
        <w:ind w:firstLine="600" w:firstLineChars="200"/>
        <w:rPr>
          <w:rFonts w:eastAsia="方正仿宋简体"/>
          <w:color w:val="000000"/>
          <w:sz w:val="30"/>
          <w:szCs w:val="30"/>
        </w:rPr>
      </w:pPr>
      <w:r>
        <w:rPr>
          <w:rFonts w:eastAsia="方正仿宋简体"/>
          <w:color w:val="000000"/>
          <w:sz w:val="30"/>
          <w:szCs w:val="30"/>
        </w:rPr>
        <w:t>（三）平仓数量的分配原则。在平仓范围内按盈利的大小和</w:t>
      </w:r>
      <w:r>
        <w:rPr>
          <w:rFonts w:hint="eastAsia" w:eastAsia="方正仿宋简体"/>
          <w:color w:val="000000"/>
          <w:sz w:val="30"/>
          <w:szCs w:val="30"/>
        </w:rPr>
        <w:t>一般</w:t>
      </w:r>
      <w:r>
        <w:rPr>
          <w:rFonts w:eastAsia="方正仿宋简体"/>
          <w:color w:val="000000"/>
          <w:sz w:val="30"/>
          <w:szCs w:val="30"/>
        </w:rPr>
        <w:t>持仓与</w:t>
      </w:r>
      <w:r>
        <w:rPr>
          <w:rFonts w:hint="eastAsia" w:eastAsia="方正仿宋简体"/>
          <w:color w:val="000000"/>
          <w:sz w:val="30"/>
          <w:szCs w:val="30"/>
        </w:rPr>
        <w:t>套期保值交易持仓</w:t>
      </w:r>
      <w:r>
        <w:rPr>
          <w:rFonts w:eastAsia="方正仿宋简体"/>
          <w:color w:val="000000"/>
          <w:sz w:val="30"/>
          <w:szCs w:val="30"/>
        </w:rPr>
        <w:t>的不同分成四级，逐级进行分配。首先分配给属平仓范围内单位净持仓盈利大于或者等于强制减仓基准日结算价6%的</w:t>
      </w:r>
      <w:r>
        <w:rPr>
          <w:rFonts w:hint="eastAsia" w:eastAsia="方正仿宋简体"/>
          <w:color w:val="000000"/>
          <w:sz w:val="30"/>
          <w:szCs w:val="30"/>
        </w:rPr>
        <w:t>一般</w:t>
      </w:r>
      <w:r>
        <w:rPr>
          <w:rFonts w:eastAsia="方正仿宋简体"/>
          <w:color w:val="000000"/>
          <w:sz w:val="30"/>
          <w:szCs w:val="30"/>
        </w:rPr>
        <w:t>持仓；其次分配给单位净持仓盈利大于或者等于强制减仓基准日结算价3%，小于6%的</w:t>
      </w:r>
      <w:r>
        <w:rPr>
          <w:rFonts w:hint="eastAsia" w:eastAsia="方正仿宋简体"/>
          <w:color w:val="000000"/>
          <w:sz w:val="30"/>
          <w:szCs w:val="30"/>
        </w:rPr>
        <w:t>一般</w:t>
      </w:r>
      <w:r>
        <w:rPr>
          <w:rFonts w:eastAsia="方正仿宋简体"/>
          <w:color w:val="000000"/>
          <w:sz w:val="30"/>
          <w:szCs w:val="30"/>
        </w:rPr>
        <w:t>持仓；再次分配给单位净持仓盈利小于强制减仓基准日结算价3%的</w:t>
      </w:r>
      <w:r>
        <w:rPr>
          <w:rFonts w:hint="eastAsia" w:eastAsia="方正仿宋简体"/>
          <w:color w:val="000000"/>
          <w:sz w:val="30"/>
          <w:szCs w:val="30"/>
        </w:rPr>
        <w:t>一般</w:t>
      </w:r>
      <w:r>
        <w:rPr>
          <w:rFonts w:eastAsia="方正仿宋简体"/>
          <w:color w:val="000000"/>
          <w:sz w:val="30"/>
          <w:szCs w:val="30"/>
        </w:rPr>
        <w:t>持仓；最后分配给单位净持仓盈利大于或者等于强制减仓基准日结算价6%的</w:t>
      </w:r>
      <w:r>
        <w:rPr>
          <w:rFonts w:hint="eastAsia" w:eastAsia="方正仿宋简体"/>
          <w:color w:val="000000"/>
          <w:sz w:val="30"/>
          <w:szCs w:val="30"/>
        </w:rPr>
        <w:t>套期保值交易持仓</w:t>
      </w:r>
      <w:r>
        <w:rPr>
          <w:rFonts w:eastAsia="方正仿宋简体"/>
          <w:color w:val="000000"/>
          <w:sz w:val="30"/>
          <w:szCs w:val="30"/>
        </w:rPr>
        <w:t>。上述各级分配比例均按申报平仓数量（剩余申报平仓数量）与各级可平仓的盈利</w:t>
      </w:r>
      <w:r>
        <w:rPr>
          <w:rFonts w:hint="eastAsia" w:eastAsia="方正仿宋简体"/>
          <w:color w:val="000000"/>
          <w:sz w:val="30"/>
          <w:szCs w:val="30"/>
        </w:rPr>
        <w:t>持仓</w:t>
      </w:r>
      <w:r>
        <w:rPr>
          <w:rFonts w:eastAsia="方正仿宋简体"/>
          <w:color w:val="000000"/>
          <w:sz w:val="30"/>
          <w:szCs w:val="30"/>
        </w:rPr>
        <w:t>数量之比进行分配</w:t>
      </w:r>
      <w:r>
        <w:rPr>
          <w:rFonts w:hint="eastAsia" w:eastAsia="方正仿宋简体"/>
          <w:color w:val="000000"/>
          <w:sz w:val="30"/>
          <w:szCs w:val="30"/>
        </w:rPr>
        <w:t>。</w:t>
      </w:r>
    </w:p>
    <w:p>
      <w:pPr>
        <w:spacing w:line="560" w:lineRule="exact"/>
        <w:ind w:firstLine="600" w:firstLineChars="200"/>
        <w:rPr>
          <w:rFonts w:eastAsia="方正仿宋简体"/>
          <w:color w:val="000000"/>
          <w:sz w:val="30"/>
          <w:szCs w:val="30"/>
        </w:rPr>
      </w:pPr>
      <w:r>
        <w:rPr>
          <w:rFonts w:eastAsia="方正仿宋简体"/>
          <w:color w:val="000000"/>
          <w:sz w:val="30"/>
          <w:szCs w:val="30"/>
        </w:rPr>
        <w:t>（四）平仓数量的分配方法。盈利6%以上的</w:t>
      </w:r>
      <w:r>
        <w:rPr>
          <w:rFonts w:hint="eastAsia" w:eastAsia="方正仿宋简体"/>
          <w:color w:val="000000"/>
          <w:sz w:val="30"/>
          <w:szCs w:val="30"/>
        </w:rPr>
        <w:t>一般</w:t>
      </w:r>
      <w:r>
        <w:rPr>
          <w:rFonts w:eastAsia="方正仿宋简体"/>
          <w:color w:val="000000"/>
          <w:sz w:val="30"/>
          <w:szCs w:val="30"/>
        </w:rPr>
        <w:t>持仓数量大于或者等于申报平仓数量的，根据申报平仓数量与盈利6%以上的</w:t>
      </w:r>
      <w:r>
        <w:rPr>
          <w:rFonts w:hint="eastAsia" w:eastAsia="方正仿宋简体"/>
          <w:color w:val="000000"/>
          <w:sz w:val="30"/>
          <w:szCs w:val="30"/>
        </w:rPr>
        <w:t>一般</w:t>
      </w:r>
      <w:r>
        <w:rPr>
          <w:rFonts w:eastAsia="方正仿宋简体"/>
          <w:color w:val="000000"/>
          <w:sz w:val="30"/>
          <w:szCs w:val="30"/>
        </w:rPr>
        <w:t>持仓数量的比例，将申报平仓数量向盈利6%以上的</w:t>
      </w:r>
      <w:r>
        <w:rPr>
          <w:rFonts w:hint="eastAsia" w:eastAsia="方正仿宋简体"/>
          <w:color w:val="000000"/>
          <w:sz w:val="30"/>
          <w:szCs w:val="30"/>
        </w:rPr>
        <w:t>一般</w:t>
      </w:r>
      <w:r>
        <w:rPr>
          <w:rFonts w:eastAsia="方正仿宋简体"/>
          <w:color w:val="000000"/>
          <w:sz w:val="30"/>
          <w:szCs w:val="30"/>
        </w:rPr>
        <w:t>持仓分配实际平仓数量；盈利6%以上的</w:t>
      </w:r>
      <w:r>
        <w:rPr>
          <w:rFonts w:hint="eastAsia" w:eastAsia="方正仿宋简体"/>
          <w:color w:val="000000"/>
          <w:sz w:val="30"/>
          <w:szCs w:val="30"/>
        </w:rPr>
        <w:t>一般</w:t>
      </w:r>
      <w:r>
        <w:rPr>
          <w:rFonts w:eastAsia="方正仿宋简体"/>
          <w:color w:val="000000"/>
          <w:sz w:val="30"/>
          <w:szCs w:val="30"/>
        </w:rPr>
        <w:t>持仓数量小于申报平仓数量的，根据盈利6%以上的</w:t>
      </w:r>
      <w:r>
        <w:rPr>
          <w:rFonts w:hint="eastAsia" w:eastAsia="方正仿宋简体"/>
          <w:color w:val="000000"/>
          <w:sz w:val="30"/>
          <w:szCs w:val="30"/>
        </w:rPr>
        <w:t>一般</w:t>
      </w:r>
      <w:r>
        <w:rPr>
          <w:rFonts w:eastAsia="方正仿宋简体"/>
          <w:color w:val="000000"/>
          <w:sz w:val="30"/>
          <w:szCs w:val="30"/>
        </w:rPr>
        <w:t>持仓数量与申报平仓数量的比例，将盈利6%以上</w:t>
      </w:r>
      <w:r>
        <w:rPr>
          <w:rFonts w:hint="eastAsia" w:eastAsia="方正仿宋简体"/>
          <w:color w:val="000000"/>
          <w:sz w:val="30"/>
          <w:szCs w:val="30"/>
        </w:rPr>
        <w:t>一般</w:t>
      </w:r>
      <w:r>
        <w:rPr>
          <w:rFonts w:eastAsia="方正仿宋简体"/>
          <w:color w:val="000000"/>
          <w:sz w:val="30"/>
          <w:szCs w:val="30"/>
        </w:rPr>
        <w:t>持仓数量向申报平仓</w:t>
      </w:r>
      <w:r>
        <w:rPr>
          <w:rFonts w:hint="eastAsia" w:eastAsia="方正仿宋简体"/>
          <w:color w:val="000000"/>
          <w:sz w:val="30"/>
          <w:szCs w:val="30"/>
        </w:rPr>
        <w:t>交易者</w:t>
      </w:r>
      <w:r>
        <w:rPr>
          <w:rFonts w:eastAsia="方正仿宋简体"/>
          <w:color w:val="000000"/>
          <w:sz w:val="30"/>
          <w:szCs w:val="30"/>
        </w:rPr>
        <w:t>分配实际平仓数量。再把剩余的申报平仓数量按上述的分配方法向盈利3%以上的</w:t>
      </w:r>
      <w:r>
        <w:rPr>
          <w:rFonts w:hint="eastAsia" w:eastAsia="方正仿宋简体"/>
          <w:color w:val="000000"/>
          <w:sz w:val="30"/>
          <w:szCs w:val="30"/>
        </w:rPr>
        <w:t>一般</w:t>
      </w:r>
      <w:r>
        <w:rPr>
          <w:rFonts w:eastAsia="方正仿宋简体"/>
          <w:color w:val="000000"/>
          <w:sz w:val="30"/>
          <w:szCs w:val="30"/>
        </w:rPr>
        <w:t>持仓分配；还有剩余的，再向盈利3%以下的</w:t>
      </w:r>
      <w:r>
        <w:rPr>
          <w:rFonts w:hint="eastAsia" w:eastAsia="方正仿宋简体"/>
          <w:color w:val="000000"/>
          <w:sz w:val="30"/>
          <w:szCs w:val="30"/>
        </w:rPr>
        <w:t>一般</w:t>
      </w:r>
      <w:r>
        <w:rPr>
          <w:rFonts w:eastAsia="方正仿宋简体"/>
          <w:color w:val="000000"/>
          <w:sz w:val="30"/>
          <w:szCs w:val="30"/>
        </w:rPr>
        <w:t>持仓分配；再有剩余的，再向盈利6%以上的</w:t>
      </w:r>
      <w:r>
        <w:rPr>
          <w:rFonts w:hint="eastAsia" w:eastAsia="方正仿宋简体"/>
          <w:color w:val="000000"/>
          <w:sz w:val="30"/>
          <w:szCs w:val="30"/>
        </w:rPr>
        <w:t>套期保值交易持仓</w:t>
      </w:r>
      <w:r>
        <w:rPr>
          <w:rFonts w:eastAsia="方正仿宋简体"/>
          <w:color w:val="000000"/>
          <w:sz w:val="30"/>
          <w:szCs w:val="30"/>
        </w:rPr>
        <w:t>分配。还有剩余的不再分配。</w:t>
      </w:r>
    </w:p>
    <w:p>
      <w:pPr>
        <w:spacing w:line="560" w:lineRule="exact"/>
        <w:jc w:val="center"/>
        <w:rPr>
          <w:rFonts w:eastAsia="黑体"/>
          <w:sz w:val="30"/>
          <w:szCs w:val="30"/>
        </w:rPr>
      </w:pPr>
      <w:r>
        <w:rPr>
          <w:rFonts w:eastAsia="黑体"/>
          <w:sz w:val="30"/>
          <w:szCs w:val="30"/>
        </w:rPr>
        <w:t>第五章 附则</w:t>
      </w:r>
    </w:p>
    <w:p>
      <w:pPr>
        <w:spacing w:line="560" w:lineRule="exact"/>
        <w:ind w:firstLine="602" w:firstLineChars="200"/>
        <w:rPr>
          <w:rFonts w:eastAsia="方正仿宋简体"/>
          <w:sz w:val="30"/>
          <w:szCs w:val="30"/>
        </w:rPr>
      </w:pPr>
      <w:r>
        <w:rPr>
          <w:rFonts w:eastAsia="方正仿宋简体"/>
          <w:b/>
          <w:sz w:val="30"/>
          <w:szCs w:val="30"/>
        </w:rPr>
        <w:t>第</w:t>
      </w:r>
      <w:r>
        <w:rPr>
          <w:rFonts w:hint="eastAsia" w:eastAsia="方正仿宋简体"/>
          <w:b/>
          <w:sz w:val="30"/>
          <w:szCs w:val="30"/>
        </w:rPr>
        <w:t>五十二</w:t>
      </w:r>
      <w:r>
        <w:rPr>
          <w:rFonts w:eastAsia="方正仿宋简体"/>
          <w:b/>
          <w:sz w:val="30"/>
          <w:szCs w:val="30"/>
        </w:rPr>
        <w:t>条</w:t>
      </w:r>
      <w:r>
        <w:rPr>
          <w:rFonts w:eastAsia="方正仿宋简体"/>
          <w:sz w:val="30"/>
          <w:szCs w:val="30"/>
        </w:rPr>
        <w:t xml:space="preserve"> 本细则未规定的，按照交易所相关业务规则的规定执行。</w:t>
      </w:r>
    </w:p>
    <w:p>
      <w:pPr>
        <w:spacing w:line="560" w:lineRule="exact"/>
        <w:ind w:firstLine="602" w:firstLineChars="200"/>
        <w:rPr>
          <w:rFonts w:eastAsia="方正仿宋简体"/>
          <w:sz w:val="30"/>
          <w:szCs w:val="30"/>
        </w:rPr>
      </w:pPr>
      <w:r>
        <w:rPr>
          <w:rFonts w:eastAsia="方正仿宋简体"/>
          <w:b/>
          <w:sz w:val="30"/>
          <w:szCs w:val="30"/>
        </w:rPr>
        <w:t>第</w:t>
      </w:r>
      <w:r>
        <w:rPr>
          <w:rFonts w:hint="eastAsia" w:eastAsia="方正仿宋简体"/>
          <w:b/>
          <w:sz w:val="30"/>
          <w:szCs w:val="30"/>
        </w:rPr>
        <w:t>五十三</w:t>
      </w:r>
      <w:r>
        <w:rPr>
          <w:rFonts w:eastAsia="方正仿宋简体"/>
          <w:b/>
          <w:sz w:val="30"/>
          <w:szCs w:val="30"/>
        </w:rPr>
        <w:t>条</w:t>
      </w:r>
      <w:r>
        <w:rPr>
          <w:rFonts w:eastAsia="方正仿宋简体"/>
          <w:sz w:val="30"/>
          <w:szCs w:val="30"/>
        </w:rPr>
        <w:t xml:space="preserve"> 违反本细则规定的，交易所按照《上海期货交易所违规处理办法》的有关规定处理。</w:t>
      </w:r>
    </w:p>
    <w:p>
      <w:pPr>
        <w:spacing w:line="560" w:lineRule="exact"/>
        <w:ind w:firstLine="602" w:firstLineChars="200"/>
        <w:rPr>
          <w:rFonts w:eastAsia="方正仿宋简体"/>
          <w:sz w:val="30"/>
          <w:szCs w:val="30"/>
        </w:rPr>
      </w:pPr>
      <w:r>
        <w:rPr>
          <w:rFonts w:eastAsia="方正仿宋简体"/>
          <w:b/>
          <w:sz w:val="30"/>
          <w:szCs w:val="30"/>
        </w:rPr>
        <w:t>第五十</w:t>
      </w:r>
      <w:r>
        <w:rPr>
          <w:rFonts w:hint="eastAsia" w:eastAsia="方正仿宋简体"/>
          <w:b/>
          <w:sz w:val="30"/>
          <w:szCs w:val="30"/>
        </w:rPr>
        <w:t>四</w:t>
      </w:r>
      <w:r>
        <w:rPr>
          <w:rFonts w:eastAsia="方正仿宋简体"/>
          <w:b/>
          <w:sz w:val="30"/>
          <w:szCs w:val="30"/>
        </w:rPr>
        <w:t xml:space="preserve">条 </w:t>
      </w:r>
      <w:r>
        <w:rPr>
          <w:rFonts w:eastAsia="方正仿宋简体"/>
          <w:sz w:val="30"/>
          <w:szCs w:val="30"/>
        </w:rPr>
        <w:t>本细则的解释权属于上海期货交易所。</w:t>
      </w:r>
    </w:p>
    <w:p>
      <w:pPr>
        <w:spacing w:line="560" w:lineRule="exact"/>
        <w:ind w:firstLine="602" w:firstLineChars="200"/>
        <w:rPr>
          <w:rFonts w:eastAsia="方正仿宋简体" w:cs="Arial"/>
          <w:color w:val="000000"/>
          <w:kern w:val="0"/>
          <w:sz w:val="28"/>
          <w:szCs w:val="28"/>
        </w:rPr>
      </w:pPr>
      <w:r>
        <w:rPr>
          <w:rFonts w:eastAsia="方正仿宋简体"/>
          <w:b/>
          <w:sz w:val="30"/>
          <w:szCs w:val="30"/>
        </w:rPr>
        <w:t>第五十</w:t>
      </w:r>
      <w:r>
        <w:rPr>
          <w:rFonts w:hint="eastAsia" w:eastAsia="方正仿宋简体"/>
          <w:b/>
          <w:sz w:val="30"/>
          <w:szCs w:val="30"/>
        </w:rPr>
        <w:t>五</w:t>
      </w:r>
      <w:r>
        <w:rPr>
          <w:rFonts w:eastAsia="方正仿宋简体"/>
          <w:b/>
          <w:sz w:val="30"/>
          <w:szCs w:val="30"/>
        </w:rPr>
        <w:t>条</w:t>
      </w:r>
      <w:r>
        <w:rPr>
          <w:rFonts w:eastAsia="方正仿宋简体"/>
          <w:sz w:val="30"/>
          <w:szCs w:val="30"/>
        </w:rPr>
        <w:t xml:space="preserve"> 本细则自</w:t>
      </w:r>
      <w:r>
        <w:rPr>
          <w:rFonts w:hint="default" w:ascii="Times" w:hAnsi="Times" w:eastAsia="方正仿宋简体"/>
          <w:sz w:val="30"/>
          <w:szCs w:val="30"/>
          <w:lang w:val="en-US"/>
        </w:rPr>
        <w:t>2026</w:t>
      </w:r>
      <w:r>
        <w:rPr>
          <w:rFonts w:hint="eastAsia" w:ascii="Times" w:hAnsi="Times" w:eastAsia="方正仿宋简体"/>
          <w:sz w:val="30"/>
          <w:szCs w:val="30"/>
        </w:rPr>
        <w:t>年</w:t>
      </w:r>
      <w:r>
        <w:rPr>
          <w:rFonts w:hint="default" w:ascii="Times" w:hAnsi="Times" w:eastAsia="方正仿宋简体"/>
          <w:sz w:val="30"/>
          <w:szCs w:val="30"/>
          <w:lang w:val="en-US"/>
        </w:rPr>
        <w:t>1</w:t>
      </w:r>
      <w:r>
        <w:rPr>
          <w:rFonts w:hint="eastAsia" w:ascii="Times" w:hAnsi="Times" w:eastAsia="方正仿宋简体"/>
          <w:sz w:val="30"/>
          <w:szCs w:val="30"/>
        </w:rPr>
        <w:t>月</w:t>
      </w:r>
      <w:r>
        <w:rPr>
          <w:rFonts w:hint="default" w:ascii="Times" w:hAnsi="Times" w:eastAsia="方正仿宋简体"/>
          <w:sz w:val="30"/>
          <w:szCs w:val="30"/>
          <w:lang w:val="en-US"/>
        </w:rPr>
        <w:t>1</w:t>
      </w:r>
      <w:r>
        <w:rPr>
          <w:rFonts w:hint="eastAsia" w:ascii="Times" w:hAnsi="Times" w:eastAsia="方正仿宋简体"/>
          <w:sz w:val="30"/>
          <w:szCs w:val="30"/>
        </w:rPr>
        <w:t>日</w:t>
      </w:r>
      <w:r>
        <w:rPr>
          <w:rFonts w:eastAsia="方正仿宋简体"/>
          <w:sz w:val="30"/>
          <w:szCs w:val="30"/>
        </w:rPr>
        <w:t>起实施。</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6FFF56A"/>
    <w:rsid w:val="7F9FB6AB"/>
    <w:rsid w:val="F6FFF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2025-12-31T17:39:00Z</dcterms:created>
  <dc:creator>ji.shuoren</dc:creator>
  <cp:lastModifiedBy>ji.shuoren</cp:lastModifiedBy>
  <dcterms:modified xsi:type="dcterms:W3CDTF">2025-12-31T09:43:59Z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13664CE6B40075A4D57E5469CFAAAF90</vt:lpwstr>
  </property>
</Properties>
</file>