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94" w:rsidRPr="00D91894" w:rsidRDefault="00D91894" w:rsidP="00D91894">
      <w:pPr>
        <w:spacing w:line="560" w:lineRule="exact"/>
        <w:ind w:firstLineChars="200" w:firstLine="720"/>
        <w:jc w:val="center"/>
        <w:rPr>
          <w:rFonts w:ascii="方正大标宋简体" w:eastAsia="方正大标宋简体" w:hint="eastAsia"/>
          <w:sz w:val="36"/>
          <w:szCs w:val="36"/>
        </w:rPr>
      </w:pPr>
      <w:r w:rsidRPr="00D91894">
        <w:rPr>
          <w:rFonts w:ascii="方正大标宋简体" w:eastAsia="方正大标宋简体" w:hint="eastAsia"/>
          <w:sz w:val="36"/>
          <w:szCs w:val="36"/>
        </w:rPr>
        <w:t>上海期货交易所期货交易者适当性管理办法</w:t>
      </w:r>
    </w:p>
    <w:p w:rsidR="00D91894" w:rsidRDefault="00D91894" w:rsidP="00D91894">
      <w:pPr>
        <w:spacing w:line="560" w:lineRule="exact"/>
        <w:ind w:firstLineChars="200" w:firstLine="600"/>
        <w:jc w:val="center"/>
        <w:rPr>
          <w:rFonts w:ascii="方正仿宋简体" w:eastAsia="方正仿宋简体" w:hint="eastAsia"/>
          <w:sz w:val="30"/>
          <w:szCs w:val="30"/>
        </w:rPr>
      </w:pPr>
    </w:p>
    <w:p w:rsidR="00D91894" w:rsidRPr="00D91894" w:rsidRDefault="00D91894" w:rsidP="00D91894">
      <w:pPr>
        <w:spacing w:line="560" w:lineRule="exact"/>
        <w:ind w:firstLineChars="200" w:firstLine="600"/>
        <w:jc w:val="center"/>
        <w:rPr>
          <w:rFonts w:ascii="黑体" w:eastAsia="黑体" w:hAnsi="黑体" w:hint="eastAsia"/>
          <w:sz w:val="30"/>
          <w:szCs w:val="30"/>
        </w:rPr>
      </w:pPr>
      <w:r w:rsidRPr="00D91894">
        <w:rPr>
          <w:rFonts w:ascii="黑体" w:eastAsia="黑体" w:hAnsi="黑体" w:hint="eastAsia"/>
          <w:sz w:val="30"/>
          <w:szCs w:val="30"/>
        </w:rPr>
        <w:t>第一章</w:t>
      </w:r>
      <w:r w:rsidRPr="00D91894">
        <w:rPr>
          <w:rFonts w:eastAsia="黑体" w:hint="eastAsia"/>
          <w:sz w:val="30"/>
          <w:szCs w:val="30"/>
        </w:rPr>
        <w:t> </w:t>
      </w:r>
      <w:r w:rsidRPr="00D91894">
        <w:rPr>
          <w:rFonts w:ascii="黑体" w:eastAsia="黑体" w:hAnsi="黑体" w:hint="eastAsia"/>
          <w:sz w:val="30"/>
          <w:szCs w:val="30"/>
        </w:rPr>
        <w:t xml:space="preserve"> 总则</w:t>
      </w:r>
    </w:p>
    <w:p w:rsidR="00D91894" w:rsidRDefault="00D91894" w:rsidP="00D91894">
      <w:pPr>
        <w:spacing w:line="560" w:lineRule="exact"/>
        <w:ind w:firstLineChars="200" w:firstLine="602"/>
        <w:rPr>
          <w:rFonts w:ascii="方正仿宋简体" w:eastAsia="方正仿宋简体" w:hint="eastAsia"/>
          <w:sz w:val="30"/>
          <w:szCs w:val="30"/>
        </w:rPr>
      </w:pPr>
      <w:r w:rsidRPr="00D91894">
        <w:rPr>
          <w:rFonts w:ascii="方正仿宋简体" w:eastAsia="方正仿宋简体" w:hint="eastAsia"/>
          <w:b/>
          <w:sz w:val="30"/>
          <w:szCs w:val="30"/>
        </w:rPr>
        <w:t>第一条</w:t>
      </w:r>
      <w:r w:rsidRPr="00D91894">
        <w:rPr>
          <w:rFonts w:eastAsia="方正仿宋简体" w:hint="eastAsia"/>
          <w:sz w:val="30"/>
          <w:szCs w:val="30"/>
        </w:rPr>
        <w:t> </w:t>
      </w:r>
      <w:r w:rsidRPr="00D91894">
        <w:rPr>
          <w:rFonts w:ascii="方正仿宋简体" w:eastAsia="方正仿宋简体" w:hint="eastAsia"/>
          <w:sz w:val="30"/>
          <w:szCs w:val="30"/>
        </w:rPr>
        <w:t xml:space="preserve"> 为了引导交易者理性参与期货交易，维护交易者合法权益，保障期货市场平稳、规范、健康发展，根据《期货交易管理条例》《境外交易者和境外经纪机构从事境内特定品种期货交易管理暂行办法》《证券期货投资者适当性管理办法》等法律法规及上海期货交易所（以下简称交易所）业务规则，制定本办法。</w:t>
      </w:r>
    </w:p>
    <w:p w:rsidR="00D91894" w:rsidRDefault="00D91894" w:rsidP="00D91894">
      <w:pPr>
        <w:spacing w:line="560" w:lineRule="exact"/>
        <w:ind w:firstLineChars="200" w:firstLine="602"/>
        <w:rPr>
          <w:rFonts w:ascii="方正仿宋简体" w:eastAsia="方正仿宋简体" w:hint="eastAsia"/>
          <w:sz w:val="30"/>
          <w:szCs w:val="30"/>
        </w:rPr>
      </w:pPr>
      <w:r w:rsidRPr="00D91894">
        <w:rPr>
          <w:rFonts w:ascii="方正仿宋简体" w:eastAsia="方正仿宋简体" w:hint="eastAsia"/>
          <w:b/>
          <w:sz w:val="30"/>
          <w:szCs w:val="30"/>
        </w:rPr>
        <w:t>第二条</w:t>
      </w:r>
      <w:r w:rsidRPr="00D91894">
        <w:rPr>
          <w:rFonts w:eastAsia="方正仿宋简体" w:hint="eastAsia"/>
          <w:sz w:val="30"/>
          <w:szCs w:val="30"/>
        </w:rPr>
        <w:t> </w:t>
      </w:r>
      <w:r w:rsidRPr="00D91894">
        <w:rPr>
          <w:rFonts w:ascii="方正仿宋简体" w:eastAsia="方正仿宋简体" w:hint="eastAsia"/>
          <w:sz w:val="30"/>
          <w:szCs w:val="30"/>
        </w:rPr>
        <w:t xml:space="preserve"> 交易所期权合约交易和特定品种期货合约交易实行适当性制度。</w:t>
      </w:r>
    </w:p>
    <w:p w:rsidR="00D91894" w:rsidRDefault="00D91894" w:rsidP="00D91894">
      <w:pPr>
        <w:spacing w:line="560" w:lineRule="exact"/>
        <w:ind w:firstLineChars="200" w:firstLine="602"/>
        <w:rPr>
          <w:rFonts w:ascii="方正仿宋简体" w:eastAsia="方正仿宋简体" w:hint="eastAsia"/>
          <w:sz w:val="30"/>
          <w:szCs w:val="30"/>
        </w:rPr>
      </w:pPr>
      <w:r w:rsidRPr="00D91894">
        <w:rPr>
          <w:rFonts w:ascii="方正仿宋简体" w:eastAsia="方正仿宋简体" w:hint="eastAsia"/>
          <w:b/>
          <w:sz w:val="30"/>
          <w:szCs w:val="30"/>
        </w:rPr>
        <w:t>第三条</w:t>
      </w:r>
      <w:r w:rsidRPr="00D91894">
        <w:rPr>
          <w:rFonts w:eastAsia="方正仿宋简体" w:hint="eastAsia"/>
          <w:sz w:val="30"/>
          <w:szCs w:val="30"/>
        </w:rPr>
        <w:t> </w:t>
      </w:r>
      <w:r w:rsidRPr="00D91894">
        <w:rPr>
          <w:rFonts w:ascii="方正仿宋简体" w:eastAsia="方正仿宋简体" w:hint="eastAsia"/>
          <w:sz w:val="30"/>
          <w:szCs w:val="30"/>
        </w:rPr>
        <w:t xml:space="preserve"> 本办法所称的交易者是指从事期货交易并承担交易结果的自然人、法人和非法人组织。</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交易者应当根据适当性制度的要求，全面评估自身市场及产品认知能力、风险控制与承受能力和经济实力，审慎决定是否参与期货交易。</w:t>
      </w:r>
    </w:p>
    <w:p w:rsidR="00D91894" w:rsidRDefault="00D91894" w:rsidP="00D91894">
      <w:pPr>
        <w:spacing w:line="560" w:lineRule="exact"/>
        <w:ind w:firstLineChars="200" w:firstLine="602"/>
        <w:rPr>
          <w:rFonts w:ascii="方正仿宋简体" w:eastAsia="方正仿宋简体" w:hint="eastAsia"/>
          <w:sz w:val="30"/>
          <w:szCs w:val="30"/>
        </w:rPr>
      </w:pPr>
      <w:r w:rsidRPr="00D91894">
        <w:rPr>
          <w:rFonts w:ascii="方正仿宋简体" w:eastAsia="方正仿宋简体" w:hint="eastAsia"/>
          <w:b/>
          <w:sz w:val="30"/>
          <w:szCs w:val="30"/>
        </w:rPr>
        <w:t>第四条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期货公司会员应当根据本办法要求，评估客户对期货交易的认知水平和风险承受能力，将适当的产品提供给适合的客户。</w:t>
      </w:r>
    </w:p>
    <w:p w:rsidR="00D91894" w:rsidRP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交易编码实行权限管理。期货公司会员在为客户开立交易编码后，应当选择开通相应的上市品种交易权限。</w:t>
      </w:r>
    </w:p>
    <w:p w:rsidR="00D91894" w:rsidRPr="00D91894" w:rsidRDefault="00D91894" w:rsidP="00D91894">
      <w:pPr>
        <w:spacing w:line="560" w:lineRule="exact"/>
        <w:ind w:firstLineChars="200" w:firstLine="600"/>
        <w:jc w:val="center"/>
        <w:rPr>
          <w:rFonts w:ascii="黑体" w:eastAsia="黑体" w:hAnsi="黑体" w:hint="eastAsia"/>
          <w:sz w:val="30"/>
          <w:szCs w:val="30"/>
        </w:rPr>
      </w:pPr>
      <w:r w:rsidRPr="00D91894">
        <w:rPr>
          <w:rFonts w:ascii="黑体" w:eastAsia="黑体" w:hAnsi="黑体" w:hint="eastAsia"/>
          <w:sz w:val="30"/>
          <w:szCs w:val="30"/>
        </w:rPr>
        <w:t>第二章</w:t>
      </w:r>
      <w:r w:rsidRPr="00D91894">
        <w:rPr>
          <w:rFonts w:eastAsia="黑体" w:hint="eastAsia"/>
          <w:sz w:val="30"/>
          <w:szCs w:val="30"/>
        </w:rPr>
        <w:t> </w:t>
      </w:r>
      <w:r w:rsidRPr="00D91894">
        <w:rPr>
          <w:rFonts w:ascii="黑体" w:eastAsia="黑体" w:hAnsi="黑体" w:hint="eastAsia"/>
          <w:sz w:val="30"/>
          <w:szCs w:val="30"/>
        </w:rPr>
        <w:t xml:space="preserve"> 适当性管理的标准</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第五条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期货公司会员为单位客户参与实行适当性制度的上市品种申请开立交易编码或者开通交易权限时，单位客户应当</w:t>
      </w:r>
      <w:r w:rsidRPr="00D91894">
        <w:rPr>
          <w:rFonts w:ascii="方正仿宋简体" w:eastAsia="方正仿宋简体" w:hint="eastAsia"/>
          <w:sz w:val="30"/>
          <w:szCs w:val="30"/>
        </w:rPr>
        <w:lastRenderedPageBreak/>
        <w:t>符合以下标准：</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（一） 相关业务人员具备期货交易基础知识，了解相关业务规则；</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（二） 具有累计不少于10个交易日且20笔及以上的境内交易场所的期货合约或者期权合约仿真交易成交记录；或者近三年内具有10笔及以上的境内交易场所的期货合约、期权合约或者集中清算的其他衍生品交易成交记录；或者近三年内具有10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（三） 申请开立交易编码或者开通交易权限前连续5个交易日保证金账户可用资金余额均不低于人民币10万元或者等值外币；</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（四） 具有健全的内部控制、风险管理等期货交易管理相关制度；</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（五） 不存在严重不良诚信记录、被有权监管机关宣布为期货市场禁止进入者和法律、法规、规章、交易所业务规则禁止或者限制从事期货交易的情形；</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（六） 交易所要求的其他条件。</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第六条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期货公司会员为个人客户参与实行适当性制度的上市品种申请开立交易编码或者开通交易权限时，个人客户应当符合以下标准：</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（一） 具备完全民事行为能力；</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lastRenderedPageBreak/>
        <w:t>（二） 具备期货交易基础知识，了解相关业务规则；</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（三） 具有累计不少于10个交易日且20笔及以上的境内交易场所的期货合约或者期权合约仿真交易成交记录；或者近三年内具有10笔及以上的境内交易场所的期货合约、期权合约或者集中清算的其他衍生品交易成交记录；或者近三年内具有10笔及以上的认可境外成交记录；</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（四） 申请开立交易编码或者开通交易权限前连续5个交易日保证金账户可用资金余额均不低于人民币10万元或者等值外币；</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（五） 不存在严重不良诚信记录、被有权监管机关宣布为期货市场禁止进入者和法律、法规、规章、交易所业务规则禁止或者限制从事期货交易的情形；</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（六） 交易所要求的其他条件。</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第七条</w:t>
      </w:r>
      <w:r w:rsidRPr="00D91894">
        <w:rPr>
          <w:rFonts w:eastAsia="方正仿宋简体" w:hint="eastAsia"/>
          <w:sz w:val="30"/>
          <w:szCs w:val="30"/>
        </w:rPr>
        <w:t> </w:t>
      </w:r>
      <w:r w:rsidRPr="00D91894">
        <w:rPr>
          <w:rFonts w:ascii="方正仿宋简体" w:eastAsia="方正仿宋简体" w:hint="eastAsia"/>
          <w:sz w:val="30"/>
          <w:szCs w:val="30"/>
        </w:rPr>
        <w:t xml:space="preserve"> 具有境内交易场所实行适当性制度的其他上市品种交易权限的客户，申请开立交易所交易编码或者开通交易权限的，期货公司会员可以不对其进行本办法第五条第一项和第二项、第六条第二项和第三项评估；前述品种的资金要求不低于本办法第五条第三项、第六条第四项规定的，期货公司会员可以不再对其进行资金评估。</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期货公司会员应当充分使用已了解信息和已有评估结果，已通过适当性评估获得交易所某上市品种交易权限的客户，在同一期货公司会员可以自动获得其他上市品种交易权限，可以不对本办法第五条、第六条进行重复评估。</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第八条</w:t>
      </w:r>
      <w:r w:rsidRPr="00D91894">
        <w:rPr>
          <w:rFonts w:ascii="方正仿宋简体" w:eastAsia="方正仿宋简体" w:hint="eastAsia"/>
          <w:sz w:val="30"/>
          <w:szCs w:val="30"/>
        </w:rPr>
        <w:t xml:space="preserve"> 除法律、法规、规章以及中国证监会另有规定外，</w:t>
      </w:r>
      <w:r w:rsidRPr="00D91894">
        <w:rPr>
          <w:rFonts w:ascii="方正仿宋简体" w:eastAsia="方正仿宋简体" w:hint="eastAsia"/>
          <w:sz w:val="30"/>
          <w:szCs w:val="30"/>
        </w:rPr>
        <w:lastRenderedPageBreak/>
        <w:t>期货公司会员为以下客户参与实行适当性制度的上市品种申请开立交易编码或者开通交易权限的，可以不适用本办法第五条第一项至第三项、第六条第二项至第四项规定：</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（一） 符合《证券期货投资者适当性管理办法》规定的专业投资者；</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（二） 已开通实行适当性制度的某一品种交易权限，再通过其他期货公司会员开通该品种交易权限的客户；</w:t>
      </w:r>
    </w:p>
    <w:p w:rsid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（三） 近一年内具有累计不少于50个交易日境内交易场所的期货合约、期权合约或者集中清算的其他衍生品交易成交记录或者认可境外成交记录的客户；</w:t>
      </w:r>
    </w:p>
    <w:p w:rsidR="006970CB"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（四） 做市商、特殊单位客户等交易所认可的其他交易者。</w:t>
      </w:r>
    </w:p>
    <w:p w:rsidR="00D91894" w:rsidRP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第九条</w:t>
      </w:r>
      <w:r w:rsidRPr="00D91894">
        <w:rPr>
          <w:rFonts w:ascii="方正仿宋简体" w:eastAsia="方正仿宋简体" w:hint="eastAsia"/>
          <w:sz w:val="30"/>
          <w:szCs w:val="30"/>
        </w:rPr>
        <w:t xml:space="preserve"> 交易所可以根据市场情况调整交易者适当性标准。</w:t>
      </w:r>
    </w:p>
    <w:p w:rsidR="00D91894" w:rsidRPr="006970CB" w:rsidRDefault="00D91894" w:rsidP="00D91894">
      <w:pPr>
        <w:spacing w:line="560" w:lineRule="exact"/>
        <w:ind w:firstLineChars="200" w:firstLine="600"/>
        <w:jc w:val="center"/>
        <w:rPr>
          <w:rFonts w:ascii="黑体" w:eastAsia="黑体" w:hAnsi="黑体" w:hint="eastAsia"/>
          <w:sz w:val="30"/>
          <w:szCs w:val="30"/>
        </w:rPr>
      </w:pPr>
      <w:r w:rsidRPr="006970CB">
        <w:rPr>
          <w:rFonts w:ascii="黑体" w:eastAsia="黑体" w:hAnsi="黑体" w:hint="eastAsia"/>
          <w:sz w:val="30"/>
          <w:szCs w:val="30"/>
        </w:rPr>
        <w:t>第三章</w:t>
      </w:r>
      <w:r w:rsidRPr="006970CB">
        <w:rPr>
          <w:rFonts w:eastAsia="黑体" w:hint="eastAsia"/>
          <w:sz w:val="30"/>
          <w:szCs w:val="30"/>
        </w:rPr>
        <w:t> </w:t>
      </w:r>
      <w:r w:rsidRPr="006970CB">
        <w:rPr>
          <w:rFonts w:ascii="黑体" w:eastAsia="黑体" w:hAnsi="黑体" w:hint="eastAsia"/>
          <w:sz w:val="30"/>
          <w:szCs w:val="30"/>
        </w:rPr>
        <w:t xml:space="preserve"> 适当性制度的实施</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第十条</w:t>
      </w:r>
      <w:r w:rsidRPr="006970CB">
        <w:rPr>
          <w:rFonts w:eastAsia="方正仿宋简体" w:hint="eastAsia"/>
          <w:b/>
          <w:sz w:val="30"/>
          <w:szCs w:val="30"/>
        </w:rPr>
        <w:t> </w:t>
      </w:r>
      <w:r w:rsidRPr="00D91894">
        <w:rPr>
          <w:rFonts w:ascii="方正仿宋简体" w:eastAsia="方正仿宋简体" w:hint="eastAsia"/>
          <w:sz w:val="30"/>
          <w:szCs w:val="30"/>
        </w:rPr>
        <w:t xml:space="preserve"> 期货公司会员应当根据中国证监会有关规定和本办法要求，建立健全客户适当性制度的具体实施方案，完善内部分工和业务流程，对客户基本情况、相关投资经历、财务状况和诚信状况等进行综合评估，并在交易权限开通或者关闭后3个交易日内向交易所报备相应交易编码及其变更情况。</w:t>
      </w:r>
    </w:p>
    <w:p w:rsidR="00D91894" w:rsidRPr="006970CB"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第十一条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期货公司会员应当建立并有效执行客户开发责</w:t>
      </w:r>
      <w:r w:rsidRPr="006970CB">
        <w:rPr>
          <w:rFonts w:ascii="方正仿宋简体" w:eastAsia="方正仿宋简体" w:hint="eastAsia"/>
          <w:sz w:val="30"/>
          <w:szCs w:val="30"/>
        </w:rPr>
        <w:t>任追究制度，明确相关岗位工作人员的责任。</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第十二条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应当向客户充分揭示期货交易风险，客观介绍期货交易法律法规、交易所业务规则以及有关规定和决定、产品特征，了解客户的期货交易基础知识水平，严格验证客户资金、期货交易经历和仿真交易经历，审慎评估客户的诚</w:t>
      </w:r>
      <w:r w:rsidRPr="00D91894">
        <w:rPr>
          <w:rFonts w:ascii="方正仿宋简体" w:eastAsia="方正仿宋简体" w:hint="eastAsia"/>
          <w:sz w:val="30"/>
          <w:szCs w:val="30"/>
        </w:rPr>
        <w:lastRenderedPageBreak/>
        <w:t>信状况和风险承受能力，审核客户交易编码或者交易权限申请材料等开户资料。</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第十三条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期货公司会员应当对客户进行辅导，督促客户遵守期货交易相关法律、法规、规章、交易所业务规则及有关规定和决定，持续开展客户风险教育，加强客户交易行为的合法与合规性管理。</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第十四条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期货公司会员应当建立并妥善保管客户资料档案，严格为客户保密。</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第十五条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期货公司会员应当为客户提供合理的投诉渠道，告知投诉的方法和程序，妥善处理纠纷，督促客户依法维护自身权益。</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第十六条</w:t>
      </w:r>
      <w:r w:rsidRPr="00D91894">
        <w:rPr>
          <w:rFonts w:eastAsia="方正仿宋简体" w:hint="eastAsia"/>
          <w:sz w:val="30"/>
          <w:szCs w:val="30"/>
        </w:rPr>
        <w:t> </w:t>
      </w:r>
      <w:r w:rsidRPr="00D91894">
        <w:rPr>
          <w:rFonts w:ascii="方正仿宋简体" w:eastAsia="方正仿宋简体" w:hint="eastAsia"/>
          <w:sz w:val="30"/>
          <w:szCs w:val="30"/>
        </w:rPr>
        <w:t xml:space="preserve"> 交易者应当如实提交交易编码或者交易权限申请材料等开户资料，不得采取虚假申报等手段规避交易者适当性制度要求。</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第十七条</w:t>
      </w:r>
      <w:r w:rsidRPr="006970CB">
        <w:rPr>
          <w:rFonts w:eastAsia="方正仿宋简体" w:hint="eastAsia"/>
          <w:b/>
          <w:sz w:val="30"/>
          <w:szCs w:val="30"/>
        </w:rPr>
        <w:t> </w:t>
      </w:r>
      <w:r w:rsidRPr="00D91894">
        <w:rPr>
          <w:rFonts w:ascii="方正仿宋简体" w:eastAsia="方正仿宋简体" w:hint="eastAsia"/>
          <w:sz w:val="30"/>
          <w:szCs w:val="30"/>
        </w:rPr>
        <w:t xml:space="preserve"> 交易者应当遵守买卖自负的原则，承担期货交易的履约责任，不得以不符合交易者适当性标准为由拒绝承担期货交易履约责任。</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第十八条</w:t>
      </w:r>
      <w:r w:rsidRPr="00D91894">
        <w:rPr>
          <w:rFonts w:eastAsia="方正仿宋简体" w:hint="eastAsia"/>
          <w:sz w:val="30"/>
          <w:szCs w:val="30"/>
        </w:rPr>
        <w:t> </w:t>
      </w:r>
      <w:r w:rsidRPr="00D91894">
        <w:rPr>
          <w:rFonts w:ascii="方正仿宋简体" w:eastAsia="方正仿宋简体" w:hint="eastAsia"/>
          <w:sz w:val="30"/>
          <w:szCs w:val="30"/>
        </w:rPr>
        <w:t xml:space="preserve"> 交易者应当依照法律法规的相关规定，通过正当途径维护自身合法权益，不得侵害国家、社会、集体利益和他人合法权益，不得扰乱社会公共秩序、交易所及相关单位的工作秩序。</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第十九条</w:t>
      </w:r>
      <w:r w:rsidRPr="00D91894">
        <w:rPr>
          <w:rFonts w:eastAsia="方正仿宋简体" w:hint="eastAsia"/>
          <w:sz w:val="30"/>
          <w:szCs w:val="30"/>
        </w:rPr>
        <w:t> </w:t>
      </w:r>
      <w:r w:rsidRPr="00D91894">
        <w:rPr>
          <w:rFonts w:ascii="方正仿宋简体" w:eastAsia="方正仿宋简体" w:hint="eastAsia"/>
          <w:sz w:val="30"/>
          <w:szCs w:val="30"/>
        </w:rPr>
        <w:t xml:space="preserve"> 期货公司会员委托具有中间业务介绍资格的公司协助办理交易编码或者交易权限申请手续的，应当与该公司建立业务对接规则，落实交易者适当性制度的相关要求，并对该公</w:t>
      </w:r>
      <w:r w:rsidRPr="00D91894">
        <w:rPr>
          <w:rFonts w:ascii="方正仿宋简体" w:eastAsia="方正仿宋简体" w:hint="eastAsia"/>
          <w:sz w:val="30"/>
          <w:szCs w:val="30"/>
        </w:rPr>
        <w:lastRenderedPageBreak/>
        <w:t>司的相关业务进行复核。</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第二十条</w:t>
      </w:r>
      <w:r w:rsidRPr="00D91894">
        <w:rPr>
          <w:rFonts w:eastAsia="方正仿宋简体" w:hint="eastAsia"/>
          <w:sz w:val="30"/>
          <w:szCs w:val="30"/>
        </w:rPr>
        <w:t> </w:t>
      </w:r>
      <w:r w:rsidRPr="00D91894">
        <w:rPr>
          <w:rFonts w:ascii="方正仿宋简体" w:eastAsia="方正仿宋简体" w:hint="eastAsia"/>
          <w:sz w:val="30"/>
          <w:szCs w:val="30"/>
        </w:rPr>
        <w:t xml:space="preserve"> 交易所对期货公司会员落实交易者适当性制度情况进行检查。</w:t>
      </w:r>
    </w:p>
    <w:p w:rsidR="00D91894" w:rsidRPr="00D91894" w:rsidRDefault="00D91894" w:rsidP="00D91894">
      <w:pPr>
        <w:spacing w:line="560" w:lineRule="exact"/>
        <w:ind w:firstLineChars="200" w:firstLine="600"/>
        <w:rPr>
          <w:rFonts w:ascii="方正仿宋简体" w:eastAsia="方正仿宋简体" w:hint="eastAsia"/>
          <w:sz w:val="30"/>
          <w:szCs w:val="30"/>
        </w:rPr>
      </w:pPr>
      <w:r w:rsidRPr="00D91894">
        <w:rPr>
          <w:rFonts w:ascii="方正仿宋简体" w:eastAsia="方正仿宋简体" w:hint="eastAsia"/>
          <w:sz w:val="30"/>
          <w:szCs w:val="30"/>
        </w:rPr>
        <w:t>期货公司会员应当配合检查，如实提供客户交易编码或者交易权限申请材料等开户资料、资金账户情况等资料，不得隐瞒、阻碍和拒绝。</w:t>
      </w:r>
    </w:p>
    <w:p w:rsidR="00D91894" w:rsidRPr="006970CB" w:rsidRDefault="00D91894" w:rsidP="00D91894">
      <w:pPr>
        <w:spacing w:line="560" w:lineRule="exact"/>
        <w:ind w:firstLineChars="200" w:firstLine="600"/>
        <w:jc w:val="center"/>
        <w:rPr>
          <w:rFonts w:ascii="黑体" w:eastAsia="黑体" w:hAnsi="黑体" w:hint="eastAsia"/>
          <w:sz w:val="30"/>
          <w:szCs w:val="30"/>
        </w:rPr>
      </w:pPr>
      <w:r w:rsidRPr="006970CB">
        <w:rPr>
          <w:rFonts w:ascii="黑体" w:eastAsia="黑体" w:hAnsi="黑体" w:hint="eastAsia"/>
          <w:sz w:val="30"/>
          <w:szCs w:val="30"/>
        </w:rPr>
        <w:t>第四章</w:t>
      </w:r>
      <w:r w:rsidRPr="006970CB">
        <w:rPr>
          <w:rFonts w:eastAsia="黑体" w:hint="eastAsia"/>
          <w:sz w:val="30"/>
          <w:szCs w:val="30"/>
        </w:rPr>
        <w:t> </w:t>
      </w:r>
      <w:r w:rsidRPr="006970CB">
        <w:rPr>
          <w:rFonts w:ascii="黑体" w:eastAsia="黑体" w:hAnsi="黑体" w:hint="eastAsia"/>
          <w:sz w:val="30"/>
          <w:szCs w:val="30"/>
        </w:rPr>
        <w:t xml:space="preserve"> 附则</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第二十一条</w:t>
      </w:r>
      <w:r w:rsidRPr="00D91894">
        <w:rPr>
          <w:rFonts w:eastAsia="方正仿宋简体" w:hint="eastAsia"/>
          <w:sz w:val="30"/>
          <w:szCs w:val="30"/>
        </w:rPr>
        <w:t> </w:t>
      </w:r>
      <w:r w:rsidRPr="00D91894">
        <w:rPr>
          <w:rFonts w:ascii="方正仿宋简体" w:eastAsia="方正仿宋简体" w:hint="eastAsia"/>
          <w:sz w:val="30"/>
          <w:szCs w:val="30"/>
        </w:rPr>
        <w:t xml:space="preserve"> 违反本办法规定的，交易所按照《上海期货交易所违规处理办法》的有关规定处理。</w:t>
      </w:r>
    </w:p>
    <w:p w:rsid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第二十二条</w:t>
      </w:r>
      <w:r w:rsidRPr="00D91894">
        <w:rPr>
          <w:rFonts w:eastAsia="方正仿宋简体" w:hint="eastAsia"/>
          <w:sz w:val="30"/>
          <w:szCs w:val="30"/>
        </w:rPr>
        <w:t> </w:t>
      </w:r>
      <w:r w:rsidRPr="00D91894">
        <w:rPr>
          <w:rFonts w:ascii="方正仿宋简体" w:eastAsia="方正仿宋简体" w:hint="eastAsia"/>
          <w:sz w:val="30"/>
          <w:szCs w:val="30"/>
        </w:rPr>
        <w:t xml:space="preserve"> 本办法解释权属于上海期货交易所。</w:t>
      </w:r>
    </w:p>
    <w:p w:rsidR="00291073" w:rsidRPr="00D91894" w:rsidRDefault="00D91894" w:rsidP="006970CB">
      <w:pPr>
        <w:spacing w:line="560" w:lineRule="exact"/>
        <w:ind w:firstLineChars="200" w:firstLine="602"/>
        <w:rPr>
          <w:rFonts w:ascii="方正仿宋简体" w:eastAsia="方正仿宋简体" w:hint="eastAsia"/>
          <w:sz w:val="30"/>
          <w:szCs w:val="30"/>
        </w:rPr>
      </w:pPr>
      <w:r w:rsidRPr="006970CB">
        <w:rPr>
          <w:rFonts w:ascii="方正仿宋简体" w:eastAsia="方正仿宋简体" w:hint="eastAsia"/>
          <w:b/>
          <w:sz w:val="30"/>
          <w:szCs w:val="30"/>
        </w:rPr>
        <w:t>第二十三条</w:t>
      </w:r>
      <w:r w:rsidRPr="00D91894">
        <w:rPr>
          <w:rFonts w:eastAsia="方正仿宋简体" w:hint="eastAsia"/>
          <w:sz w:val="30"/>
          <w:szCs w:val="30"/>
        </w:rPr>
        <w:t> </w:t>
      </w:r>
      <w:r w:rsidRPr="00D91894">
        <w:rPr>
          <w:rFonts w:ascii="方正仿宋简体" w:eastAsia="方正仿宋简体" w:hint="eastAsia"/>
          <w:sz w:val="30"/>
          <w:szCs w:val="30"/>
        </w:rPr>
        <w:t xml:space="preserve"> 本办法自</w:t>
      </w:r>
      <w:r w:rsidRPr="00D91894">
        <w:rPr>
          <w:rFonts w:ascii="Times New Roman" w:eastAsia="方正仿宋简体" w:hAnsi="Times New Roman" w:cs="Times New Roman"/>
          <w:sz w:val="30"/>
          <w:szCs w:val="30"/>
        </w:rPr>
        <w:t>2019</w:t>
      </w:r>
      <w:r w:rsidRPr="00D91894">
        <w:rPr>
          <w:rFonts w:ascii="Times New Roman" w:eastAsia="方正仿宋简体" w:hAnsi="Times New Roman" w:cs="Times New Roman"/>
          <w:sz w:val="30"/>
          <w:szCs w:val="30"/>
        </w:rPr>
        <w:t>年</w:t>
      </w:r>
      <w:r w:rsidRPr="00D91894">
        <w:rPr>
          <w:rFonts w:ascii="Times New Roman" w:eastAsia="方正仿宋简体" w:hAnsi="Times New Roman" w:cs="Times New Roman"/>
          <w:sz w:val="30"/>
          <w:szCs w:val="30"/>
        </w:rPr>
        <w:t>5</w:t>
      </w:r>
      <w:r w:rsidRPr="00D91894">
        <w:rPr>
          <w:rFonts w:ascii="Times New Roman" w:eastAsia="方正仿宋简体" w:hAnsi="Times New Roman" w:cs="Times New Roman"/>
          <w:sz w:val="30"/>
          <w:szCs w:val="30"/>
        </w:rPr>
        <w:t>月</w:t>
      </w:r>
      <w:r w:rsidRPr="00D91894">
        <w:rPr>
          <w:rFonts w:ascii="Times New Roman" w:eastAsia="方正仿宋简体" w:hAnsi="Times New Roman" w:cs="Times New Roman"/>
          <w:sz w:val="30"/>
          <w:szCs w:val="30"/>
        </w:rPr>
        <w:t>31</w:t>
      </w:r>
      <w:r w:rsidRPr="00D91894">
        <w:rPr>
          <w:rFonts w:ascii="方正仿宋简体" w:eastAsia="方正仿宋简体" w:hint="eastAsia"/>
          <w:sz w:val="30"/>
          <w:szCs w:val="30"/>
        </w:rPr>
        <w:t>日起实施。</w:t>
      </w:r>
    </w:p>
    <w:sectPr w:rsidR="00291073" w:rsidRPr="00D91894" w:rsidSect="002910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894"/>
    <w:rsid w:val="00291073"/>
    <w:rsid w:val="006970CB"/>
    <w:rsid w:val="00D91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73"/>
    <w:pPr>
      <w:widowControl w:val="0"/>
      <w:jc w:val="both"/>
    </w:pPr>
  </w:style>
  <w:style w:type="paragraph" w:styleId="1">
    <w:name w:val="heading 1"/>
    <w:basedOn w:val="a"/>
    <w:link w:val="1Char"/>
    <w:uiPriority w:val="9"/>
    <w:qFormat/>
    <w:rsid w:val="00D918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1894"/>
    <w:rPr>
      <w:rFonts w:ascii="宋体" w:eastAsia="宋体" w:hAnsi="宋体" w:cs="宋体"/>
      <w:b/>
      <w:bCs/>
      <w:kern w:val="36"/>
      <w:sz w:val="48"/>
      <w:szCs w:val="48"/>
    </w:rPr>
  </w:style>
  <w:style w:type="character" w:styleId="a3">
    <w:name w:val="Hyperlink"/>
    <w:basedOn w:val="a0"/>
    <w:uiPriority w:val="99"/>
    <w:unhideWhenUsed/>
    <w:rsid w:val="00D91894"/>
    <w:rPr>
      <w:color w:val="0000FF"/>
      <w:u w:val="single"/>
    </w:rPr>
  </w:style>
  <w:style w:type="paragraph" w:styleId="a4">
    <w:name w:val="Normal (Web)"/>
    <w:basedOn w:val="a"/>
    <w:uiPriority w:val="99"/>
    <w:semiHidden/>
    <w:unhideWhenUsed/>
    <w:rsid w:val="00D918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0057053">
      <w:bodyDiv w:val="1"/>
      <w:marLeft w:val="0"/>
      <w:marRight w:val="0"/>
      <w:marTop w:val="0"/>
      <w:marBottom w:val="0"/>
      <w:divBdr>
        <w:top w:val="none" w:sz="0" w:space="0" w:color="auto"/>
        <w:left w:val="none" w:sz="0" w:space="0" w:color="auto"/>
        <w:bottom w:val="none" w:sz="0" w:space="0" w:color="auto"/>
        <w:right w:val="none" w:sz="0" w:space="0" w:color="auto"/>
      </w:divBdr>
      <w:divsChild>
        <w:div w:id="1164471742">
          <w:marLeft w:val="0"/>
          <w:marRight w:val="0"/>
          <w:marTop w:val="0"/>
          <w:marBottom w:val="0"/>
          <w:divBdr>
            <w:top w:val="none" w:sz="0" w:space="0" w:color="auto"/>
            <w:left w:val="none" w:sz="0" w:space="0" w:color="auto"/>
            <w:bottom w:val="none" w:sz="0" w:space="0" w:color="auto"/>
            <w:right w:val="none" w:sz="0" w:space="0" w:color="auto"/>
          </w:divBdr>
          <w:divsChild>
            <w:div w:id="1670325440">
              <w:marLeft w:val="0"/>
              <w:marRight w:val="0"/>
              <w:marTop w:val="0"/>
              <w:marBottom w:val="0"/>
              <w:divBdr>
                <w:top w:val="none" w:sz="0" w:space="0" w:color="auto"/>
                <w:left w:val="none" w:sz="0" w:space="0" w:color="auto"/>
                <w:bottom w:val="none" w:sz="0" w:space="0" w:color="auto"/>
                <w:right w:val="none" w:sz="0" w:space="0" w:color="auto"/>
              </w:divBdr>
            </w:div>
            <w:div w:id="2089227757">
              <w:marLeft w:val="0"/>
              <w:marRight w:val="0"/>
              <w:marTop w:val="0"/>
              <w:marBottom w:val="0"/>
              <w:divBdr>
                <w:top w:val="none" w:sz="0" w:space="0" w:color="auto"/>
                <w:left w:val="none" w:sz="0" w:space="0" w:color="auto"/>
                <w:bottom w:val="none" w:sz="0" w:space="0" w:color="auto"/>
                <w:right w:val="none" w:sz="0" w:space="0" w:color="auto"/>
              </w:divBdr>
            </w:div>
          </w:divsChild>
        </w:div>
        <w:div w:id="72248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428</Words>
  <Characters>2440</Characters>
  <Application>Microsoft Office Word</Application>
  <DocSecurity>0</DocSecurity>
  <Lines>20</Lines>
  <Paragraphs>5</Paragraphs>
  <ScaleCrop>false</ScaleCrop>
  <Company>SHFE</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dc:creator>
  <cp:lastModifiedBy>季铄人:返回拟稿人</cp:lastModifiedBy>
  <cp:revision>2</cp:revision>
  <dcterms:created xsi:type="dcterms:W3CDTF">2024-09-03T04:58:00Z</dcterms:created>
  <dcterms:modified xsi:type="dcterms:W3CDTF">2024-09-03T05:03:00Z</dcterms:modified>
</cp:coreProperties>
</file>