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492" w:rsidRDefault="00797492" w:rsidP="00C3528B">
      <w:pPr>
        <w:spacing w:line="560" w:lineRule="exact"/>
      </w:pPr>
    </w:p>
    <w:p w:rsidR="00610D9C" w:rsidRDefault="00874A02" w:rsidP="00C3528B">
      <w:pPr>
        <w:autoSpaceDE w:val="0"/>
        <w:autoSpaceDN w:val="0"/>
        <w:adjustRightInd w:val="0"/>
        <w:spacing w:line="560" w:lineRule="exact"/>
        <w:jc w:val="center"/>
        <w:rPr>
          <w:rFonts w:eastAsia="方正大标宋简体"/>
          <w:sz w:val="42"/>
          <w:szCs w:val="42"/>
        </w:rPr>
      </w:pPr>
      <w:r>
        <w:rPr>
          <w:rFonts w:eastAsia="方正大标宋简体"/>
          <w:sz w:val="42"/>
          <w:szCs w:val="42"/>
        </w:rPr>
        <w:t>上海期货交易所套期保值交易管理办法</w:t>
      </w:r>
    </w:p>
    <w:p w:rsidR="00CA13B2" w:rsidRPr="00797492" w:rsidRDefault="00CA13B2" w:rsidP="00797492"/>
    <w:p w:rsidR="00610D9C" w:rsidRDefault="00874A02" w:rsidP="005204A5">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第一章</w:t>
      </w:r>
      <w:r>
        <w:rPr>
          <w:rFonts w:eastAsia="方正黑体简体" w:hint="eastAsia"/>
          <w:kern w:val="0"/>
          <w:sz w:val="30"/>
          <w:szCs w:val="30"/>
        </w:rPr>
        <w:t xml:space="preserve"> </w:t>
      </w:r>
      <w:r>
        <w:rPr>
          <w:rFonts w:eastAsia="方正黑体简体"/>
          <w:kern w:val="0"/>
          <w:sz w:val="30"/>
          <w:szCs w:val="30"/>
        </w:rPr>
        <w:t>总</w:t>
      </w:r>
      <w:r>
        <w:rPr>
          <w:rFonts w:eastAsia="方正黑体简体" w:hint="eastAsia"/>
          <w:kern w:val="0"/>
          <w:sz w:val="30"/>
          <w:szCs w:val="30"/>
        </w:rPr>
        <w:t xml:space="preserve"> </w:t>
      </w:r>
      <w:r>
        <w:rPr>
          <w:rFonts w:eastAsia="方正黑体简体"/>
          <w:kern w:val="0"/>
          <w:sz w:val="30"/>
          <w:szCs w:val="30"/>
        </w:rPr>
        <w:t>则</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第一条</w:t>
      </w:r>
      <w:r>
        <w:rPr>
          <w:rFonts w:eastAsia="方正仿宋简体" w:hint="eastAsia"/>
          <w:b/>
          <w:color w:val="000000"/>
          <w:sz w:val="30"/>
          <w:szCs w:val="30"/>
        </w:rPr>
        <w:t xml:space="preserve"> </w:t>
      </w:r>
      <w:r>
        <w:rPr>
          <w:rFonts w:eastAsia="方正仿宋简体"/>
          <w:color w:val="000000"/>
          <w:sz w:val="30"/>
          <w:szCs w:val="30"/>
        </w:rPr>
        <w:t>为了充分发挥期货市场的套期保值功能，促进期货市场的规范发展，根据《上海期货交易所交易规则》等有关规定，制定本办法。</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第二条</w:t>
      </w:r>
      <w:r>
        <w:rPr>
          <w:rFonts w:eastAsia="方正仿宋简体" w:hint="eastAsia"/>
          <w:b/>
          <w:color w:val="000000"/>
          <w:sz w:val="30"/>
          <w:szCs w:val="30"/>
        </w:rPr>
        <w:t xml:space="preserve"> </w:t>
      </w:r>
      <w:r>
        <w:rPr>
          <w:rFonts w:eastAsia="方正仿宋简体"/>
          <w:color w:val="000000"/>
          <w:sz w:val="30"/>
          <w:szCs w:val="30"/>
        </w:rPr>
        <w:t>套期保值交易头寸分为一般月份套期保值交易头寸和临近交割月份套期保值交易头寸。</w:t>
      </w:r>
    </w:p>
    <w:p w:rsidR="00082FBE" w:rsidRPr="000D4FD6" w:rsidRDefault="00A20DFE" w:rsidP="00C3528B">
      <w:pPr>
        <w:spacing w:line="560" w:lineRule="exact"/>
        <w:ind w:firstLineChars="200" w:firstLine="600"/>
        <w:rPr>
          <w:rFonts w:eastAsia="方正仿宋简体"/>
          <w:color w:val="000000"/>
          <w:sz w:val="30"/>
          <w:szCs w:val="30"/>
        </w:rPr>
      </w:pPr>
      <w:r w:rsidRPr="000D4FD6">
        <w:rPr>
          <w:rFonts w:eastAsia="方正仿宋简体" w:hint="eastAsia"/>
          <w:color w:val="000000"/>
          <w:sz w:val="30"/>
          <w:szCs w:val="30"/>
        </w:rPr>
        <w:t>一般月份和临近交割月份及其套期保值交易头寸申请时间按照各品种期货业务细则的具体规定执行。</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第三条</w:t>
      </w:r>
      <w:r>
        <w:rPr>
          <w:rFonts w:eastAsia="方正仿宋简体" w:hint="eastAsia"/>
          <w:b/>
          <w:color w:val="000000"/>
          <w:sz w:val="30"/>
          <w:szCs w:val="30"/>
        </w:rPr>
        <w:t xml:space="preserve"> </w:t>
      </w:r>
      <w:r>
        <w:rPr>
          <w:rFonts w:eastAsia="方正仿宋简体"/>
          <w:color w:val="000000"/>
          <w:sz w:val="30"/>
          <w:szCs w:val="30"/>
        </w:rPr>
        <w:t>会员或者客户在上海期货交易所（以下简称交易所）从事套期保值业务，应当遵守本办法。</w:t>
      </w:r>
    </w:p>
    <w:p w:rsidR="00610D9C" w:rsidRDefault="00874A02" w:rsidP="005204A5">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第二章</w:t>
      </w:r>
      <w:r>
        <w:rPr>
          <w:rFonts w:eastAsia="方正黑体简体" w:hint="eastAsia"/>
          <w:kern w:val="0"/>
          <w:sz w:val="30"/>
          <w:szCs w:val="30"/>
        </w:rPr>
        <w:t xml:space="preserve"> </w:t>
      </w:r>
      <w:r>
        <w:rPr>
          <w:rFonts w:eastAsia="方正黑体简体"/>
          <w:kern w:val="0"/>
          <w:sz w:val="30"/>
          <w:szCs w:val="30"/>
        </w:rPr>
        <w:t>一般月份套期保值交易头寸的申请与审批</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第四条</w:t>
      </w:r>
      <w:r>
        <w:rPr>
          <w:rFonts w:eastAsia="方正仿宋简体" w:hint="eastAsia"/>
          <w:b/>
          <w:color w:val="000000"/>
          <w:sz w:val="30"/>
          <w:szCs w:val="30"/>
        </w:rPr>
        <w:t xml:space="preserve"> </w:t>
      </w:r>
      <w:r>
        <w:rPr>
          <w:rFonts w:eastAsia="方正仿宋简体"/>
          <w:color w:val="000000"/>
          <w:sz w:val="30"/>
          <w:szCs w:val="30"/>
        </w:rPr>
        <w:t>一般月份套期保值交易头寸实行审批制。一般月份套期保值交易分为一般月份买入套期保值交易和一般月份卖出套期保值交易。</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第五条</w:t>
      </w:r>
      <w:r>
        <w:rPr>
          <w:rFonts w:eastAsia="方正仿宋简体" w:hint="eastAsia"/>
          <w:b/>
          <w:color w:val="000000"/>
          <w:sz w:val="30"/>
          <w:szCs w:val="30"/>
        </w:rPr>
        <w:t xml:space="preserve"> </w:t>
      </w:r>
      <w:r>
        <w:rPr>
          <w:rFonts w:eastAsia="方正仿宋简体"/>
          <w:color w:val="000000"/>
          <w:sz w:val="30"/>
          <w:szCs w:val="30"/>
        </w:rPr>
        <w:t>需要进行一般月份套期保值交易的客户应当向其开户的期货公司会员申报，期货公司会员进行审核后，按照本办法向交易所办理申报手续；非期货公司会员直接向交易所办理申报</w:t>
      </w:r>
      <w:r>
        <w:rPr>
          <w:rFonts w:eastAsia="方正仿宋简体"/>
          <w:color w:val="000000"/>
          <w:sz w:val="30"/>
          <w:szCs w:val="30"/>
        </w:rPr>
        <w:lastRenderedPageBreak/>
        <w:t>手续。</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第六条</w:t>
      </w:r>
      <w:r>
        <w:rPr>
          <w:rFonts w:eastAsia="方正仿宋简体" w:hint="eastAsia"/>
          <w:b/>
          <w:color w:val="000000"/>
          <w:sz w:val="30"/>
          <w:szCs w:val="30"/>
        </w:rPr>
        <w:t xml:space="preserve"> </w:t>
      </w:r>
      <w:r>
        <w:rPr>
          <w:rFonts w:eastAsia="方正仿宋简体"/>
          <w:color w:val="000000"/>
          <w:sz w:val="30"/>
          <w:szCs w:val="30"/>
        </w:rPr>
        <w:t>申请一般月份套期保值交易头寸的非期货公司会员或者客户应当具备与套期保值交易品种相关的生产经营资格。</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第七条</w:t>
      </w:r>
      <w:r>
        <w:rPr>
          <w:rFonts w:eastAsia="方正仿宋简体" w:hint="eastAsia"/>
          <w:b/>
          <w:color w:val="000000"/>
          <w:sz w:val="30"/>
          <w:szCs w:val="30"/>
        </w:rPr>
        <w:t xml:space="preserve"> </w:t>
      </w:r>
      <w:r>
        <w:rPr>
          <w:rFonts w:eastAsia="方正仿宋简体"/>
          <w:color w:val="000000"/>
          <w:sz w:val="30"/>
          <w:szCs w:val="30"/>
        </w:rPr>
        <w:t>申请一般月份套期保值交易头寸的会员或者客户，应当提交下列证明材料</w:t>
      </w:r>
      <w:r>
        <w:rPr>
          <w:rFonts w:eastAsia="方正仿宋简体" w:hint="eastAsia"/>
          <w:color w:val="000000"/>
          <w:sz w:val="30"/>
          <w:szCs w:val="30"/>
        </w:rPr>
        <w:t>：</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（一）企业营业执照副本复印件；</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（三）套期保值交易方案（主要内容包括风险来源分析、保值目标、预期的交割或者平仓的数量）；</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（四）交易所要求的其他证明材料。</w:t>
      </w:r>
    </w:p>
    <w:p w:rsidR="006A3527" w:rsidRPr="00B65AF8" w:rsidRDefault="006A3527" w:rsidP="00C3528B">
      <w:pPr>
        <w:spacing w:line="560" w:lineRule="exact"/>
        <w:ind w:firstLineChars="200" w:firstLine="600"/>
        <w:rPr>
          <w:rFonts w:eastAsia="方正仿宋简体"/>
          <w:color w:val="000000"/>
          <w:sz w:val="30"/>
          <w:szCs w:val="30"/>
        </w:rPr>
      </w:pPr>
      <w:r w:rsidRPr="00B65AF8">
        <w:rPr>
          <w:rFonts w:eastAsia="方正仿宋简体" w:hint="eastAsia"/>
          <w:color w:val="000000"/>
          <w:sz w:val="30"/>
          <w:szCs w:val="30"/>
        </w:rPr>
        <w:t>会员或者客户可以一次申请多个合约的一般月份套期保值交易头寸。</w:t>
      </w:r>
    </w:p>
    <w:p w:rsidR="00610D9C" w:rsidRDefault="00B65AF8"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八</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rsidR="00610D9C" w:rsidRDefault="00874A02" w:rsidP="005204A5">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第三章</w:t>
      </w:r>
      <w:r>
        <w:rPr>
          <w:rFonts w:eastAsia="方正黑体简体" w:hint="eastAsia"/>
          <w:kern w:val="0"/>
          <w:sz w:val="30"/>
          <w:szCs w:val="30"/>
        </w:rPr>
        <w:t xml:space="preserve"> </w:t>
      </w:r>
      <w:r>
        <w:rPr>
          <w:rFonts w:eastAsia="方正黑体简体"/>
          <w:kern w:val="0"/>
          <w:sz w:val="30"/>
          <w:szCs w:val="30"/>
        </w:rPr>
        <w:t>临近交割月份套期保值交易头寸的申请与审批</w:t>
      </w:r>
    </w:p>
    <w:p w:rsidR="00610D9C" w:rsidRDefault="00B65AF8"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九</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临近交割月份套期保值交易头寸实行审批制。临近交割月份套期保值交易分为临近交割月份买入套期保值交易和临近交割月份卖出套期保值交易。</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lastRenderedPageBreak/>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610D9C" w:rsidRDefault="00B65AF8"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rsidR="00610D9C" w:rsidRDefault="00B65AF8"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w:t>
      </w:r>
      <w:r>
        <w:rPr>
          <w:rFonts w:eastAsia="方正仿宋简体" w:hint="eastAsia"/>
          <w:b/>
          <w:color w:val="000000"/>
          <w:sz w:val="30"/>
          <w:szCs w:val="30"/>
        </w:rPr>
        <w:t>一</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申请临近交割月份套期保值交易头寸的会员或者客户，应当提交以下证明材料：</w:t>
      </w:r>
      <w:r w:rsidR="00874A02">
        <w:rPr>
          <w:rFonts w:eastAsia="方正仿宋简体"/>
          <w:color w:val="000000"/>
          <w:sz w:val="30"/>
          <w:szCs w:val="30"/>
        </w:rPr>
        <w:t xml:space="preserve"> </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（一）企业营业执照副本复印件；</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（二）证明企业临近交割月份套期保值交易需求真实性的相关材料，如当年或者下一年度生产计划书、现货仓单、库存证明、加工订单、购销合同、拥有实物的其他有效凭证等；</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（三）套期保值交易方案（主要内容应当包括风险来源分析、保值目标、预期的交割或者平仓的数量）；</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（四）交易所要求的其他证明材料。</w:t>
      </w:r>
    </w:p>
    <w:p w:rsidR="00610D9C" w:rsidRDefault="00B65AF8"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w:t>
      </w:r>
      <w:r>
        <w:rPr>
          <w:rFonts w:eastAsia="方正仿宋简体" w:hint="eastAsia"/>
          <w:b/>
          <w:color w:val="000000"/>
          <w:sz w:val="30"/>
          <w:szCs w:val="30"/>
        </w:rPr>
        <w:t>二</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交易所对临近交割月份套期保值交易头寸的申请，将按照会员或者客户的交易部位和数</w:t>
      </w:r>
      <w:r w:rsidR="005204A5">
        <w:rPr>
          <w:rFonts w:eastAsia="方正仿宋简体"/>
          <w:color w:val="000000"/>
          <w:sz w:val="30"/>
          <w:szCs w:val="30"/>
        </w:rPr>
        <w:t>量、现货经营状况、对应期货合约的持仓状况、可供交割品在交易所交割</w:t>
      </w:r>
      <w:r w:rsidR="00874A02">
        <w:rPr>
          <w:rFonts w:eastAsia="方正仿宋简体"/>
          <w:color w:val="000000"/>
          <w:sz w:val="30"/>
          <w:szCs w:val="30"/>
        </w:rPr>
        <w:t>库库存以及期现价格是否背离等，确定其临近交割月份套期保值交易头寸。临近交割月份套期保值交易头寸不超过其所提供的相关套期保值证明材料中所申报的数量。</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全年各合约月份临近交割月份套期保值交易头寸累计不超</w:t>
      </w:r>
      <w:r>
        <w:rPr>
          <w:rFonts w:eastAsia="方正仿宋简体"/>
          <w:color w:val="000000"/>
          <w:sz w:val="30"/>
          <w:szCs w:val="30"/>
        </w:rPr>
        <w:lastRenderedPageBreak/>
        <w:t>过其当年生产能力、当年生产计划或者上一年度该商品经营数量。</w:t>
      </w:r>
    </w:p>
    <w:p w:rsidR="00610D9C" w:rsidRDefault="00B65AF8"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w:t>
      </w:r>
      <w:r>
        <w:rPr>
          <w:rFonts w:eastAsia="方正仿宋简体" w:hint="eastAsia"/>
          <w:b/>
          <w:color w:val="000000"/>
          <w:sz w:val="30"/>
          <w:szCs w:val="30"/>
        </w:rPr>
        <w:t>三条</w:t>
      </w:r>
      <w:r>
        <w:rPr>
          <w:rFonts w:eastAsia="方正仿宋简体" w:hint="eastAsia"/>
          <w:b/>
          <w:color w:val="000000"/>
          <w:sz w:val="30"/>
          <w:szCs w:val="30"/>
        </w:rPr>
        <w:t xml:space="preserve"> </w:t>
      </w:r>
      <w:r w:rsidR="00874A02">
        <w:rPr>
          <w:rFonts w:eastAsia="方正仿宋简体"/>
          <w:color w:val="000000"/>
          <w:sz w:val="30"/>
          <w:szCs w:val="30"/>
        </w:rPr>
        <w:t>未获临近交割月份套期保值交易头寸的非期货公司会员或者客户，其一般月份套期保值交易头寸在进入</w:t>
      </w:r>
      <w:r w:rsidR="00307E9C" w:rsidRPr="00B65AF8">
        <w:rPr>
          <w:rFonts w:eastAsia="方正仿宋简体" w:hint="eastAsia"/>
          <w:color w:val="000000"/>
          <w:sz w:val="30"/>
          <w:szCs w:val="30"/>
        </w:rPr>
        <w:t>临近交割月份</w:t>
      </w:r>
      <w:r w:rsidR="00874A02">
        <w:rPr>
          <w:rFonts w:eastAsia="方正仿宋简体"/>
          <w:color w:val="000000"/>
          <w:sz w:val="30"/>
          <w:szCs w:val="30"/>
        </w:rPr>
        <w:t>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610D9C" w:rsidRDefault="00874A02" w:rsidP="005204A5">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第四章</w:t>
      </w:r>
      <w:r>
        <w:rPr>
          <w:rFonts w:eastAsia="方正黑体简体" w:hint="eastAsia"/>
          <w:kern w:val="0"/>
          <w:sz w:val="30"/>
          <w:szCs w:val="30"/>
        </w:rPr>
        <w:t xml:space="preserve"> </w:t>
      </w:r>
      <w:r>
        <w:rPr>
          <w:rFonts w:eastAsia="方正黑体简体"/>
          <w:kern w:val="0"/>
          <w:sz w:val="30"/>
          <w:szCs w:val="30"/>
        </w:rPr>
        <w:t>套期保值交易</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w:t>
      </w:r>
      <w:r>
        <w:rPr>
          <w:rFonts w:eastAsia="方正仿宋简体" w:hint="eastAsia"/>
          <w:b/>
          <w:color w:val="000000"/>
          <w:sz w:val="30"/>
          <w:szCs w:val="30"/>
        </w:rPr>
        <w:t>四</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9B57C6" w:rsidRPr="009B57C6">
        <w:rPr>
          <w:rFonts w:eastAsia="方正仿宋简体" w:hint="eastAsia"/>
          <w:color w:val="000000"/>
          <w:sz w:val="30"/>
          <w:szCs w:val="30"/>
        </w:rPr>
        <w:t>获准套期保值交易头寸的会员或者客户，可以在该套期保值所涉合约最后交易日前第三个交易日收市前，通过交易指令直接建立套期保值交易头寸，或者按照要求通过确认持仓的方式建立套期保</w:t>
      </w:r>
      <w:r w:rsidR="009B57C6">
        <w:rPr>
          <w:rFonts w:eastAsia="方正仿宋简体" w:hint="eastAsia"/>
          <w:color w:val="000000"/>
          <w:sz w:val="30"/>
          <w:szCs w:val="30"/>
        </w:rPr>
        <w:t>值交易头寸。在规定期限内未建仓的，视为自动放弃套期保值交易头寸</w:t>
      </w:r>
      <w:r w:rsidR="00874A02">
        <w:rPr>
          <w:rFonts w:eastAsia="方正仿宋简体"/>
          <w:color w:val="000000"/>
          <w:sz w:val="30"/>
          <w:szCs w:val="30"/>
        </w:rPr>
        <w:t>。</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十五</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相关品种套期保值持仓临近交割期整倍数调整参照投机持仓整倍数调整方法执行。</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十六</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610D9C" w:rsidRDefault="003A4E0C" w:rsidP="00C3528B">
      <w:pPr>
        <w:spacing w:line="560" w:lineRule="exact"/>
        <w:ind w:firstLineChars="200" w:firstLine="602"/>
        <w:rPr>
          <w:rFonts w:eastAsia="方正仿宋简体"/>
          <w:color w:val="000000"/>
          <w:sz w:val="30"/>
          <w:szCs w:val="30"/>
        </w:rPr>
      </w:pPr>
      <w:r>
        <w:rPr>
          <w:rFonts w:eastAsia="方正仿宋简体" w:hint="eastAsia"/>
          <w:b/>
          <w:color w:val="000000"/>
          <w:sz w:val="30"/>
          <w:szCs w:val="30"/>
        </w:rPr>
        <w:t>第十七</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期权行权时，期权套期保值持仓转化为相应的期货套期保值持仓。</w:t>
      </w:r>
    </w:p>
    <w:p w:rsidR="00610D9C" w:rsidRDefault="00874A02" w:rsidP="005204A5">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第五章</w:t>
      </w:r>
      <w:r>
        <w:rPr>
          <w:rFonts w:eastAsia="方正黑体简体" w:hint="eastAsia"/>
          <w:kern w:val="0"/>
          <w:sz w:val="30"/>
          <w:szCs w:val="30"/>
        </w:rPr>
        <w:t xml:space="preserve"> </w:t>
      </w:r>
      <w:r>
        <w:rPr>
          <w:rFonts w:eastAsia="方正黑体简体"/>
          <w:kern w:val="0"/>
          <w:sz w:val="30"/>
          <w:szCs w:val="30"/>
        </w:rPr>
        <w:t>套期保值监督管理</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十八</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交易所自收到套期保值交易头寸申请后，在</w:t>
      </w:r>
      <w:r w:rsidR="00874A02">
        <w:rPr>
          <w:rFonts w:eastAsia="方正仿宋简体"/>
          <w:color w:val="000000"/>
          <w:sz w:val="30"/>
          <w:szCs w:val="30"/>
        </w:rPr>
        <w:t>5</w:t>
      </w:r>
      <w:r w:rsidR="00874A02">
        <w:rPr>
          <w:rFonts w:eastAsia="方正仿宋简体"/>
          <w:color w:val="000000"/>
          <w:sz w:val="30"/>
          <w:szCs w:val="30"/>
        </w:rPr>
        <w:t>个</w:t>
      </w:r>
      <w:r w:rsidR="00874A02">
        <w:rPr>
          <w:rFonts w:eastAsia="方正仿宋简体"/>
          <w:color w:val="000000"/>
          <w:sz w:val="30"/>
          <w:szCs w:val="30"/>
        </w:rPr>
        <w:lastRenderedPageBreak/>
        <w:t>交易日内进行审核，并按下列情况分别处理：</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（一）对符合套期保值条件的，通知其准予办理；</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（二）对不符合套期保值条件的，通知其不予办理；</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（三）对相关证明材料不足的，告知申请人补充证明材料。</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十九</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交易所对会员或者客户提供的有关生产经营状况、资信情况及期货、期权、现货市场交易行为可以随时进行监督和调查，会员以及相关客户应当予以协助和配合。</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交易所可以要求获批套期保值交易头寸的会员或者客户报告现货、期货、期权交易情况。</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交易所对会员或者客户获批套期保值交易头寸的使用情况进行监督管理。</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w:t>
      </w:r>
      <w:r>
        <w:rPr>
          <w:rFonts w:eastAsia="方正仿宋简体" w:hint="eastAsia"/>
          <w:b/>
          <w:color w:val="000000"/>
          <w:sz w:val="30"/>
          <w:szCs w:val="30"/>
        </w:rPr>
        <w:t>一</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w:t>
      </w:r>
      <w:r>
        <w:rPr>
          <w:rFonts w:eastAsia="方正仿宋简体" w:hint="eastAsia"/>
          <w:b/>
          <w:color w:val="000000"/>
          <w:sz w:val="30"/>
          <w:szCs w:val="30"/>
        </w:rPr>
        <w:t>二</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会员或者客户需要调整套期保值交易头寸时，应当及时向交易所提出变更申请。</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w:t>
      </w:r>
      <w:r>
        <w:rPr>
          <w:rFonts w:eastAsia="方正仿宋简体" w:hint="eastAsia"/>
          <w:b/>
          <w:color w:val="000000"/>
          <w:sz w:val="30"/>
          <w:szCs w:val="30"/>
        </w:rPr>
        <w:t>三</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二十四</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获批套期保值头寸的会员或者客户在套期保值头寸额度内频繁进行开平仓交易的或者利用获批的套期保值交易头寸影响或者企图影响市场价格的，交易所可以对其采取谈话</w:t>
      </w:r>
      <w:r w:rsidR="00874A02">
        <w:rPr>
          <w:rFonts w:eastAsia="方正仿宋简体"/>
          <w:color w:val="000000"/>
          <w:sz w:val="30"/>
          <w:szCs w:val="30"/>
        </w:rPr>
        <w:lastRenderedPageBreak/>
        <w:t>提醒、书面警示、调整或者取消其套期保值交易头寸、限制开仓、限期平仓、强行平仓等措施。</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二十五</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在市场发生风险时，为化解市场风险，交易所根据有关规定实施减仓时，按照先投机后套期保值的顺序进行减仓。</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二十六</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交易所可以根据期货市场、期权市场、现货市场和持仓情况随时要求申请会员或者客户对其已获批的套期保值交易头寸提供补充说明材料。</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二十七</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会员以及客户在进行套期保值申请和交易时，有欺诈或者违反交易所规定行为的，交易所可以不受理其套期保值申请、调整或者取消其套期保值交易头寸，将其已建立的相关套期保值持仓按投机持仓处理或者予以强行平仓，并按《上海期货交易所违规处理办法》的有关规定处理。</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二十八</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交易所可以对套期保值交易的保证金、手续费采取优惠措施。</w:t>
      </w:r>
    </w:p>
    <w:p w:rsidR="00610D9C" w:rsidRDefault="00874A02" w:rsidP="005204A5">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第六章</w:t>
      </w:r>
      <w:r>
        <w:rPr>
          <w:rFonts w:eastAsia="方正黑体简体" w:hint="eastAsia"/>
          <w:kern w:val="0"/>
          <w:sz w:val="30"/>
          <w:szCs w:val="30"/>
        </w:rPr>
        <w:t xml:space="preserve"> </w:t>
      </w:r>
      <w:r>
        <w:rPr>
          <w:rFonts w:eastAsia="方正黑体简体"/>
          <w:kern w:val="0"/>
          <w:sz w:val="30"/>
          <w:szCs w:val="30"/>
        </w:rPr>
        <w:t>附</w:t>
      </w:r>
      <w:r>
        <w:rPr>
          <w:rFonts w:eastAsia="方正黑体简体" w:hint="eastAsia"/>
          <w:kern w:val="0"/>
          <w:sz w:val="30"/>
          <w:szCs w:val="30"/>
        </w:rPr>
        <w:t xml:space="preserve"> </w:t>
      </w:r>
      <w:r>
        <w:rPr>
          <w:rFonts w:eastAsia="方正黑体简体"/>
          <w:kern w:val="0"/>
          <w:sz w:val="30"/>
          <w:szCs w:val="30"/>
        </w:rPr>
        <w:t>则</w:t>
      </w:r>
    </w:p>
    <w:p w:rsidR="00B139E7" w:rsidRPr="00082FBE" w:rsidRDefault="00B139E7" w:rsidP="00C3528B">
      <w:pPr>
        <w:spacing w:line="560" w:lineRule="exact"/>
        <w:ind w:firstLineChars="200" w:firstLine="602"/>
        <w:rPr>
          <w:rFonts w:eastAsia="方正仿宋简体"/>
          <w:b/>
          <w:color w:val="FF0000"/>
          <w:sz w:val="30"/>
          <w:szCs w:val="30"/>
        </w:rPr>
      </w:pPr>
      <w:r w:rsidRPr="003A4E0C">
        <w:rPr>
          <w:rFonts w:eastAsia="方正仿宋简体" w:hint="eastAsia"/>
          <w:b/>
          <w:color w:val="000000"/>
          <w:sz w:val="30"/>
          <w:szCs w:val="30"/>
        </w:rPr>
        <w:t>第</w:t>
      </w:r>
      <w:r w:rsidR="003A4E0C" w:rsidRPr="003A4E0C">
        <w:rPr>
          <w:rFonts w:eastAsia="方正仿宋简体" w:hint="eastAsia"/>
          <w:b/>
          <w:color w:val="000000"/>
          <w:sz w:val="30"/>
          <w:szCs w:val="30"/>
        </w:rPr>
        <w:t>二十九</w:t>
      </w:r>
      <w:r w:rsidRPr="003A4E0C">
        <w:rPr>
          <w:rFonts w:eastAsia="方正仿宋简体" w:hint="eastAsia"/>
          <w:b/>
          <w:color w:val="000000"/>
          <w:sz w:val="30"/>
          <w:szCs w:val="30"/>
        </w:rPr>
        <w:t>条</w:t>
      </w:r>
      <w:r w:rsidRPr="00082FBE">
        <w:rPr>
          <w:rFonts w:eastAsia="方正仿宋简体" w:hint="eastAsia"/>
          <w:b/>
          <w:color w:val="FF0000"/>
          <w:sz w:val="30"/>
          <w:szCs w:val="30"/>
        </w:rPr>
        <w:t xml:space="preserve"> </w:t>
      </w:r>
      <w:r w:rsidRPr="003A4E0C">
        <w:rPr>
          <w:rFonts w:eastAsia="方正仿宋简体" w:hint="eastAsia"/>
          <w:color w:val="000000"/>
          <w:sz w:val="30"/>
          <w:szCs w:val="30"/>
        </w:rPr>
        <w:t>各品种期货业务细则另有规定的，按照其规定执行。</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本办法解释权属于上海期货交易所。</w:t>
      </w:r>
    </w:p>
    <w:p w:rsidR="00610D9C" w:rsidRDefault="003A4E0C"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w:t>
      </w:r>
      <w:r>
        <w:rPr>
          <w:rFonts w:eastAsia="方正仿宋简体" w:hint="eastAsia"/>
          <w:b/>
          <w:color w:val="000000"/>
          <w:sz w:val="30"/>
          <w:szCs w:val="30"/>
        </w:rPr>
        <w:t>一</w:t>
      </w:r>
      <w:r w:rsidR="00874A02">
        <w:rPr>
          <w:rFonts w:eastAsia="方正仿宋简体"/>
          <w:b/>
          <w:color w:val="000000"/>
          <w:sz w:val="30"/>
          <w:szCs w:val="30"/>
        </w:rPr>
        <w:t>条</w:t>
      </w:r>
      <w:r w:rsidR="00874A02">
        <w:rPr>
          <w:rFonts w:eastAsia="方正仿宋简体" w:hint="eastAsia"/>
          <w:b/>
          <w:color w:val="000000"/>
          <w:sz w:val="30"/>
          <w:szCs w:val="30"/>
        </w:rPr>
        <w:t xml:space="preserve"> </w:t>
      </w:r>
      <w:r w:rsidR="00874A02">
        <w:rPr>
          <w:rFonts w:eastAsia="方正仿宋简体"/>
          <w:color w:val="000000"/>
          <w:sz w:val="30"/>
          <w:szCs w:val="30"/>
        </w:rPr>
        <w:t>本办法自</w:t>
      </w:r>
      <w:r w:rsidR="00DB25C7" w:rsidRPr="00DB25C7">
        <w:rPr>
          <w:rFonts w:eastAsia="方正仿宋简体"/>
          <w:color w:val="000000" w:themeColor="text1"/>
          <w:sz w:val="30"/>
          <w:szCs w:val="30"/>
        </w:rPr>
        <w:t>2024</w:t>
      </w:r>
      <w:r w:rsidR="00874A02" w:rsidRPr="00DB25C7">
        <w:rPr>
          <w:rFonts w:eastAsia="方正仿宋简体"/>
          <w:color w:val="000000" w:themeColor="text1"/>
          <w:sz w:val="30"/>
          <w:szCs w:val="30"/>
        </w:rPr>
        <w:t>年</w:t>
      </w:r>
      <w:r w:rsidR="00DB25C7" w:rsidRPr="00DB25C7">
        <w:rPr>
          <w:rFonts w:eastAsia="方正仿宋简体"/>
          <w:color w:val="000000" w:themeColor="text1"/>
          <w:sz w:val="30"/>
          <w:szCs w:val="30"/>
        </w:rPr>
        <w:t>10</w:t>
      </w:r>
      <w:r>
        <w:rPr>
          <w:rFonts w:eastAsia="方正仿宋简体" w:hint="eastAsia"/>
          <w:sz w:val="30"/>
          <w:szCs w:val="30"/>
        </w:rPr>
        <w:t>月</w:t>
      </w:r>
      <w:r w:rsidR="00DB25C7">
        <w:rPr>
          <w:rFonts w:eastAsia="方正仿宋简体" w:hint="eastAsia"/>
          <w:sz w:val="30"/>
          <w:szCs w:val="30"/>
        </w:rPr>
        <w:t>23</w:t>
      </w:r>
      <w:r w:rsidR="00874A02">
        <w:rPr>
          <w:rFonts w:eastAsia="方正仿宋简体"/>
          <w:sz w:val="30"/>
          <w:szCs w:val="30"/>
        </w:rPr>
        <w:t>日</w:t>
      </w:r>
      <w:r w:rsidR="00A73F57">
        <w:rPr>
          <w:rFonts w:eastAsia="方正仿宋简体"/>
          <w:color w:val="000000"/>
          <w:sz w:val="30"/>
          <w:szCs w:val="30"/>
        </w:rPr>
        <w:t>起</w:t>
      </w:r>
      <w:r w:rsidR="00A73F57">
        <w:rPr>
          <w:rFonts w:eastAsia="方正仿宋简体" w:hint="eastAsia"/>
          <w:color w:val="000000"/>
          <w:sz w:val="30"/>
          <w:szCs w:val="30"/>
        </w:rPr>
        <w:t>实施</w:t>
      </w:r>
      <w:r w:rsidR="00874A02">
        <w:rPr>
          <w:rFonts w:eastAsia="方正仿宋简体"/>
          <w:color w:val="000000"/>
          <w:sz w:val="30"/>
          <w:szCs w:val="30"/>
        </w:rPr>
        <w:t>。</w:t>
      </w:r>
    </w:p>
    <w:sectPr w:rsidR="00610D9C" w:rsidSect="00A1375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2C" w:rsidRDefault="00FA482C">
      <w:r>
        <w:separator/>
      </w:r>
    </w:p>
  </w:endnote>
  <w:endnote w:type="continuationSeparator" w:id="0">
    <w:p w:rsidR="00FA482C" w:rsidRDefault="00FA48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736"/>
      <w:docPartObj>
        <w:docPartGallery w:val="AutoText"/>
      </w:docPartObj>
    </w:sdtPr>
    <w:sdtEndPr>
      <w:rPr>
        <w:sz w:val="24"/>
      </w:rPr>
    </w:sdtEndPr>
    <w:sdtContent>
      <w:p w:rsidR="00610D9C" w:rsidRDefault="00DD084F">
        <w:pPr>
          <w:pStyle w:val="a3"/>
          <w:jc w:val="center"/>
          <w:rPr>
            <w:sz w:val="24"/>
          </w:rPr>
        </w:pPr>
        <w:r w:rsidRPr="00DD084F">
          <w:rPr>
            <w:sz w:val="24"/>
          </w:rPr>
          <w:fldChar w:fldCharType="begin"/>
        </w:r>
        <w:r w:rsidR="00874A02">
          <w:rPr>
            <w:sz w:val="24"/>
          </w:rPr>
          <w:instrText xml:space="preserve"> PAGE   \* MERGEFORMAT </w:instrText>
        </w:r>
        <w:r w:rsidRPr="00DD084F">
          <w:rPr>
            <w:sz w:val="24"/>
          </w:rPr>
          <w:fldChar w:fldCharType="separate"/>
        </w:r>
        <w:r w:rsidR="005204A5" w:rsidRPr="005204A5">
          <w:rPr>
            <w:noProof/>
            <w:sz w:val="24"/>
            <w:lang w:val="zh-CN"/>
          </w:rPr>
          <w:t>-</w:t>
        </w:r>
        <w:r w:rsidR="005204A5">
          <w:rPr>
            <w:noProof/>
            <w:sz w:val="24"/>
          </w:rPr>
          <w:t xml:space="preserve"> 3 -</w:t>
        </w:r>
        <w:r>
          <w:rPr>
            <w:sz w:val="24"/>
            <w:lang w:val="zh-CN"/>
          </w:rPr>
          <w:fldChar w:fldCharType="end"/>
        </w:r>
      </w:p>
    </w:sdtContent>
  </w:sdt>
  <w:p w:rsidR="00610D9C" w:rsidRDefault="00610D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2C" w:rsidRDefault="00FA482C">
      <w:r>
        <w:separator/>
      </w:r>
    </w:p>
  </w:footnote>
  <w:footnote w:type="continuationSeparator" w:id="0">
    <w:p w:rsidR="00FA482C" w:rsidRDefault="00FA4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EA0"/>
    <w:rsid w:val="957B89DE"/>
    <w:rsid w:val="000331EF"/>
    <w:rsid w:val="000813DA"/>
    <w:rsid w:val="00082FBE"/>
    <w:rsid w:val="000876F3"/>
    <w:rsid w:val="00092DE9"/>
    <w:rsid w:val="000B3DDD"/>
    <w:rsid w:val="000D4FD6"/>
    <w:rsid w:val="000F5ACD"/>
    <w:rsid w:val="0014475A"/>
    <w:rsid w:val="00163D00"/>
    <w:rsid w:val="001D418A"/>
    <w:rsid w:val="001D4C01"/>
    <w:rsid w:val="002531B3"/>
    <w:rsid w:val="002C591C"/>
    <w:rsid w:val="00305D7F"/>
    <w:rsid w:val="00307E9C"/>
    <w:rsid w:val="00361418"/>
    <w:rsid w:val="00367FCE"/>
    <w:rsid w:val="003A465C"/>
    <w:rsid w:val="003A4E0C"/>
    <w:rsid w:val="0050121F"/>
    <w:rsid w:val="005204A5"/>
    <w:rsid w:val="005562F7"/>
    <w:rsid w:val="00610D9C"/>
    <w:rsid w:val="00630756"/>
    <w:rsid w:val="006A3527"/>
    <w:rsid w:val="006B36CF"/>
    <w:rsid w:val="007172CE"/>
    <w:rsid w:val="007468FB"/>
    <w:rsid w:val="00760064"/>
    <w:rsid w:val="00797492"/>
    <w:rsid w:val="00817EA0"/>
    <w:rsid w:val="00863CF7"/>
    <w:rsid w:val="00874A02"/>
    <w:rsid w:val="008B60F0"/>
    <w:rsid w:val="0098773C"/>
    <w:rsid w:val="009B3A69"/>
    <w:rsid w:val="009B57C6"/>
    <w:rsid w:val="009E1721"/>
    <w:rsid w:val="00A13754"/>
    <w:rsid w:val="00A20DFE"/>
    <w:rsid w:val="00A73F57"/>
    <w:rsid w:val="00B0327D"/>
    <w:rsid w:val="00B139E7"/>
    <w:rsid w:val="00B65AF8"/>
    <w:rsid w:val="00B82BA7"/>
    <w:rsid w:val="00BE50DE"/>
    <w:rsid w:val="00BE62AD"/>
    <w:rsid w:val="00C02446"/>
    <w:rsid w:val="00C3528B"/>
    <w:rsid w:val="00C653F8"/>
    <w:rsid w:val="00C81D75"/>
    <w:rsid w:val="00CA13B2"/>
    <w:rsid w:val="00DA7DED"/>
    <w:rsid w:val="00DB25C7"/>
    <w:rsid w:val="00DD084F"/>
    <w:rsid w:val="00EF1DAD"/>
    <w:rsid w:val="00F023F3"/>
    <w:rsid w:val="00F03341"/>
    <w:rsid w:val="00F11F7C"/>
    <w:rsid w:val="00F22D9D"/>
    <w:rsid w:val="00F37943"/>
    <w:rsid w:val="00F92F2E"/>
    <w:rsid w:val="00FA482C"/>
    <w:rsid w:val="00FC6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5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1375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137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13754"/>
    <w:rPr>
      <w:rFonts w:ascii="Times New Roman" w:eastAsia="宋体" w:hAnsi="Times New Roman" w:cs="Times New Roman"/>
      <w:sz w:val="18"/>
      <w:szCs w:val="18"/>
    </w:rPr>
  </w:style>
  <w:style w:type="character" w:customStyle="1" w:styleId="Char">
    <w:name w:val="页脚 Char"/>
    <w:basedOn w:val="a0"/>
    <w:link w:val="a3"/>
    <w:uiPriority w:val="99"/>
    <w:qFormat/>
    <w:rsid w:val="00A1375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465</Words>
  <Characters>2652</Characters>
  <Application>Microsoft Office Word</Application>
  <DocSecurity>0</DocSecurity>
  <Lines>22</Lines>
  <Paragraphs>6</Paragraphs>
  <ScaleCrop>false</ScaleCrop>
  <Company>SHFE</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cp:lastModifiedBy>
  <cp:revision>16</cp:revision>
  <cp:lastPrinted>2024-06-28T02:17:00Z</cp:lastPrinted>
  <dcterms:created xsi:type="dcterms:W3CDTF">2024-07-10T08:48:00Z</dcterms:created>
  <dcterms:modified xsi:type="dcterms:W3CDTF">2024-09-18T00:49:00Z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