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大标宋简体" w:cs="Times New Roman"/>
          <w:bCs/>
          <w:kern w:val="0"/>
          <w:sz w:val="42"/>
          <w:szCs w:val="42"/>
        </w:rPr>
      </w:pPr>
    </w:p>
    <w:p>
      <w:pPr>
        <w:jc w:val="center"/>
        <w:rPr>
          <w:rFonts w:ascii="Times New Roman" w:hAnsi="Times New Roman" w:eastAsia="方正大标宋简体" w:cs="Times New Roman"/>
          <w:bCs/>
          <w:kern w:val="0"/>
          <w:sz w:val="42"/>
          <w:szCs w:val="42"/>
        </w:rPr>
      </w:pPr>
      <w:r>
        <w:rPr>
          <w:rFonts w:ascii="Times New Roman" w:hAnsi="Times New Roman" w:eastAsia="方正大标宋简体" w:cs="Times New Roman"/>
          <w:bCs/>
          <w:kern w:val="0"/>
          <w:sz w:val="42"/>
          <w:szCs w:val="42"/>
        </w:rPr>
        <w:t>上海期货交易所</w:t>
      </w:r>
    </w:p>
    <w:p>
      <w:pPr>
        <w:jc w:val="center"/>
        <w:rPr>
          <w:rFonts w:ascii="Times New Roman" w:hAnsi="Times New Roman" w:eastAsia="方正大标宋简体" w:cs="Times New Roman"/>
          <w:bCs/>
          <w:kern w:val="0"/>
          <w:sz w:val="42"/>
          <w:szCs w:val="42"/>
        </w:rPr>
      </w:pPr>
      <w:r>
        <w:rPr>
          <w:rFonts w:ascii="Times New Roman" w:hAnsi="Times New Roman" w:eastAsia="方正大标宋简体" w:cs="Times New Roman"/>
          <w:bCs/>
          <w:kern w:val="0"/>
          <w:sz w:val="42"/>
          <w:szCs w:val="42"/>
        </w:rPr>
        <w:t>交割月移仓业务指引</w:t>
      </w:r>
    </w:p>
    <w:p>
      <w:pPr>
        <w:rPr>
          <w:rFonts w:ascii="Times New Roman" w:hAnsi="Times New Roman" w:cs="Times New Roman"/>
          <w:sz w:val="30"/>
          <w:szCs w:val="30"/>
        </w:rPr>
      </w:pPr>
    </w:p>
    <w:p>
      <w:pPr>
        <w:spacing w:line="560" w:lineRule="exact"/>
        <w:ind w:firstLine="600" w:firstLineChars="200"/>
        <w:rPr>
          <w:rFonts w:ascii="Times New Roman" w:hAnsi="Times New Roman" w:eastAsia="方正仿宋简体" w:cs="Times New Roman"/>
          <w:b/>
          <w:sz w:val="30"/>
          <w:szCs w:val="30"/>
        </w:rPr>
      </w:pPr>
      <w:r>
        <w:rPr>
          <w:rFonts w:ascii="Times New Roman" w:hAnsi="Times New Roman" w:eastAsia="方正仿宋简体" w:cs="Times New Roman"/>
          <w:sz w:val="30"/>
          <w:szCs w:val="30"/>
        </w:rPr>
        <w:t>为满足境外参与者交割需求，规范镍期货交割月移仓业务，根据上海期货交易所结算、交割相关业务规则，制定本业务指引。</w:t>
      </w:r>
    </w:p>
    <w:p>
      <w:pPr>
        <w:pStyle w:val="12"/>
        <w:spacing w:line="560" w:lineRule="exact"/>
        <w:ind w:left="1370" w:leftChars="338" w:hanging="660" w:hangingChars="220"/>
        <w:rPr>
          <w:rFonts w:ascii="Times New Roman" w:hAnsi="Times New Roman" w:eastAsia="方正黑体简体"/>
          <w:bCs/>
          <w:sz w:val="30"/>
          <w:szCs w:val="30"/>
        </w:rPr>
      </w:pPr>
      <w:r>
        <w:rPr>
          <w:rFonts w:ascii="Times New Roman" w:hAnsi="Times New Roman" w:eastAsia="方正黑体简体"/>
          <w:bCs/>
          <w:sz w:val="30"/>
          <w:szCs w:val="30"/>
        </w:rPr>
        <w:t xml:space="preserve">一、申请条件 </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移出方、移入方应符</w:t>
      </w:r>
      <w:bookmarkStart w:id="0" w:name="_GoBack"/>
      <w:bookmarkEnd w:id="0"/>
      <w:r>
        <w:rPr>
          <w:rFonts w:ascii="Times New Roman" w:hAnsi="Times New Roman" w:eastAsia="方正仿宋简体" w:cs="Times New Roman"/>
          <w:sz w:val="30"/>
          <w:szCs w:val="30"/>
        </w:rPr>
        <w:t>合以下条件：</w:t>
      </w:r>
    </w:p>
    <w:p>
      <w:pPr>
        <w:ind w:firstLine="600" w:firstLineChars="200"/>
        <w:rPr>
          <w:rFonts w:hint="eastAsia" w:ascii="Times New Roman" w:hAnsi="Times New Roman" w:eastAsia="方正仿宋简体" w:cs="Times New Roman"/>
          <w:sz w:val="30"/>
          <w:szCs w:val="30"/>
          <w:lang w:eastAsia="zh-CN"/>
        </w:rPr>
      </w:pPr>
      <w:r>
        <w:rPr>
          <w:rFonts w:ascii="Times New Roman" w:hAnsi="Times New Roman" w:eastAsia="方正仿宋简体" w:cs="Times New Roman"/>
          <w:sz w:val="30"/>
          <w:szCs w:val="30"/>
        </w:rPr>
        <w:t>（一）移出方为境外单位客户或境外特殊非经纪参与者</w:t>
      </w:r>
      <w:r>
        <w:rPr>
          <w:rFonts w:hint="eastAsia" w:ascii="Times New Roman" w:hAnsi="Times New Roman" w:eastAsia="方正仿宋简体" w:cs="Times New Roman"/>
          <w:sz w:val="30"/>
          <w:szCs w:val="30"/>
          <w:lang w:eastAsia="zh-CN"/>
        </w:rPr>
        <w:t>；</w:t>
      </w:r>
    </w:p>
    <w:p>
      <w:pPr>
        <w:ind w:firstLine="600" w:firstLineChars="200"/>
        <w:rPr>
          <w:rFonts w:hint="eastAsia" w:ascii="Times New Roman" w:hAnsi="Times New Roman" w:eastAsia="方正仿宋简体" w:cs="Times New Roman"/>
          <w:sz w:val="30"/>
          <w:szCs w:val="30"/>
          <w:lang w:eastAsia="zh-CN"/>
        </w:rPr>
      </w:pPr>
      <w:r>
        <w:rPr>
          <w:rFonts w:ascii="Times New Roman" w:hAnsi="Times New Roman" w:eastAsia="方正仿宋简体" w:cs="Times New Roman"/>
          <w:sz w:val="30"/>
          <w:szCs w:val="30"/>
        </w:rPr>
        <w:t>（二）移入方为境内一般单位客户或非期货公司会员</w:t>
      </w:r>
      <w:r>
        <w:rPr>
          <w:rFonts w:hint="eastAsia" w:ascii="Times New Roman" w:hAnsi="Times New Roman" w:eastAsia="方正仿宋简体" w:cs="Times New Roman"/>
          <w:sz w:val="30"/>
          <w:szCs w:val="30"/>
          <w:lang w:eastAsia="zh-CN"/>
        </w:rPr>
        <w:t>；</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（三）移出方、移入方属于已生效的同一组实际控制关系账户。</w:t>
      </w:r>
    </w:p>
    <w:p>
      <w:pPr>
        <w:ind w:firstLine="600" w:firstLineChars="200"/>
        <w:rPr>
          <w:rFonts w:ascii="Times New Roman" w:hAnsi="Times New Roman" w:eastAsia="方正黑体简体" w:cs="Times New Roman"/>
          <w:bCs/>
          <w:sz w:val="30"/>
          <w:szCs w:val="30"/>
        </w:rPr>
      </w:pPr>
      <w:r>
        <w:rPr>
          <w:rFonts w:ascii="Times New Roman" w:hAnsi="Times New Roman" w:eastAsia="方正黑体简体" w:cs="Times New Roman"/>
          <w:bCs/>
          <w:sz w:val="30"/>
          <w:szCs w:val="30"/>
        </w:rPr>
        <w:t>二、申请日期、时间和内容</w:t>
      </w:r>
    </w:p>
    <w:p>
      <w:pPr>
        <w:pStyle w:val="12"/>
        <w:spacing w:line="560" w:lineRule="exact"/>
        <w:ind w:left="1370" w:leftChars="338" w:hanging="660" w:hangingChars="220"/>
        <w:rPr>
          <w:rFonts w:ascii="Times New Roman" w:hAnsi="Times New Roman" w:eastAsia="方正楷体简体"/>
          <w:b w:val="0"/>
          <w:bCs/>
          <w:sz w:val="30"/>
          <w:szCs w:val="30"/>
        </w:rPr>
      </w:pPr>
      <w:r>
        <w:rPr>
          <w:rFonts w:ascii="Times New Roman" w:hAnsi="Times New Roman" w:eastAsia="方正楷体简体"/>
          <w:b w:val="0"/>
          <w:bCs/>
          <w:sz w:val="30"/>
          <w:szCs w:val="30"/>
        </w:rPr>
        <w:t>（一）申请日期</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申请移仓合约的交割月第一个交易日起至最后交易日前第四个交易日（含当日）止。</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若最后交易日前第四个交易日早于交割月第一个交易日，则该合约不可申请移仓。</w:t>
      </w:r>
    </w:p>
    <w:p>
      <w:pPr>
        <w:pStyle w:val="12"/>
        <w:spacing w:line="560" w:lineRule="exact"/>
        <w:ind w:left="1370" w:leftChars="338" w:hanging="660" w:hangingChars="220"/>
        <w:rPr>
          <w:rFonts w:ascii="Times New Roman" w:hAnsi="Times New Roman" w:eastAsia="方正楷体简体"/>
          <w:b w:val="0"/>
          <w:bCs/>
          <w:sz w:val="30"/>
          <w:szCs w:val="30"/>
        </w:rPr>
      </w:pPr>
      <w:r>
        <w:rPr>
          <w:rFonts w:ascii="Times New Roman" w:hAnsi="Times New Roman" w:eastAsia="方正楷体简体"/>
          <w:b w:val="0"/>
          <w:bCs/>
          <w:sz w:val="30"/>
          <w:szCs w:val="30"/>
        </w:rPr>
        <w:t>（二）申请时间</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简体"/>
          <w:sz w:val="30"/>
          <w:szCs w:val="30"/>
        </w:rPr>
      </w:pPr>
      <w:r>
        <w:rPr>
          <w:rFonts w:ascii="Times New Roman" w:hAnsi="Times New Roman" w:eastAsia="方正仿宋简体"/>
          <w:sz w:val="30"/>
          <w:szCs w:val="30"/>
        </w:rPr>
        <w:t>移仓业务的申请截止时间为申请当日的14:50</w:t>
      </w:r>
      <w:r>
        <w:rPr>
          <w:rFonts w:hint="eastAsia" w:ascii="Times New Roman" w:hAnsi="Times New Roman" w:eastAsia="方正仿宋简体"/>
          <w:sz w:val="30"/>
          <w:szCs w:val="30"/>
          <w:lang w:eastAsia="zh-CN"/>
        </w:rPr>
        <w:t>之</w:t>
      </w:r>
      <w:r>
        <w:rPr>
          <w:rFonts w:ascii="Times New Roman" w:hAnsi="Times New Roman" w:eastAsia="方正仿宋简体"/>
          <w:sz w:val="30"/>
          <w:szCs w:val="30"/>
        </w:rPr>
        <w:t>前。</w:t>
      </w:r>
    </w:p>
    <w:p>
      <w:pPr>
        <w:pStyle w:val="12"/>
        <w:spacing w:line="560" w:lineRule="exact"/>
        <w:ind w:left="1370" w:leftChars="338" w:hanging="660" w:hangingChars="220"/>
        <w:rPr>
          <w:rFonts w:ascii="Times New Roman" w:hAnsi="Times New Roman" w:eastAsia="方正楷体简体"/>
          <w:b w:val="0"/>
          <w:bCs/>
          <w:sz w:val="30"/>
          <w:szCs w:val="30"/>
        </w:rPr>
      </w:pPr>
      <w:r>
        <w:rPr>
          <w:rFonts w:ascii="Times New Roman" w:hAnsi="Times New Roman" w:eastAsia="方正楷体简体"/>
          <w:b w:val="0"/>
          <w:bCs/>
          <w:sz w:val="30"/>
          <w:szCs w:val="30"/>
        </w:rPr>
        <w:t>（三）申请内容</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境外参与者交割月移仓业务仅适用于镍期货合约，申请移仓手数应当为交割单位对应手数的整数倍，每个申请日可提交多笔申请。</w:t>
      </w:r>
    </w:p>
    <w:p>
      <w:pPr>
        <w:pStyle w:val="12"/>
        <w:spacing w:line="560" w:lineRule="exact"/>
        <w:ind w:left="1370" w:leftChars="338" w:hanging="660" w:hangingChars="220"/>
        <w:rPr>
          <w:rFonts w:ascii="Times New Roman" w:hAnsi="Times New Roman" w:eastAsia="方正黑体简体"/>
          <w:bCs/>
          <w:sz w:val="30"/>
          <w:szCs w:val="30"/>
        </w:rPr>
      </w:pPr>
      <w:r>
        <w:rPr>
          <w:rFonts w:ascii="Times New Roman" w:hAnsi="Times New Roman" w:eastAsia="方正黑体简体"/>
          <w:bCs/>
          <w:sz w:val="30"/>
          <w:szCs w:val="30"/>
        </w:rPr>
        <w:t>三、申请及撤销方式</w:t>
      </w:r>
    </w:p>
    <w:p>
      <w:pPr>
        <w:ind w:firstLine="600" w:firstLineChars="200"/>
        <w:rPr>
          <w:rFonts w:ascii="Times New Roman" w:hAnsi="Times New Roman" w:eastAsia="方正楷体简体" w:cs="Times New Roman"/>
          <w:b w:val="0"/>
          <w:bCs/>
          <w:sz w:val="30"/>
          <w:szCs w:val="30"/>
        </w:rPr>
      </w:pPr>
      <w:r>
        <w:rPr>
          <w:rFonts w:ascii="Times New Roman" w:hAnsi="Times New Roman" w:eastAsia="方正楷体简体" w:cs="Times New Roman"/>
          <w:b w:val="0"/>
          <w:bCs/>
          <w:sz w:val="30"/>
          <w:szCs w:val="30"/>
        </w:rPr>
        <w:t>（一）申请方式</w:t>
      </w:r>
    </w:p>
    <w:p>
      <w:pPr>
        <w:ind w:firstLine="602"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1. 确认实际控制关系生效情况</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出方和移入方应在移仓前至少提前10个交易日确认实控关系已生效。所在会员可以通过会员服务系统（以下简称会服系统）“业务窗口-&gt;实际控制关系账户-&gt;实际控制关系账户申报情况查询”查看实际控制关系生效情况，如实际控制关系账户组内同时包含移出方和移入方，则说明实际控制关系申报已生效。</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实际控制关系账户相关业务流程请参考交易所官网“服务-&gt;监查-&gt;实际控制关系账户日常管理业务指引”。</w:t>
      </w:r>
    </w:p>
    <w:p>
      <w:pPr>
        <w:ind w:firstLine="602"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2. 移出方提出申请</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出方为境外单位客户时，若其为期货公司会员的客户，则由期货公司会员通过会服系统提出移仓申请；若其为境外特殊经纪参与者的客户，则由境外特殊经纪参与者委托结算的期货公司会员提出移仓申请；若其为境外中介机构（由期货公司会员委托代理）的客户，则通过境外中介机构委托代理的期货公司会员提出移仓申请；若其为境外中介机构（由境外特殊经纪参与者委托代理）的客户，则通过境外特殊经纪参与者委托结算的期货公司会员提出移仓申请（上述所涉期货公司会员统称为“移出方期货公司会员”）。移出方、移出方期货公司会员应分别填写同意移仓的声明书，由移出方期货公司会员保存。</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出方为境外特殊非经纪参与者时，由移出方委托结算的期货公司会员通过会服系统提出移仓申请。移出方、移出方委托结算的期货公司会员应分别填写同意移仓的声明书，由移出方委托结算的期货公司会员保存。</w:t>
      </w:r>
    </w:p>
    <w:p>
      <w:pPr>
        <w:ind w:firstLine="602"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3. 移入方确认申请</w:t>
      </w:r>
    </w:p>
    <w:p>
      <w:pPr>
        <w:ind w:left="53" w:leftChars="25"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移入方为境内一般单位客户时，由移入方期货公司会员在14:50之前通过会服系统确认移仓申请。移入方、移入方期货公司会员应分别填写同意移仓的声明书，由移入方期货公司会员保存。</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移入方为非期货公司会员时，由移入方在14:50之前通过会服系统确认移仓申请，填写并保存同意移仓的声明书。</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申请未在规定时间内确认的，将被作废。</w:t>
      </w:r>
    </w:p>
    <w:p>
      <w:pPr>
        <w:ind w:firstLine="600" w:firstLineChars="200"/>
        <w:rPr>
          <w:rFonts w:ascii="Times New Roman" w:hAnsi="Times New Roman" w:eastAsia="方正楷体简体" w:cs="Times New Roman"/>
          <w:b w:val="0"/>
          <w:bCs/>
          <w:sz w:val="30"/>
          <w:szCs w:val="30"/>
        </w:rPr>
      </w:pPr>
      <w:r>
        <w:rPr>
          <w:rFonts w:ascii="Times New Roman" w:hAnsi="Times New Roman" w:eastAsia="方正楷体简体" w:cs="Times New Roman"/>
          <w:b w:val="0"/>
          <w:bCs/>
          <w:sz w:val="30"/>
          <w:szCs w:val="30"/>
        </w:rPr>
        <w:t>（二）撤销方式</w:t>
      </w:r>
    </w:p>
    <w:p>
      <w:pPr>
        <w:ind w:firstLine="602"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1.移出方撤销申请</w:t>
      </w:r>
    </w:p>
    <w:p>
      <w:pPr>
        <w:ind w:firstLine="600" w:firstLineChars="200"/>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申请当日</w:t>
      </w:r>
      <w:r>
        <w:rPr>
          <w:rFonts w:hint="eastAsia" w:ascii="Times New Roman" w:hAnsi="Times New Roman" w:eastAsia="方正仿宋简体" w:cs="Times New Roman"/>
          <w:bCs/>
          <w:sz w:val="30"/>
          <w:szCs w:val="30"/>
          <w:lang w:val="en-US" w:eastAsia="zh-CN"/>
        </w:rPr>
        <w:t>14:50</w:t>
      </w:r>
      <w:r>
        <w:rPr>
          <w:rFonts w:ascii="Times New Roman" w:hAnsi="Times New Roman" w:eastAsia="方正仿宋简体" w:cs="Times New Roman"/>
          <w:sz w:val="30"/>
          <w:szCs w:val="30"/>
        </w:rPr>
        <w:t>之</w:t>
      </w:r>
      <w:r>
        <w:rPr>
          <w:rFonts w:ascii="Times New Roman" w:hAnsi="Times New Roman" w:eastAsia="方正仿宋简体" w:cs="Times New Roman"/>
          <w:bCs/>
          <w:sz w:val="30"/>
          <w:szCs w:val="30"/>
        </w:rPr>
        <w:t>前，在移入方期货公司会员未确认申请前，移出方期货公司会员、</w:t>
      </w:r>
      <w:r>
        <w:rPr>
          <w:rFonts w:ascii="Times New Roman" w:hAnsi="Times New Roman" w:eastAsia="方正仿宋简体" w:cs="Times New Roman"/>
          <w:sz w:val="30"/>
          <w:szCs w:val="30"/>
        </w:rPr>
        <w:t>移出方委托结算的期货公司会员</w:t>
      </w:r>
      <w:r>
        <w:rPr>
          <w:rFonts w:ascii="Times New Roman" w:hAnsi="Times New Roman" w:eastAsia="方正仿宋简体" w:cs="Times New Roman"/>
          <w:bCs/>
          <w:sz w:val="30"/>
          <w:szCs w:val="30"/>
        </w:rPr>
        <w:t>可通过会服系统撤销移仓申请。</w:t>
      </w:r>
    </w:p>
    <w:p>
      <w:pPr>
        <w:ind w:firstLine="602" w:firstLineChars="200"/>
        <w:rPr>
          <w:rFonts w:ascii="Times New Roman" w:hAnsi="Times New Roman" w:eastAsia="方正仿宋简体" w:cs="Times New Roman"/>
          <w:b/>
          <w:bCs/>
          <w:sz w:val="30"/>
          <w:szCs w:val="30"/>
        </w:rPr>
      </w:pPr>
      <w:r>
        <w:rPr>
          <w:rFonts w:ascii="Times New Roman" w:hAnsi="Times New Roman" w:eastAsia="方正仿宋简体" w:cs="Times New Roman"/>
          <w:b/>
          <w:bCs/>
          <w:sz w:val="30"/>
          <w:szCs w:val="30"/>
        </w:rPr>
        <w:t>2.移入方驳回申请</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申请当日</w:t>
      </w:r>
      <w:r>
        <w:rPr>
          <w:rFonts w:hint="eastAsia" w:ascii="Times New Roman" w:hAnsi="Times New Roman" w:eastAsia="方正仿宋简体" w:cs="Times New Roman"/>
          <w:sz w:val="30"/>
          <w:szCs w:val="30"/>
          <w:lang w:val="en-US" w:eastAsia="zh-CN"/>
        </w:rPr>
        <w:t>14:50</w:t>
      </w:r>
      <w:r>
        <w:rPr>
          <w:rFonts w:ascii="Times New Roman" w:hAnsi="Times New Roman" w:eastAsia="方正仿宋简体" w:cs="Times New Roman"/>
          <w:sz w:val="30"/>
          <w:szCs w:val="30"/>
        </w:rPr>
        <w:t>之前，移入方为境内一般单位客户时，由移入方期货公司会员通过会服系统驳回移仓申请；移入方为非期货公司会员时，由移入方通过会服系统驳回移仓申请。</w:t>
      </w:r>
    </w:p>
    <w:p>
      <w:pPr>
        <w:pStyle w:val="12"/>
        <w:spacing w:line="560" w:lineRule="exact"/>
        <w:ind w:left="1370" w:leftChars="338" w:hanging="660" w:hangingChars="220"/>
        <w:rPr>
          <w:rFonts w:ascii="Times New Roman" w:hAnsi="Times New Roman" w:eastAsia="方正黑体简体"/>
          <w:bCs/>
          <w:sz w:val="30"/>
          <w:szCs w:val="30"/>
        </w:rPr>
      </w:pPr>
      <w:r>
        <w:rPr>
          <w:rFonts w:ascii="Times New Roman" w:hAnsi="Times New Roman" w:eastAsia="方正黑体简体"/>
          <w:bCs/>
          <w:sz w:val="30"/>
          <w:szCs w:val="30"/>
        </w:rPr>
        <w:t>四、移仓</w:t>
      </w:r>
    </w:p>
    <w:p>
      <w:pPr>
        <w:ind w:firstLine="600" w:firstLineChars="200"/>
        <w:rPr>
          <w:rFonts w:ascii="Times New Roman" w:hAnsi="Times New Roman" w:eastAsia="方正楷体简体" w:cs="Times New Roman"/>
          <w:b w:val="0"/>
          <w:bCs/>
          <w:sz w:val="30"/>
          <w:szCs w:val="30"/>
        </w:rPr>
      </w:pPr>
      <w:r>
        <w:rPr>
          <w:rFonts w:ascii="Times New Roman" w:hAnsi="Times New Roman" w:eastAsia="方正楷体简体" w:cs="Times New Roman"/>
          <w:b w:val="0"/>
          <w:bCs/>
          <w:sz w:val="30"/>
          <w:szCs w:val="30"/>
        </w:rPr>
        <w:t>（一）移仓原则</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移仓内容仅包括持仓，不包括当日盈亏、交易手续费等。日终结算时，交易所将根据移出方持仓量、申请移仓数量、移入方可用套保额度等审批移仓申请。</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一般持仓移仓数量=min（移出方实际一般持仓量，申请移仓数量）</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套保持仓移仓数量=min（移出方实际套保持仓量，申请移仓数量，移入方可用套保额度）</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移仓前后，持仓属性、方向保持不变。移出持仓根据移出方持仓的开仓时间，按“先进先出”的原则处理。移入持仓的开仓日期为移仓当日，开仓价为当日结算价。</w:t>
      </w:r>
    </w:p>
    <w:p>
      <w:pPr>
        <w:ind w:firstLine="600" w:firstLineChars="200"/>
        <w:rPr>
          <w:rFonts w:ascii="Times New Roman" w:hAnsi="Times New Roman" w:eastAsia="方正楷体简体" w:cs="Times New Roman"/>
          <w:b w:val="0"/>
          <w:bCs/>
          <w:sz w:val="30"/>
          <w:szCs w:val="30"/>
        </w:rPr>
      </w:pPr>
      <w:r>
        <w:rPr>
          <w:rFonts w:ascii="Times New Roman" w:hAnsi="Times New Roman" w:eastAsia="方正楷体简体" w:cs="Times New Roman"/>
          <w:b w:val="0"/>
          <w:bCs/>
          <w:sz w:val="30"/>
          <w:szCs w:val="30"/>
        </w:rPr>
        <w:t>（二）保证金计算</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日终结算时，向移入方期货公司会员或非期货公司会员收取移入持仓的交易保证金，不再收取移出方期货公司会员、移出方委托结算的期货公司会员移出持仓的交易保证金。</w:t>
      </w:r>
    </w:p>
    <w:p>
      <w:pPr>
        <w:pStyle w:val="12"/>
        <w:numPr>
          <w:ilvl w:val="0"/>
          <w:numId w:val="1"/>
        </w:numPr>
        <w:ind w:firstLineChars="0"/>
        <w:rPr>
          <w:rFonts w:ascii="Times New Roman" w:hAnsi="Times New Roman" w:eastAsia="方正楷体简体"/>
          <w:b w:val="0"/>
          <w:bCs/>
          <w:sz w:val="30"/>
          <w:szCs w:val="30"/>
        </w:rPr>
      </w:pPr>
      <w:r>
        <w:rPr>
          <w:rFonts w:ascii="Times New Roman" w:hAnsi="Times New Roman" w:eastAsia="方正楷体简体"/>
          <w:b w:val="0"/>
          <w:bCs/>
          <w:sz w:val="30"/>
          <w:szCs w:val="30"/>
        </w:rPr>
        <w:t>特殊情况</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出现下列情况之一的，交易所可以取消当日境外参与者交割月移仓业务办理：</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1．出现结算、交割、行权与履约危机，对市场正在产生或即将产生重大影响；</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2. 系统故障导致移仓业务无法正常进行；</w:t>
      </w:r>
    </w:p>
    <w:p>
      <w:pPr>
        <w:ind w:firstLine="600" w:firstLineChars="200"/>
        <w:rPr>
          <w:rFonts w:ascii="Times New Roman" w:hAnsi="Times New Roman" w:eastAsia="方正仿宋简体" w:cs="Times New Roman"/>
          <w:sz w:val="30"/>
          <w:szCs w:val="30"/>
        </w:rPr>
      </w:pPr>
      <w:r>
        <w:rPr>
          <w:rFonts w:ascii="Times New Roman" w:hAnsi="Times New Roman" w:eastAsia="方正仿宋简体" w:cs="Times New Roman"/>
          <w:sz w:val="30"/>
          <w:szCs w:val="30"/>
        </w:rPr>
        <w:t>3. 交易所认定的其他情形。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楷体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D74AC"/>
    <w:multiLevelType w:val="multilevel"/>
    <w:tmpl w:val="024D74AC"/>
    <w:lvl w:ilvl="0" w:tentative="0">
      <w:start w:val="3"/>
      <w:numFmt w:val="japaneseCounting"/>
      <w:lvlText w:val="（%1）"/>
      <w:lvlJc w:val="left"/>
      <w:pPr>
        <w:ind w:left="1682" w:hanging="108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76"/>
    <w:rsid w:val="000076CA"/>
    <w:rsid w:val="00036A94"/>
    <w:rsid w:val="00071BC9"/>
    <w:rsid w:val="000E140C"/>
    <w:rsid w:val="00101AE0"/>
    <w:rsid w:val="001120A0"/>
    <w:rsid w:val="00132C32"/>
    <w:rsid w:val="001A302D"/>
    <w:rsid w:val="001F10A8"/>
    <w:rsid w:val="002015FE"/>
    <w:rsid w:val="00207571"/>
    <w:rsid w:val="002B5085"/>
    <w:rsid w:val="002C6DAC"/>
    <w:rsid w:val="00362537"/>
    <w:rsid w:val="003D66D6"/>
    <w:rsid w:val="00414ACD"/>
    <w:rsid w:val="00465ED4"/>
    <w:rsid w:val="005A4EF7"/>
    <w:rsid w:val="005C1D62"/>
    <w:rsid w:val="005C2C34"/>
    <w:rsid w:val="00654F53"/>
    <w:rsid w:val="006A2078"/>
    <w:rsid w:val="006F6C17"/>
    <w:rsid w:val="00734F41"/>
    <w:rsid w:val="00885138"/>
    <w:rsid w:val="008C011D"/>
    <w:rsid w:val="0090779A"/>
    <w:rsid w:val="00985E19"/>
    <w:rsid w:val="009A1876"/>
    <w:rsid w:val="00A228BF"/>
    <w:rsid w:val="00A97507"/>
    <w:rsid w:val="00AB4783"/>
    <w:rsid w:val="00AC2576"/>
    <w:rsid w:val="00AC77D0"/>
    <w:rsid w:val="00B56C55"/>
    <w:rsid w:val="00B6519D"/>
    <w:rsid w:val="00C36260"/>
    <w:rsid w:val="00CE408A"/>
    <w:rsid w:val="00CE5171"/>
    <w:rsid w:val="00D60BF4"/>
    <w:rsid w:val="00D8523C"/>
    <w:rsid w:val="00DC3CC8"/>
    <w:rsid w:val="00E74117"/>
    <w:rsid w:val="00E81510"/>
    <w:rsid w:val="00F92C0F"/>
    <w:rsid w:val="00F97474"/>
    <w:rsid w:val="00FB28A4"/>
    <w:rsid w:val="00FB3213"/>
    <w:rsid w:val="00FF085B"/>
    <w:rsid w:val="6F7F0FFB"/>
    <w:rsid w:val="77F76A02"/>
    <w:rsid w:val="B7EF5F0E"/>
    <w:rsid w:val="D7FBEBCB"/>
    <w:rsid w:val="DFBCE5A2"/>
    <w:rsid w:val="E77B6BC6"/>
    <w:rsid w:val="F3BB7170"/>
    <w:rsid w:val="FDFFE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rPr>
      <w:rFonts w:ascii="Calibri" w:hAnsi="Calibri" w:eastAsia="宋体" w:cs="Times New Roman"/>
    </w:rPr>
  </w:style>
  <w:style w:type="character" w:customStyle="1" w:styleId="13">
    <w:name w:val="批注框文本 Char"/>
    <w:basedOn w:val="8"/>
    <w:link w:val="3"/>
    <w:semiHidden/>
    <w:qFormat/>
    <w:uiPriority w:val="99"/>
    <w:rPr>
      <w:sz w:val="18"/>
      <w:szCs w:val="18"/>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5</Pages>
  <Words>261</Words>
  <Characters>1488</Characters>
  <Lines>12</Lines>
  <Paragraphs>3</Paragraphs>
  <TotalTime>1</TotalTime>
  <ScaleCrop>false</ScaleCrop>
  <LinksUpToDate>false</LinksUpToDate>
  <CharactersWithSpaces>1746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2025-09-02T19:19:00Z</dcterms:created>
  <dc:creator>梅婷</dc:creator>
  <cp:lastModifiedBy>mei.ting</cp:lastModifiedBy>
  <dcterms:modified xsi:type="dcterms:W3CDTF">2026-03-20T16:44:33Z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D77E6B605F7D19C4F108BD69BB12548A</vt:lpwstr>
  </property>
</Properties>
</file>