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jc w:val="left"/>
        <w:rPr>
          <w:rFonts w:hint="eastAsia" w:asciiTheme="majorEastAsia" w:hAnsiTheme="majorEastAsia" w:eastAsiaTheme="majorEastAsia" w:cstheme="majorEastAsia"/>
          <w:b/>
          <w:bCs/>
          <w:color w:val="auto"/>
          <w:sz w:val="40"/>
          <w:szCs w:val="40"/>
          <w:lang w:val="en-US" w:eastAsia="zh-CN"/>
        </w:rPr>
      </w:pPr>
      <w:bookmarkStart w:id="0" w:name="上海期货交易所套期保值业务指南"/>
      <w:r>
        <w:drawing>
          <wp:inline distT="0" distB="0" distL="114300" distR="114300">
            <wp:extent cx="2650490" cy="615950"/>
            <wp:effectExtent l="0" t="0" r="3810" b="6350"/>
            <wp:docPr id="10250" name="图片 2" descr="上海期货交易所-横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0" name="图片 2" descr="上海期货交易所-横版"/>
                    <pic:cNvPicPr>
                      <a:picLocks noChangeAspect="1"/>
                    </pic:cNvPicPr>
                  </pic:nvPicPr>
                  <pic:blipFill>
                    <a:blip r:embed="rId7"/>
                    <a:stretch>
                      <a:fillRect/>
                    </a:stretch>
                  </pic:blipFill>
                  <pic:spPr>
                    <a:xfrm>
                      <a:off x="0" y="0"/>
                      <a:ext cx="2650490" cy="615950"/>
                    </a:xfrm>
                    <a:prstGeom prst="rect">
                      <a:avLst/>
                    </a:prstGeom>
                    <a:noFill/>
                    <a:ln w="9525">
                      <a:noFill/>
                    </a:ln>
                  </pic:spPr>
                </pic:pic>
              </a:graphicData>
            </a:graphic>
          </wp:inline>
        </w:drawing>
      </w:r>
    </w:p>
    <w:p>
      <w:pPr>
        <w:bidi w:val="0"/>
        <w:jc w:val="center"/>
        <w:rPr>
          <w:rFonts w:hint="eastAsia" w:asciiTheme="majorEastAsia" w:hAnsiTheme="majorEastAsia" w:eastAsiaTheme="majorEastAsia" w:cstheme="majorEastAsia"/>
          <w:b/>
          <w:bCs/>
          <w:color w:val="auto"/>
          <w:sz w:val="40"/>
          <w:szCs w:val="40"/>
          <w:lang w:val="en-US" w:eastAsia="zh-CN"/>
        </w:rPr>
      </w:pPr>
    </w:p>
    <w:p>
      <w:pPr>
        <w:bidi w:val="0"/>
        <w:jc w:val="center"/>
        <w:rPr>
          <w:rFonts w:hint="eastAsia" w:asciiTheme="majorEastAsia" w:hAnsiTheme="majorEastAsia" w:eastAsiaTheme="majorEastAsia" w:cstheme="majorEastAsia"/>
          <w:b/>
          <w:bCs/>
          <w:color w:val="auto"/>
          <w:sz w:val="40"/>
          <w:szCs w:val="40"/>
          <w:lang w:val="en-US" w:eastAsia="zh-CN"/>
        </w:rPr>
      </w:pPr>
    </w:p>
    <w:p>
      <w:pPr>
        <w:bidi w:val="0"/>
        <w:jc w:val="center"/>
        <w:rPr>
          <w:rFonts w:hint="eastAsia" w:asciiTheme="majorEastAsia" w:hAnsiTheme="majorEastAsia" w:eastAsiaTheme="majorEastAsia" w:cstheme="majorEastAsia"/>
          <w:b/>
          <w:bCs/>
          <w:color w:val="auto"/>
          <w:sz w:val="40"/>
          <w:szCs w:val="40"/>
          <w:lang w:val="en-US" w:eastAsia="zh-CN"/>
        </w:rPr>
      </w:pPr>
    </w:p>
    <w:p>
      <w:pPr>
        <w:bidi w:val="0"/>
        <w:jc w:val="center"/>
        <w:rPr>
          <w:rFonts w:hint="eastAsia" w:asciiTheme="majorEastAsia" w:hAnsiTheme="majorEastAsia" w:eastAsiaTheme="majorEastAsia" w:cstheme="majorEastAsia"/>
          <w:b/>
          <w:bCs/>
          <w:color w:val="auto"/>
          <w:sz w:val="40"/>
          <w:szCs w:val="40"/>
          <w:lang w:val="en-US" w:eastAsia="zh-CN"/>
        </w:rPr>
      </w:pPr>
    </w:p>
    <w:p>
      <w:pPr>
        <w:bidi w:val="0"/>
        <w:jc w:val="center"/>
        <w:rPr>
          <w:rFonts w:hint="eastAsia" w:asciiTheme="majorEastAsia" w:hAnsiTheme="majorEastAsia" w:eastAsiaTheme="majorEastAsia" w:cstheme="majorEastAsia"/>
          <w:b/>
          <w:bCs/>
          <w:color w:val="auto"/>
          <w:sz w:val="48"/>
          <w:szCs w:val="48"/>
          <w:lang w:val="en-US" w:eastAsia="zh-CN"/>
        </w:rPr>
      </w:pPr>
      <w:r>
        <w:rPr>
          <w:rFonts w:hint="eastAsia" w:asciiTheme="majorEastAsia" w:hAnsiTheme="majorEastAsia" w:eastAsiaTheme="majorEastAsia" w:cstheme="majorEastAsia"/>
          <w:b/>
          <w:bCs/>
          <w:color w:val="auto"/>
          <w:sz w:val="48"/>
          <w:szCs w:val="48"/>
          <w:lang w:val="en-US" w:eastAsia="zh-CN"/>
        </w:rPr>
        <w:t>上海期货交易所套期保值业务</w:t>
      </w:r>
    </w:p>
    <w:p>
      <w:pPr>
        <w:bidi w:val="0"/>
        <w:jc w:val="center"/>
        <w:rPr>
          <w:rFonts w:hint="eastAsia" w:asciiTheme="majorEastAsia" w:hAnsiTheme="majorEastAsia" w:eastAsiaTheme="majorEastAsia" w:cstheme="majorEastAsia"/>
          <w:b/>
          <w:bCs/>
          <w:color w:val="auto"/>
          <w:sz w:val="48"/>
          <w:szCs w:val="48"/>
          <w:lang w:val="en-US" w:eastAsia="zh-CN"/>
        </w:rPr>
      </w:pPr>
      <w:r>
        <w:rPr>
          <w:rFonts w:hint="eastAsia" w:asciiTheme="majorEastAsia" w:hAnsiTheme="majorEastAsia" w:eastAsiaTheme="majorEastAsia" w:cstheme="majorEastAsia"/>
          <w:b/>
          <w:bCs/>
          <w:color w:val="auto"/>
          <w:sz w:val="48"/>
          <w:szCs w:val="48"/>
          <w:lang w:val="en-US" w:eastAsia="zh-CN"/>
        </w:rPr>
        <w:t>常见问题解答</w:t>
      </w:r>
    </w:p>
    <w:p>
      <w:pPr>
        <w:bidi w:val="0"/>
        <w:jc w:val="center"/>
        <w:rPr>
          <w:rFonts w:hint="eastAsia" w:asciiTheme="majorEastAsia" w:hAnsiTheme="majorEastAsia" w:eastAsiaTheme="majorEastAsia" w:cstheme="majorEastAsia"/>
          <w:b/>
          <w:bCs/>
          <w:color w:val="auto"/>
          <w:sz w:val="40"/>
          <w:szCs w:val="40"/>
          <w:lang w:val="en-US" w:eastAsia="zh-CN"/>
        </w:rPr>
      </w:pPr>
    </w:p>
    <w:p>
      <w:pPr>
        <w:bidi w:val="0"/>
        <w:jc w:val="center"/>
        <w:rPr>
          <w:rFonts w:hint="eastAsia" w:asciiTheme="majorEastAsia" w:hAnsiTheme="majorEastAsia" w:eastAsiaTheme="majorEastAsia" w:cstheme="majorEastAsia"/>
          <w:b/>
          <w:bCs/>
          <w:color w:val="auto"/>
          <w:sz w:val="40"/>
          <w:szCs w:val="40"/>
          <w:lang w:val="en-US" w:eastAsia="zh-CN"/>
        </w:rPr>
      </w:pPr>
    </w:p>
    <w:p>
      <w:pPr>
        <w:bidi w:val="0"/>
        <w:jc w:val="center"/>
        <w:rPr>
          <w:rFonts w:hint="eastAsia" w:asciiTheme="majorEastAsia" w:hAnsiTheme="majorEastAsia" w:eastAsiaTheme="majorEastAsia" w:cstheme="majorEastAsia"/>
          <w:b/>
          <w:bCs/>
          <w:color w:val="auto"/>
          <w:sz w:val="40"/>
          <w:szCs w:val="40"/>
          <w:lang w:val="en-US" w:eastAsia="zh-CN"/>
        </w:rPr>
      </w:pPr>
    </w:p>
    <w:p>
      <w:pPr>
        <w:bidi w:val="0"/>
        <w:jc w:val="center"/>
        <w:rPr>
          <w:rFonts w:hint="eastAsia" w:asciiTheme="majorEastAsia" w:hAnsiTheme="majorEastAsia" w:eastAsiaTheme="majorEastAsia" w:cstheme="majorEastAsia"/>
          <w:b/>
          <w:bCs/>
          <w:color w:val="auto"/>
          <w:sz w:val="40"/>
          <w:szCs w:val="40"/>
          <w:lang w:val="en-US" w:eastAsia="zh-CN"/>
        </w:rPr>
      </w:pPr>
    </w:p>
    <w:p>
      <w:pPr>
        <w:bidi w:val="0"/>
        <w:jc w:val="center"/>
        <w:rPr>
          <w:rFonts w:hint="eastAsia" w:asciiTheme="majorEastAsia" w:hAnsiTheme="majorEastAsia" w:eastAsiaTheme="majorEastAsia" w:cstheme="majorEastAsia"/>
          <w:b/>
          <w:bCs/>
          <w:color w:val="auto"/>
          <w:sz w:val="40"/>
          <w:szCs w:val="40"/>
          <w:lang w:val="en-US" w:eastAsia="zh-CN"/>
        </w:rPr>
      </w:pPr>
    </w:p>
    <w:p>
      <w:pPr>
        <w:bidi w:val="0"/>
        <w:jc w:val="both"/>
        <w:rPr>
          <w:rFonts w:hint="default" w:asciiTheme="majorEastAsia" w:hAnsiTheme="majorEastAsia" w:eastAsiaTheme="majorEastAsia" w:cstheme="majorEastAsia"/>
          <w:b/>
          <w:bCs/>
          <w:color w:val="auto"/>
          <w:sz w:val="40"/>
          <w:szCs w:val="40"/>
          <w:lang w:val="en-US" w:eastAsia="zh-CN"/>
        </w:rPr>
      </w:pPr>
    </w:p>
    <w:p>
      <w:pPr>
        <w:bidi w:val="0"/>
        <w:jc w:val="center"/>
        <w:rPr>
          <w:rFonts w:hint="default" w:asciiTheme="majorEastAsia" w:hAnsiTheme="majorEastAsia" w:eastAsiaTheme="majorEastAsia" w:cstheme="majorEastAsia"/>
          <w:b/>
          <w:bCs/>
          <w:color w:val="auto"/>
          <w:sz w:val="40"/>
          <w:szCs w:val="40"/>
          <w:lang w:val="en-US" w:eastAsia="zh-CN"/>
        </w:rPr>
      </w:pPr>
    </w:p>
    <w:p>
      <w:pPr>
        <w:pStyle w:val="29"/>
        <w:jc w:val="center"/>
        <w:rPr>
          <w:rFonts w:hint="eastAsia" w:eastAsia="仿宋"/>
          <w:b/>
          <w:bCs/>
          <w:sz w:val="32"/>
          <w:szCs w:val="32"/>
          <w:lang w:eastAsia="zh-CN"/>
        </w:rPr>
      </w:pPr>
      <w:r>
        <w:rPr>
          <w:rFonts w:hint="eastAsia"/>
          <w:b/>
          <w:bCs/>
          <w:sz w:val="32"/>
          <w:szCs w:val="32"/>
          <w:lang w:eastAsia="zh-CN"/>
        </w:rPr>
        <w:t>（</w:t>
      </w:r>
      <w:r>
        <w:rPr>
          <w:b/>
          <w:bCs/>
          <w:sz w:val="32"/>
          <w:szCs w:val="32"/>
        </w:rPr>
        <w:t>2026年</w:t>
      </w:r>
      <w:r>
        <w:rPr>
          <w:rFonts w:hint="eastAsia"/>
          <w:b/>
          <w:bCs/>
          <w:sz w:val="32"/>
          <w:szCs w:val="32"/>
          <w:lang w:val="en-US" w:eastAsia="zh-CN"/>
        </w:rPr>
        <w:t>9</w:t>
      </w:r>
      <w:r>
        <w:rPr>
          <w:b/>
          <w:bCs/>
          <w:sz w:val="32"/>
          <w:szCs w:val="32"/>
        </w:rPr>
        <w:t>月</w:t>
      </w:r>
      <w:r>
        <w:rPr>
          <w:rFonts w:hint="eastAsia"/>
          <w:b/>
          <w:bCs/>
          <w:sz w:val="32"/>
          <w:szCs w:val="32"/>
          <w:lang w:eastAsia="zh-CN"/>
        </w:rPr>
        <w:t>版）</w:t>
      </w:r>
    </w:p>
    <w:p>
      <w:pPr>
        <w:pStyle w:val="3"/>
        <w:rPr>
          <w:b/>
          <w:bCs/>
        </w:rPr>
      </w:pPr>
    </w:p>
    <w:p>
      <w:pPr>
        <w:pStyle w:val="3"/>
        <w:rPr>
          <w:b/>
          <w:bCs/>
        </w:rPr>
      </w:pPr>
    </w:p>
    <w:p>
      <w:pPr>
        <w:pStyle w:val="3"/>
      </w:pPr>
    </w:p>
    <w:sdt>
      <w:sdtPr>
        <w:rPr>
          <w:rFonts w:ascii="宋体" w:hAnsi="宋体" w:eastAsia="宋体" w:cstheme="minorBidi"/>
          <w:sz w:val="21"/>
          <w:szCs w:val="24"/>
          <w:lang w:val="en-US" w:eastAsia="en-US" w:bidi="ar-SA"/>
        </w:rPr>
        <w:id w:val="585019053"/>
        <w15:color w:val="DBDBDB"/>
        <w:docPartObj>
          <w:docPartGallery w:val="Table of Contents"/>
          <w:docPartUnique/>
        </w:docPartObj>
      </w:sdtPr>
      <w:sdtEndPr>
        <w:rPr>
          <w:rFonts w:ascii="Times New Roman" w:hAnsi="Times New Roman" w:eastAsia="仿宋" w:cstheme="minorBidi"/>
          <w:sz w:val="24"/>
          <w:szCs w:val="24"/>
          <w:lang w:val="en-US" w:eastAsia="en-US" w:bidi="ar-SA"/>
        </w:rPr>
      </w:sdtEndPr>
      <w:sdtContent>
        <w:p>
          <w:pPr>
            <w:spacing w:before="0" w:beforeLines="0" w:after="0" w:afterLines="0" w:line="360" w:lineRule="auto"/>
            <w:ind w:left="0" w:leftChars="0" w:right="0" w:rightChars="0" w:firstLine="0" w:firstLineChars="0"/>
            <w:jc w:val="center"/>
          </w:pPr>
          <w:r>
            <w:rPr>
              <w:rFonts w:ascii="宋体" w:hAnsi="宋体" w:eastAsia="宋体"/>
              <w:b/>
              <w:bCs/>
              <w:sz w:val="24"/>
              <w:szCs w:val="32"/>
            </w:rPr>
            <w:t>目录</w:t>
          </w:r>
        </w:p>
        <w:p>
          <w:pPr>
            <w:pStyle w:val="23"/>
            <w:tabs>
              <w:tab w:val="right" w:leader="dot" w:pos="8640"/>
            </w:tabs>
          </w:pPr>
          <w:r>
            <w:fldChar w:fldCharType="begin"/>
          </w:r>
          <w:r>
            <w:instrText xml:space="preserve">TOC \o "1-3" \h \u </w:instrText>
          </w:r>
          <w:r>
            <w:fldChar w:fldCharType="separate"/>
          </w:r>
          <w:r>
            <w:fldChar w:fldCharType="begin"/>
          </w:r>
          <w:r>
            <w:instrText xml:space="preserve"> HYPERLINK \l _Toc464582241 </w:instrText>
          </w:r>
          <w:r>
            <w:fldChar w:fldCharType="separate"/>
          </w:r>
          <w:r>
            <w:t>一、套期保值基本问题</w:t>
          </w:r>
          <w:r>
            <w:tab/>
          </w:r>
          <w:r>
            <w:fldChar w:fldCharType="begin"/>
          </w:r>
          <w:r>
            <w:instrText xml:space="preserve"> PAGEREF _Toc464582241 \h </w:instrText>
          </w:r>
          <w:r>
            <w:fldChar w:fldCharType="separate"/>
          </w:r>
          <w:r>
            <w:t>3</w:t>
          </w:r>
          <w:r>
            <w:fldChar w:fldCharType="end"/>
          </w:r>
          <w:r>
            <w:fldChar w:fldCharType="end"/>
          </w:r>
        </w:p>
        <w:p>
          <w:pPr>
            <w:pStyle w:val="15"/>
            <w:tabs>
              <w:tab w:val="right" w:leader="dot" w:pos="8640"/>
            </w:tabs>
          </w:pPr>
          <w:r>
            <w:fldChar w:fldCharType="begin"/>
          </w:r>
          <w:r>
            <w:instrText xml:space="preserve"> HYPERLINK \l _Toc1215686552 </w:instrText>
          </w:r>
          <w:r>
            <w:fldChar w:fldCharType="separate"/>
          </w:r>
          <w:r>
            <w:t>（一）什么是套期保值？</w:t>
          </w:r>
          <w:r>
            <w:rPr>
              <w:rFonts w:hint="eastAsia"/>
              <w:lang w:eastAsia="zh-CN"/>
            </w:rPr>
            <w:t>套保额度</w:t>
          </w:r>
          <w:r>
            <w:t>如何分类？</w:t>
          </w:r>
          <w:r>
            <w:tab/>
          </w:r>
          <w:r>
            <w:fldChar w:fldCharType="begin"/>
          </w:r>
          <w:r>
            <w:instrText xml:space="preserve"> PAGEREF _Toc1215686552 \h </w:instrText>
          </w:r>
          <w:r>
            <w:fldChar w:fldCharType="separate"/>
          </w:r>
          <w:r>
            <w:t>3</w:t>
          </w:r>
          <w:r>
            <w:fldChar w:fldCharType="end"/>
          </w:r>
          <w:r>
            <w:fldChar w:fldCharType="end"/>
          </w:r>
        </w:p>
        <w:p>
          <w:pPr>
            <w:pStyle w:val="15"/>
            <w:tabs>
              <w:tab w:val="right" w:leader="dot" w:pos="8640"/>
            </w:tabs>
          </w:pPr>
          <w:r>
            <w:fldChar w:fldCharType="begin"/>
          </w:r>
          <w:r>
            <w:instrText xml:space="preserve"> HYPERLINK \l _Toc1125126954 </w:instrText>
          </w:r>
          <w:r>
            <w:fldChar w:fldCharType="separate"/>
          </w:r>
          <w:r>
            <w:t>（二）套期保值持仓与一般持仓是什么关系？</w:t>
          </w:r>
          <w:r>
            <w:tab/>
          </w:r>
          <w:r>
            <w:fldChar w:fldCharType="begin"/>
          </w:r>
          <w:r>
            <w:instrText xml:space="preserve"> PAGEREF _Toc1125126954 \h </w:instrText>
          </w:r>
          <w:r>
            <w:fldChar w:fldCharType="separate"/>
          </w:r>
          <w:r>
            <w:t>4</w:t>
          </w:r>
          <w:r>
            <w:fldChar w:fldCharType="end"/>
          </w:r>
          <w:r>
            <w:fldChar w:fldCharType="end"/>
          </w:r>
        </w:p>
        <w:p>
          <w:pPr>
            <w:pStyle w:val="15"/>
            <w:tabs>
              <w:tab w:val="right" w:leader="dot" w:pos="8640"/>
            </w:tabs>
          </w:pPr>
          <w:r>
            <w:fldChar w:fldCharType="begin"/>
          </w:r>
          <w:r>
            <w:instrText xml:space="preserve"> HYPERLINK \l _Toc1726415731 </w:instrText>
          </w:r>
          <w:r>
            <w:fldChar w:fldCharType="separate"/>
          </w:r>
          <w:r>
            <w:t>（三）哪些主体可以申请</w:t>
          </w:r>
          <w:r>
            <w:rPr>
              <w:rFonts w:hint="eastAsia"/>
              <w:lang w:eastAsia="zh-CN"/>
            </w:rPr>
            <w:t>套保额度</w:t>
          </w:r>
          <w:r>
            <w:t>？</w:t>
          </w:r>
          <w:r>
            <w:tab/>
          </w:r>
          <w:r>
            <w:fldChar w:fldCharType="begin"/>
          </w:r>
          <w:r>
            <w:instrText xml:space="preserve"> PAGEREF _Toc1726415731 \h </w:instrText>
          </w:r>
          <w:r>
            <w:fldChar w:fldCharType="separate"/>
          </w:r>
          <w:r>
            <w:t>4</w:t>
          </w:r>
          <w:r>
            <w:fldChar w:fldCharType="end"/>
          </w:r>
          <w:r>
            <w:fldChar w:fldCharType="end"/>
          </w:r>
        </w:p>
        <w:p>
          <w:pPr>
            <w:pStyle w:val="15"/>
            <w:tabs>
              <w:tab w:val="right" w:leader="dot" w:pos="8640"/>
            </w:tabs>
          </w:pPr>
          <w:r>
            <w:fldChar w:fldCharType="begin"/>
          </w:r>
          <w:r>
            <w:instrText xml:space="preserve"> HYPERLINK \l _Toc484229078 </w:instrText>
          </w:r>
          <w:r>
            <w:fldChar w:fldCharType="separate"/>
          </w:r>
          <w:r>
            <w:t>（四）如何办理</w:t>
          </w:r>
          <w:r>
            <w:rPr>
              <w:rFonts w:hint="eastAsia"/>
              <w:lang w:eastAsia="zh-CN"/>
            </w:rPr>
            <w:t>套保额度</w:t>
          </w:r>
          <w:r>
            <w:t>申请？</w:t>
          </w:r>
          <w:r>
            <w:tab/>
          </w:r>
          <w:r>
            <w:fldChar w:fldCharType="begin"/>
          </w:r>
          <w:r>
            <w:instrText xml:space="preserve"> PAGEREF _Toc484229078 \h </w:instrText>
          </w:r>
          <w:r>
            <w:fldChar w:fldCharType="separate"/>
          </w:r>
          <w:r>
            <w:t>4</w:t>
          </w:r>
          <w:r>
            <w:fldChar w:fldCharType="end"/>
          </w:r>
          <w:r>
            <w:fldChar w:fldCharType="end"/>
          </w:r>
        </w:p>
        <w:p>
          <w:pPr>
            <w:pStyle w:val="15"/>
            <w:tabs>
              <w:tab w:val="right" w:leader="dot" w:pos="8640"/>
            </w:tabs>
          </w:pPr>
          <w:r>
            <w:fldChar w:fldCharType="begin"/>
          </w:r>
          <w:r>
            <w:instrText xml:space="preserve"> HYPERLINK \l _Toc205793971 </w:instrText>
          </w:r>
          <w:r>
            <w:fldChar w:fldCharType="separate"/>
          </w:r>
          <w:r>
            <w:t>（</w:t>
          </w:r>
          <w:r>
            <w:rPr>
              <w:rFonts w:hint="eastAsia"/>
              <w:lang w:eastAsia="zh-CN"/>
            </w:rPr>
            <w:t>五</w:t>
          </w:r>
          <w:r>
            <w:t>）一般持仓能否转换为套期保值持仓？</w:t>
          </w:r>
          <w:r>
            <w:tab/>
          </w:r>
          <w:r>
            <w:fldChar w:fldCharType="begin"/>
          </w:r>
          <w:r>
            <w:instrText xml:space="preserve"> PAGEREF _Toc205793971 \h </w:instrText>
          </w:r>
          <w:r>
            <w:fldChar w:fldCharType="separate"/>
          </w:r>
          <w:r>
            <w:t>4</w:t>
          </w:r>
          <w:r>
            <w:fldChar w:fldCharType="end"/>
          </w:r>
          <w:r>
            <w:fldChar w:fldCharType="end"/>
          </w:r>
        </w:p>
        <w:p>
          <w:pPr>
            <w:pStyle w:val="15"/>
            <w:tabs>
              <w:tab w:val="right" w:leader="dot" w:pos="8640"/>
            </w:tabs>
          </w:pPr>
          <w:r>
            <w:fldChar w:fldCharType="begin"/>
          </w:r>
          <w:r>
            <w:instrText xml:space="preserve"> HYPERLINK \l _Toc278047536 </w:instrText>
          </w:r>
          <w:r>
            <w:fldChar w:fldCharType="separate"/>
          </w:r>
          <w:r>
            <w:t>（</w:t>
          </w:r>
          <w:r>
            <w:rPr>
              <w:rFonts w:hint="eastAsia"/>
              <w:lang w:eastAsia="zh-CN"/>
            </w:rPr>
            <w:t>六</w:t>
          </w:r>
          <w:r>
            <w:t>）</w:t>
          </w:r>
          <w:r>
            <w:rPr>
              <w:rFonts w:hint="eastAsia"/>
              <w:lang w:eastAsia="zh-CN"/>
            </w:rPr>
            <w:t>套保额度</w:t>
          </w:r>
          <w:r>
            <w:t>能否在多家会员处使用？</w:t>
          </w:r>
          <w:r>
            <w:tab/>
          </w:r>
          <w:r>
            <w:fldChar w:fldCharType="begin"/>
          </w:r>
          <w:r>
            <w:instrText xml:space="preserve"> PAGEREF _Toc278047536 \h </w:instrText>
          </w:r>
          <w:r>
            <w:fldChar w:fldCharType="separate"/>
          </w:r>
          <w:r>
            <w:t>5</w:t>
          </w:r>
          <w:r>
            <w:fldChar w:fldCharType="end"/>
          </w:r>
          <w:r>
            <w:fldChar w:fldCharType="end"/>
          </w:r>
        </w:p>
        <w:p>
          <w:pPr>
            <w:pStyle w:val="23"/>
            <w:tabs>
              <w:tab w:val="right" w:leader="dot" w:pos="8640"/>
            </w:tabs>
          </w:pPr>
          <w:r>
            <w:fldChar w:fldCharType="begin"/>
          </w:r>
          <w:r>
            <w:instrText xml:space="preserve"> HYPERLINK \l _Toc1842087962 </w:instrText>
          </w:r>
          <w:r>
            <w:fldChar w:fldCharType="separate"/>
          </w:r>
          <w:r>
            <w:t>二、</w:t>
          </w:r>
          <w:r>
            <w:rPr>
              <w:rFonts w:hint="eastAsia"/>
              <w:lang w:eastAsia="zh-CN"/>
            </w:rPr>
            <w:t>套保额度申请</w:t>
          </w:r>
          <w:r>
            <w:tab/>
          </w:r>
          <w:r>
            <w:fldChar w:fldCharType="begin"/>
          </w:r>
          <w:r>
            <w:instrText xml:space="preserve"> PAGEREF _Toc1842087962 \h </w:instrText>
          </w:r>
          <w:r>
            <w:fldChar w:fldCharType="separate"/>
          </w:r>
          <w:r>
            <w:t>5</w:t>
          </w:r>
          <w:r>
            <w:fldChar w:fldCharType="end"/>
          </w:r>
          <w:r>
            <w:fldChar w:fldCharType="end"/>
          </w:r>
        </w:p>
        <w:p>
          <w:pPr>
            <w:pStyle w:val="15"/>
            <w:tabs>
              <w:tab w:val="right" w:leader="dot" w:pos="8640"/>
            </w:tabs>
          </w:pPr>
          <w:r>
            <w:fldChar w:fldCharType="begin"/>
          </w:r>
          <w:r>
            <w:instrText xml:space="preserve"> HYPERLINK \l _Toc1214220018 </w:instrText>
          </w:r>
          <w:r>
            <w:fldChar w:fldCharType="separate"/>
          </w:r>
          <w:r>
            <w:t>（</w:t>
          </w:r>
          <w:r>
            <w:rPr>
              <w:rFonts w:hint="eastAsia"/>
              <w:lang w:eastAsia="zh-CN"/>
            </w:rPr>
            <w:t>七</w:t>
          </w:r>
          <w:r>
            <w:t>）申请</w:t>
          </w:r>
          <w:r>
            <w:rPr>
              <w:rFonts w:hint="eastAsia"/>
              <w:lang w:eastAsia="zh-CN"/>
            </w:rPr>
            <w:t>套保额度</w:t>
          </w:r>
          <w:r>
            <w:t>需提交哪些材料？</w:t>
          </w:r>
          <w:r>
            <w:tab/>
          </w:r>
          <w:r>
            <w:fldChar w:fldCharType="begin"/>
          </w:r>
          <w:r>
            <w:instrText xml:space="preserve"> PAGEREF _Toc1214220018 \h </w:instrText>
          </w:r>
          <w:r>
            <w:fldChar w:fldCharType="separate"/>
          </w:r>
          <w:r>
            <w:t>5</w:t>
          </w:r>
          <w:r>
            <w:fldChar w:fldCharType="end"/>
          </w:r>
          <w:r>
            <w:fldChar w:fldCharType="end"/>
          </w:r>
        </w:p>
        <w:p>
          <w:pPr>
            <w:pStyle w:val="15"/>
            <w:tabs>
              <w:tab w:val="right" w:leader="dot" w:pos="8640"/>
            </w:tabs>
          </w:pPr>
          <w:r>
            <w:fldChar w:fldCharType="begin"/>
          </w:r>
          <w:r>
            <w:instrText xml:space="preserve"> HYPERLINK \l _Toc1260987517 </w:instrText>
          </w:r>
          <w:r>
            <w:fldChar w:fldCharType="separate"/>
          </w:r>
          <w:r>
            <w:t>（</w:t>
          </w:r>
          <w:r>
            <w:rPr>
              <w:rFonts w:hint="eastAsia"/>
              <w:lang w:eastAsia="zh-CN"/>
            </w:rPr>
            <w:t>八</w:t>
          </w:r>
          <w:r>
            <w:t>）证明经营范围的文件具体要求？</w:t>
          </w:r>
          <w:r>
            <w:tab/>
          </w:r>
          <w:r>
            <w:fldChar w:fldCharType="begin"/>
          </w:r>
          <w:r>
            <w:instrText xml:space="preserve"> PAGEREF _Toc1260987517 \h </w:instrText>
          </w:r>
          <w:r>
            <w:fldChar w:fldCharType="separate"/>
          </w:r>
          <w:r>
            <w:t>6</w:t>
          </w:r>
          <w:r>
            <w:fldChar w:fldCharType="end"/>
          </w:r>
          <w:r>
            <w:fldChar w:fldCharType="end"/>
          </w:r>
        </w:p>
        <w:p>
          <w:pPr>
            <w:pStyle w:val="15"/>
            <w:tabs>
              <w:tab w:val="right" w:leader="dot" w:pos="8640"/>
            </w:tabs>
          </w:pPr>
          <w:r>
            <w:fldChar w:fldCharType="begin"/>
          </w:r>
          <w:r>
            <w:instrText xml:space="preserve"> HYPERLINK \l _Toc494052734 </w:instrText>
          </w:r>
          <w:r>
            <w:fldChar w:fldCharType="separate"/>
          </w:r>
          <w:r>
            <w:t>（</w:t>
          </w:r>
          <w:r>
            <w:rPr>
              <w:rFonts w:hint="eastAsia"/>
              <w:lang w:eastAsia="zh-CN"/>
            </w:rPr>
            <w:t>九</w:t>
          </w:r>
          <w:r>
            <w:t>）</w:t>
          </w:r>
          <w:r>
            <w:rPr>
              <w:rFonts w:hint="eastAsia"/>
            </w:rPr>
            <w:t>证明企业现货经营规模的相关材料</w:t>
          </w:r>
          <w:r>
            <w:rPr>
              <w:rFonts w:hint="eastAsia"/>
              <w:lang w:eastAsia="zh-CN"/>
            </w:rPr>
            <w:t>、</w:t>
          </w:r>
          <w:r>
            <w:rPr>
              <w:rFonts w:hint="eastAsia"/>
              <w:bCs/>
              <w:lang w:eastAsia="zh-CN"/>
            </w:rPr>
            <w:t>证明企业套期保值交易需求真实性的相关材料</w:t>
          </w:r>
          <w:r>
            <w:t>有何具体要求？</w:t>
          </w:r>
          <w:r>
            <w:tab/>
          </w:r>
          <w:r>
            <w:fldChar w:fldCharType="begin"/>
          </w:r>
          <w:r>
            <w:instrText xml:space="preserve"> PAGEREF _Toc494052734 \h </w:instrText>
          </w:r>
          <w:r>
            <w:fldChar w:fldCharType="separate"/>
          </w:r>
          <w:r>
            <w:t>6</w:t>
          </w:r>
          <w:r>
            <w:fldChar w:fldCharType="end"/>
          </w:r>
          <w:r>
            <w:fldChar w:fldCharType="end"/>
          </w:r>
        </w:p>
        <w:p>
          <w:pPr>
            <w:pStyle w:val="15"/>
            <w:tabs>
              <w:tab w:val="right" w:leader="dot" w:pos="8640"/>
            </w:tabs>
          </w:pPr>
          <w:r>
            <w:fldChar w:fldCharType="begin"/>
          </w:r>
          <w:r>
            <w:instrText xml:space="preserve"> HYPERLINK \l _Toc1890274158 </w:instrText>
          </w:r>
          <w:r>
            <w:fldChar w:fldCharType="separate"/>
          </w:r>
          <w:r>
            <w:t>（十）套期保值交易方案应当包含哪些内容？</w:t>
          </w:r>
          <w:r>
            <w:tab/>
          </w:r>
          <w:r>
            <w:fldChar w:fldCharType="begin"/>
          </w:r>
          <w:r>
            <w:instrText xml:space="preserve"> PAGEREF _Toc1890274158 \h </w:instrText>
          </w:r>
          <w:r>
            <w:fldChar w:fldCharType="separate"/>
          </w:r>
          <w:r>
            <w:t>7</w:t>
          </w:r>
          <w:r>
            <w:fldChar w:fldCharType="end"/>
          </w:r>
          <w:r>
            <w:fldChar w:fldCharType="end"/>
          </w:r>
        </w:p>
        <w:p>
          <w:pPr>
            <w:pStyle w:val="15"/>
            <w:tabs>
              <w:tab w:val="right" w:leader="dot" w:pos="8640"/>
            </w:tabs>
          </w:pPr>
          <w:r>
            <w:fldChar w:fldCharType="begin"/>
          </w:r>
          <w:r>
            <w:instrText xml:space="preserve"> HYPERLINK \l _Toc480396829 </w:instrText>
          </w:r>
          <w:r>
            <w:fldChar w:fldCharType="separate"/>
          </w:r>
          <w:r>
            <w:t>（十</w:t>
          </w:r>
          <w:r>
            <w:rPr>
              <w:rFonts w:hint="eastAsia"/>
              <w:lang w:eastAsia="zh-CN"/>
            </w:rPr>
            <w:t>一</w:t>
          </w:r>
          <w:r>
            <w:t>）新成立企业如何申请</w:t>
          </w:r>
          <w:r>
            <w:rPr>
              <w:rFonts w:hint="eastAsia"/>
              <w:lang w:eastAsia="zh-CN"/>
            </w:rPr>
            <w:t>套保额度</w:t>
          </w:r>
          <w:r>
            <w:t>？</w:t>
          </w:r>
          <w:r>
            <w:tab/>
          </w:r>
          <w:r>
            <w:fldChar w:fldCharType="begin"/>
          </w:r>
          <w:r>
            <w:instrText xml:space="preserve"> PAGEREF _Toc480396829 \h </w:instrText>
          </w:r>
          <w:r>
            <w:fldChar w:fldCharType="separate"/>
          </w:r>
          <w:r>
            <w:t>7</w:t>
          </w:r>
          <w:r>
            <w:fldChar w:fldCharType="end"/>
          </w:r>
          <w:r>
            <w:fldChar w:fldCharType="end"/>
          </w:r>
        </w:p>
        <w:p>
          <w:pPr>
            <w:pStyle w:val="15"/>
            <w:tabs>
              <w:tab w:val="right" w:leader="dot" w:pos="8640"/>
            </w:tabs>
          </w:pPr>
          <w:r>
            <w:fldChar w:fldCharType="begin"/>
          </w:r>
          <w:r>
            <w:instrText xml:space="preserve"> HYPERLINK \l _Toc414328723 </w:instrText>
          </w:r>
          <w:r>
            <w:fldChar w:fldCharType="separate"/>
          </w:r>
          <w:r>
            <w:t>（十</w:t>
          </w:r>
          <w:r>
            <w:rPr>
              <w:rFonts w:hint="eastAsia"/>
              <w:lang w:eastAsia="zh-CN"/>
            </w:rPr>
            <w:t>二</w:t>
          </w:r>
          <w:r>
            <w:t>）现货经营规模增长较快的企业如何申请？</w:t>
          </w:r>
          <w:r>
            <w:tab/>
          </w:r>
          <w:r>
            <w:fldChar w:fldCharType="begin"/>
          </w:r>
          <w:r>
            <w:instrText xml:space="preserve"> PAGEREF _Toc414328723 \h </w:instrText>
          </w:r>
          <w:r>
            <w:fldChar w:fldCharType="separate"/>
          </w:r>
          <w:r>
            <w:t>7</w:t>
          </w:r>
          <w:r>
            <w:fldChar w:fldCharType="end"/>
          </w:r>
          <w:r>
            <w:fldChar w:fldCharType="end"/>
          </w:r>
        </w:p>
        <w:p>
          <w:pPr>
            <w:pStyle w:val="15"/>
            <w:tabs>
              <w:tab w:val="right" w:leader="dot" w:pos="8640"/>
            </w:tabs>
          </w:pPr>
          <w:r>
            <w:fldChar w:fldCharType="begin"/>
          </w:r>
          <w:r>
            <w:instrText xml:space="preserve"> HYPERLINK \l _Toc1344600752 </w:instrText>
          </w:r>
          <w:r>
            <w:fldChar w:fldCharType="separate"/>
          </w:r>
          <w:r>
            <w:t>（十</w:t>
          </w:r>
          <w:r>
            <w:rPr>
              <w:rFonts w:hint="eastAsia"/>
              <w:lang w:eastAsia="zh-CN"/>
            </w:rPr>
            <w:t>三</w:t>
          </w:r>
          <w:r>
            <w:t>）</w:t>
          </w:r>
          <w:r>
            <w:rPr>
              <w:rFonts w:hint="eastAsia"/>
              <w:lang w:eastAsia="zh-CN"/>
            </w:rPr>
            <w:t>套保额度</w:t>
          </w:r>
          <w:r>
            <w:t>审批及额度追加如何规定？</w:t>
          </w:r>
          <w:r>
            <w:tab/>
          </w:r>
          <w:r>
            <w:fldChar w:fldCharType="begin"/>
          </w:r>
          <w:r>
            <w:instrText xml:space="preserve"> PAGEREF _Toc1344600752 \h </w:instrText>
          </w:r>
          <w:r>
            <w:fldChar w:fldCharType="separate"/>
          </w:r>
          <w:r>
            <w:t>7</w:t>
          </w:r>
          <w:r>
            <w:fldChar w:fldCharType="end"/>
          </w:r>
          <w:r>
            <w:fldChar w:fldCharType="end"/>
          </w:r>
        </w:p>
        <w:p>
          <w:pPr>
            <w:pStyle w:val="15"/>
            <w:tabs>
              <w:tab w:val="right" w:leader="dot" w:pos="8640"/>
            </w:tabs>
          </w:pPr>
          <w:r>
            <w:fldChar w:fldCharType="begin"/>
          </w:r>
          <w:r>
            <w:instrText xml:space="preserve"> HYPERLINK \l _Toc1047938073 </w:instrText>
          </w:r>
          <w:r>
            <w:fldChar w:fldCharType="separate"/>
          </w:r>
          <w:r>
            <w:t>（十四）未取得临近交割月份额度的，一般月份额度如何转化？</w:t>
          </w:r>
          <w:r>
            <w:tab/>
          </w:r>
          <w:r>
            <w:fldChar w:fldCharType="begin"/>
          </w:r>
          <w:r>
            <w:instrText xml:space="preserve"> PAGEREF _Toc1047938073 \h </w:instrText>
          </w:r>
          <w:r>
            <w:fldChar w:fldCharType="separate"/>
          </w:r>
          <w:r>
            <w:t>8</w:t>
          </w:r>
          <w:r>
            <w:fldChar w:fldCharType="end"/>
          </w:r>
          <w:r>
            <w:fldChar w:fldCharType="end"/>
          </w:r>
        </w:p>
        <w:p>
          <w:pPr>
            <w:pStyle w:val="23"/>
            <w:tabs>
              <w:tab w:val="right" w:leader="dot" w:pos="8640"/>
            </w:tabs>
          </w:pPr>
          <w:r>
            <w:fldChar w:fldCharType="begin"/>
          </w:r>
          <w:r>
            <w:instrText xml:space="preserve"> HYPERLINK \l _Toc1531005855 </w:instrText>
          </w:r>
          <w:r>
            <w:fldChar w:fldCharType="separate"/>
          </w:r>
          <w:r>
            <w:rPr>
              <w:rFonts w:hint="eastAsia"/>
              <w:lang w:eastAsia="zh-CN"/>
            </w:rPr>
            <w:t>三</w:t>
          </w:r>
          <w:r>
            <w:t>、套期保值持仓管理要点</w:t>
          </w:r>
          <w:r>
            <w:tab/>
          </w:r>
          <w:r>
            <w:fldChar w:fldCharType="begin"/>
          </w:r>
          <w:r>
            <w:instrText xml:space="preserve"> PAGEREF _Toc1531005855 \h </w:instrText>
          </w:r>
          <w:r>
            <w:fldChar w:fldCharType="separate"/>
          </w:r>
          <w:r>
            <w:t>8</w:t>
          </w:r>
          <w:r>
            <w:fldChar w:fldCharType="end"/>
          </w:r>
          <w:r>
            <w:fldChar w:fldCharType="end"/>
          </w:r>
        </w:p>
        <w:p>
          <w:pPr>
            <w:pStyle w:val="15"/>
            <w:tabs>
              <w:tab w:val="right" w:leader="dot" w:pos="8640"/>
            </w:tabs>
          </w:pPr>
          <w:r>
            <w:fldChar w:fldCharType="begin"/>
          </w:r>
          <w:r>
            <w:instrText xml:space="preserve"> HYPERLINK \l _Toc475700860 </w:instrText>
          </w:r>
          <w:r>
            <w:fldChar w:fldCharType="separate"/>
          </w:r>
          <w:r>
            <w:t>（十</w:t>
          </w:r>
          <w:r>
            <w:rPr>
              <w:rFonts w:hint="eastAsia"/>
              <w:lang w:eastAsia="zh-CN"/>
            </w:rPr>
            <w:t>五</w:t>
          </w:r>
          <w:r>
            <w:t>）期货与期权如何共同使用</w:t>
          </w:r>
          <w:r>
            <w:rPr>
              <w:rFonts w:hint="eastAsia"/>
              <w:lang w:eastAsia="zh-CN"/>
            </w:rPr>
            <w:t>套保额度</w:t>
          </w:r>
          <w:r>
            <w:t>？</w:t>
          </w:r>
          <w:r>
            <w:tab/>
          </w:r>
          <w:r>
            <w:fldChar w:fldCharType="begin"/>
          </w:r>
          <w:r>
            <w:instrText xml:space="preserve"> PAGEREF _Toc475700860 \h </w:instrText>
          </w:r>
          <w:r>
            <w:fldChar w:fldCharType="separate"/>
          </w:r>
          <w:r>
            <w:t>8</w:t>
          </w:r>
          <w:r>
            <w:fldChar w:fldCharType="end"/>
          </w:r>
          <w:r>
            <w:fldChar w:fldCharType="end"/>
          </w:r>
        </w:p>
        <w:p>
          <w:pPr>
            <w:pStyle w:val="15"/>
            <w:tabs>
              <w:tab w:val="right" w:leader="dot" w:pos="8640"/>
            </w:tabs>
          </w:pPr>
          <w:r>
            <w:fldChar w:fldCharType="begin"/>
          </w:r>
          <w:r>
            <w:instrText xml:space="preserve"> HYPERLINK \l _Toc24807173 </w:instrText>
          </w:r>
          <w:r>
            <w:fldChar w:fldCharType="separate"/>
          </w:r>
          <w:r>
            <w:t>（十</w:t>
          </w:r>
          <w:r>
            <w:rPr>
              <w:rFonts w:hint="eastAsia"/>
              <w:lang w:eastAsia="zh-CN"/>
            </w:rPr>
            <w:t>六</w:t>
          </w:r>
          <w:r>
            <w:t>）月末仓位调整需要注意什么？</w:t>
          </w:r>
          <w:r>
            <w:tab/>
          </w:r>
          <w:r>
            <w:fldChar w:fldCharType="begin"/>
          </w:r>
          <w:r>
            <w:instrText xml:space="preserve"> PAGEREF _Toc24807173 \h </w:instrText>
          </w:r>
          <w:r>
            <w:fldChar w:fldCharType="separate"/>
          </w:r>
          <w:r>
            <w:t>8</w:t>
          </w:r>
          <w:r>
            <w:fldChar w:fldCharType="end"/>
          </w:r>
          <w:r>
            <w:fldChar w:fldCharType="end"/>
          </w:r>
        </w:p>
        <w:p>
          <w:pPr>
            <w:pStyle w:val="15"/>
            <w:tabs>
              <w:tab w:val="right" w:leader="dot" w:pos="8640"/>
            </w:tabs>
          </w:pPr>
          <w:r>
            <w:fldChar w:fldCharType="begin"/>
          </w:r>
          <w:r>
            <w:instrText xml:space="preserve"> HYPERLINK \l _Toc1084090472 </w:instrText>
          </w:r>
          <w:r>
            <w:fldChar w:fldCharType="separate"/>
          </w:r>
          <w:r>
            <w:t>（十</w:t>
          </w:r>
          <w:r>
            <w:rPr>
              <w:rFonts w:hint="eastAsia"/>
              <w:lang w:eastAsia="zh-CN"/>
            </w:rPr>
            <w:t>七</w:t>
          </w:r>
          <w:r>
            <w:t>）套期保值超仓预警与处理如何规定？</w:t>
          </w:r>
          <w:r>
            <w:tab/>
          </w:r>
          <w:r>
            <w:fldChar w:fldCharType="begin"/>
          </w:r>
          <w:r>
            <w:instrText xml:space="preserve"> PAGEREF _Toc1084090472 \h </w:instrText>
          </w:r>
          <w:r>
            <w:fldChar w:fldCharType="separate"/>
          </w:r>
          <w:r>
            <w:t>8</w:t>
          </w:r>
          <w:r>
            <w:fldChar w:fldCharType="end"/>
          </w:r>
          <w:r>
            <w:fldChar w:fldCharType="end"/>
          </w:r>
        </w:p>
        <w:p>
          <w:pPr>
            <w:pStyle w:val="23"/>
            <w:tabs>
              <w:tab w:val="right" w:leader="dot" w:pos="8640"/>
            </w:tabs>
          </w:pPr>
          <w:r>
            <w:fldChar w:fldCharType="begin"/>
          </w:r>
          <w:r>
            <w:instrText xml:space="preserve"> HYPERLINK \l _Toc1184658010 </w:instrText>
          </w:r>
          <w:r>
            <w:fldChar w:fldCharType="separate"/>
          </w:r>
          <w:r>
            <w:rPr>
              <w:rFonts w:hint="eastAsia"/>
              <w:lang w:eastAsia="zh-CN"/>
            </w:rPr>
            <w:t>四</w:t>
          </w:r>
          <w:r>
            <w:t>、套期保值监督管理</w:t>
          </w:r>
          <w:r>
            <w:tab/>
          </w:r>
          <w:r>
            <w:fldChar w:fldCharType="begin"/>
          </w:r>
          <w:r>
            <w:instrText xml:space="preserve"> PAGEREF _Toc1184658010 \h </w:instrText>
          </w:r>
          <w:r>
            <w:fldChar w:fldCharType="separate"/>
          </w:r>
          <w:r>
            <w:t>9</w:t>
          </w:r>
          <w:r>
            <w:fldChar w:fldCharType="end"/>
          </w:r>
          <w:r>
            <w:fldChar w:fldCharType="end"/>
          </w:r>
        </w:p>
        <w:p>
          <w:pPr>
            <w:pStyle w:val="15"/>
            <w:tabs>
              <w:tab w:val="right" w:leader="dot" w:pos="8640"/>
            </w:tabs>
          </w:pPr>
          <w:r>
            <w:fldChar w:fldCharType="begin"/>
          </w:r>
          <w:r>
            <w:instrText xml:space="preserve"> HYPERLINK \l _Toc1531205096 </w:instrText>
          </w:r>
          <w:r>
            <w:fldChar w:fldCharType="separate"/>
          </w:r>
          <w:r>
            <w:t>（十</w:t>
          </w:r>
          <w:r>
            <w:rPr>
              <w:rFonts w:hint="eastAsia"/>
              <w:lang w:eastAsia="zh-CN"/>
            </w:rPr>
            <w:t>八</w:t>
          </w:r>
          <w:r>
            <w:t>）交易所如何对</w:t>
          </w:r>
          <w:r>
            <w:rPr>
              <w:rFonts w:hint="eastAsia"/>
              <w:lang w:eastAsia="zh-CN"/>
            </w:rPr>
            <w:t>套保额度</w:t>
          </w:r>
          <w:r>
            <w:t>使用情况进行监督管理？</w:t>
          </w:r>
          <w:r>
            <w:tab/>
          </w:r>
          <w:r>
            <w:fldChar w:fldCharType="begin"/>
          </w:r>
          <w:r>
            <w:instrText xml:space="preserve"> PAGEREF _Toc1531205096 \h </w:instrText>
          </w:r>
          <w:r>
            <w:fldChar w:fldCharType="separate"/>
          </w:r>
          <w:r>
            <w:t>9</w:t>
          </w:r>
          <w:r>
            <w:fldChar w:fldCharType="end"/>
          </w:r>
          <w:r>
            <w:fldChar w:fldCharType="end"/>
          </w:r>
        </w:p>
        <w:p>
          <w:pPr>
            <w:bidi w:val="0"/>
            <w:jc w:val="both"/>
          </w:pPr>
          <w:r>
            <w:fldChar w:fldCharType="end"/>
          </w:r>
        </w:p>
      </w:sdtContent>
    </w:sdt>
    <w:p>
      <w:pPr>
        <w:bidi w:val="0"/>
        <w:jc w:val="center"/>
        <w:rPr>
          <w:rFonts w:hint="eastAsia" w:asciiTheme="majorEastAsia" w:hAnsiTheme="majorEastAsia" w:eastAsiaTheme="majorEastAsia" w:cstheme="majorEastAsia"/>
          <w:b/>
          <w:bCs/>
          <w:color w:val="17375E" w:themeColor="text2" w:themeShade="BF"/>
          <w:sz w:val="40"/>
          <w:szCs w:val="40"/>
          <w:lang w:val="en-US" w:eastAsia="zh-CN"/>
        </w:rPr>
      </w:pPr>
      <w:r>
        <w:rPr>
          <w:rFonts w:hint="eastAsia" w:asciiTheme="majorEastAsia" w:hAnsiTheme="majorEastAsia" w:eastAsiaTheme="majorEastAsia" w:cstheme="majorEastAsia"/>
          <w:b/>
          <w:bCs/>
          <w:color w:val="17375E" w:themeColor="text2" w:themeShade="BF"/>
          <w:sz w:val="40"/>
          <w:szCs w:val="40"/>
        </w:rPr>
        <w:t>上海期货交易所套期保值业务</w:t>
      </w:r>
      <w:r>
        <w:rPr>
          <w:rFonts w:hint="eastAsia" w:asciiTheme="majorEastAsia" w:hAnsiTheme="majorEastAsia" w:eastAsiaTheme="majorEastAsia" w:cstheme="majorEastAsia"/>
          <w:b/>
          <w:bCs/>
          <w:color w:val="17375E" w:themeColor="text2" w:themeShade="BF"/>
          <w:sz w:val="40"/>
          <w:szCs w:val="40"/>
          <w:lang w:eastAsia="zh-CN"/>
        </w:rPr>
        <w:t>常见问题</w:t>
      </w:r>
      <w:r>
        <w:rPr>
          <w:rFonts w:hint="eastAsia" w:asciiTheme="majorEastAsia" w:hAnsiTheme="majorEastAsia" w:eastAsiaTheme="majorEastAsia" w:cstheme="majorEastAsia"/>
          <w:b/>
          <w:bCs/>
          <w:color w:val="17375E" w:themeColor="text2" w:themeShade="BF"/>
          <w:sz w:val="40"/>
          <w:szCs w:val="40"/>
          <w:lang w:val="en-US" w:eastAsia="zh-CN"/>
        </w:rPr>
        <w:t>解答</w:t>
      </w:r>
    </w:p>
    <w:p>
      <w:pPr>
        <w:pStyle w:val="29"/>
        <w:jc w:val="center"/>
      </w:pPr>
      <w:r>
        <w:rPr>
          <w:b/>
          <w:bCs/>
        </w:rPr>
        <w:t>（2026年</w:t>
      </w:r>
      <w:r>
        <w:rPr>
          <w:rFonts w:hint="eastAsia"/>
          <w:b/>
          <w:bCs/>
          <w:lang w:val="en-US" w:eastAsia="zh-CN"/>
        </w:rPr>
        <w:t>9</w:t>
      </w:r>
      <w:r>
        <w:rPr>
          <w:b/>
          <w:bCs/>
        </w:rPr>
        <w:t>月版）</w:t>
      </w:r>
    </w:p>
    <w:p>
      <w:pPr>
        <w:pStyle w:val="3"/>
        <w:ind w:firstLine="480"/>
      </w:pPr>
      <w:r>
        <w:t>根据</w:t>
      </w:r>
      <w:r>
        <w:rPr>
          <w:rFonts w:hint="eastAsia"/>
          <w:lang w:eastAsia="zh-CN"/>
        </w:rPr>
        <w:t>套期保值相关法律法规、</w:t>
      </w:r>
      <w:r>
        <w:t>《上海期货交易所套期保值交易管理办法》（以下简称《套保</w:t>
      </w:r>
      <w:r>
        <w:rPr>
          <w:rFonts w:hint="eastAsia"/>
          <w:lang w:eastAsia="zh-CN"/>
        </w:rPr>
        <w:t>管理</w:t>
      </w:r>
      <w:r>
        <w:t>办法》）及相关品种期货业务细则，上海期货交易所（以下简称交易所）对</w:t>
      </w:r>
      <w:r>
        <w:rPr>
          <w:rFonts w:hint="eastAsia"/>
          <w:lang w:eastAsia="zh-CN"/>
        </w:rPr>
        <w:t>套期保值交易持仓额度（以下简称套保额度）</w:t>
      </w:r>
      <w:r>
        <w:t>实行审批制管理。为方便会员、境外特殊参与者、境外中介机构及客户办理套期保值业务，现将</w:t>
      </w:r>
      <w:r>
        <w:rPr>
          <w:rFonts w:hint="eastAsia"/>
          <w:lang w:eastAsia="zh-CN"/>
        </w:rPr>
        <w:t>套保额度</w:t>
      </w:r>
      <w:r>
        <w:t>的申请要求、审核要点及常见问题说明如下。</w:t>
      </w:r>
    </w:p>
    <w:p>
      <w:pPr>
        <w:pStyle w:val="3"/>
        <w:ind w:firstLine="0"/>
      </w:pPr>
      <w:bookmarkStart w:id="1" w:name="目-录"/>
    </w:p>
    <w:bookmarkEnd w:id="1"/>
    <w:p>
      <w:pPr>
        <w:pStyle w:val="4"/>
        <w:pageBreakBefore w:val="0"/>
        <w:widowControl/>
        <w:kinsoku/>
        <w:wordWrap/>
        <w:overflowPunct/>
        <w:topLinePunct w:val="0"/>
        <w:autoSpaceDE/>
        <w:autoSpaceDN/>
        <w:bidi w:val="0"/>
        <w:adjustRightInd/>
        <w:snapToGrid/>
        <w:spacing w:line="480" w:lineRule="exact"/>
        <w:textAlignment w:val="auto"/>
      </w:pPr>
      <w:bookmarkStart w:id="2" w:name="_Toc869433082"/>
      <w:bookmarkStart w:id="3" w:name="_Toc982939981"/>
      <w:bookmarkStart w:id="4" w:name="_Toc464582241"/>
      <w:bookmarkStart w:id="5" w:name="一套期保值基本问题"/>
      <w:r>
        <w:t>一、套期保值基本问题</w:t>
      </w:r>
      <w:bookmarkEnd w:id="2"/>
      <w:bookmarkEnd w:id="3"/>
      <w:bookmarkEnd w:id="4"/>
    </w:p>
    <w:p>
      <w:pPr>
        <w:pStyle w:val="5"/>
        <w:pageBreakBefore w:val="0"/>
        <w:widowControl/>
        <w:kinsoku/>
        <w:wordWrap/>
        <w:overflowPunct/>
        <w:topLinePunct w:val="0"/>
        <w:autoSpaceDE/>
        <w:autoSpaceDN/>
        <w:bidi w:val="0"/>
        <w:adjustRightInd/>
        <w:snapToGrid/>
        <w:spacing w:line="480" w:lineRule="exact"/>
        <w:textAlignment w:val="auto"/>
      </w:pPr>
      <w:bookmarkStart w:id="6" w:name="_Toc799448419"/>
      <w:bookmarkStart w:id="7" w:name="_Toc2021029057"/>
      <w:bookmarkStart w:id="8" w:name="_Toc1215686552"/>
      <w:bookmarkStart w:id="9" w:name="一什么是套期保值套期保值交易持仓额度如何分类"/>
      <w:r>
        <w:t>（一）什么是套期保值？</w:t>
      </w:r>
      <w:r>
        <w:rPr>
          <w:rFonts w:hint="eastAsia"/>
          <w:lang w:eastAsia="zh-CN"/>
        </w:rPr>
        <w:t>套保额度</w:t>
      </w:r>
      <w:r>
        <w:t>如何分类？</w:t>
      </w:r>
      <w:bookmarkEnd w:id="6"/>
      <w:bookmarkEnd w:id="7"/>
      <w:bookmarkEnd w:id="8"/>
    </w:p>
    <w:p>
      <w:pPr>
        <w:pStyle w:val="29"/>
        <w:pageBreakBefore w:val="0"/>
        <w:widowControl/>
        <w:kinsoku/>
        <w:wordWrap/>
        <w:overflowPunct/>
        <w:topLinePunct w:val="0"/>
        <w:autoSpaceDE/>
        <w:autoSpaceDN/>
        <w:bidi w:val="0"/>
        <w:adjustRightInd/>
        <w:snapToGrid/>
        <w:spacing w:line="480" w:lineRule="exact"/>
        <w:ind w:firstLine="480"/>
        <w:textAlignment w:val="auto"/>
      </w:pPr>
      <w:r>
        <w:t>根据《中华人民共和国期货和衍生品法》，套期保值是指交易者为管理因其资产、负债等价值变化产生的风险而达成的与上述资产、负债等基本吻合的期货交易和衍生品交易的活动。国家鼓励利用期货市场和衍生品市场从事套期保值等风险管理活动，从事套期保值等风险管理活动的交易者可以向交易所申请持仓限额豁免。</w:t>
      </w:r>
    </w:p>
    <w:p>
      <w:pPr>
        <w:pStyle w:val="3"/>
        <w:pageBreakBefore w:val="0"/>
        <w:widowControl/>
        <w:kinsoku/>
        <w:wordWrap/>
        <w:overflowPunct/>
        <w:topLinePunct w:val="0"/>
        <w:autoSpaceDE/>
        <w:autoSpaceDN/>
        <w:bidi w:val="0"/>
        <w:adjustRightInd/>
        <w:snapToGrid/>
        <w:spacing w:line="480" w:lineRule="exact"/>
        <w:ind w:firstLine="480"/>
        <w:textAlignment w:val="auto"/>
      </w:pPr>
      <w:r>
        <w:t>交易所</w:t>
      </w:r>
      <w:r>
        <w:rPr>
          <w:rFonts w:hint="eastAsia"/>
          <w:lang w:eastAsia="zh-CN"/>
        </w:rPr>
        <w:t>套保额度</w:t>
      </w:r>
      <w:r>
        <w:t>实行审批制，按使用阶段分为一般月份</w:t>
      </w:r>
      <w:r>
        <w:rPr>
          <w:rFonts w:hint="eastAsia"/>
          <w:lang w:eastAsia="zh-CN"/>
        </w:rPr>
        <w:t>套保额度</w:t>
      </w:r>
      <w:r>
        <w:t>和临近交割月份</w:t>
      </w:r>
      <w:r>
        <w:rPr>
          <w:rFonts w:hint="eastAsia"/>
          <w:lang w:eastAsia="zh-CN"/>
        </w:rPr>
        <w:t>套保额度</w:t>
      </w:r>
      <w:r>
        <w:t>；按使用方向分为买入套期保值交易和卖出套期保值交易。</w:t>
      </w:r>
    </w:p>
    <w:p>
      <w:pPr>
        <w:pStyle w:val="3"/>
        <w:pageBreakBefore w:val="0"/>
        <w:widowControl/>
        <w:kinsoku/>
        <w:wordWrap/>
        <w:overflowPunct/>
        <w:topLinePunct w:val="0"/>
        <w:autoSpaceDE/>
        <w:autoSpaceDN/>
        <w:bidi w:val="0"/>
        <w:adjustRightInd/>
        <w:snapToGrid/>
        <w:spacing w:line="480" w:lineRule="exact"/>
        <w:ind w:firstLine="480"/>
        <w:textAlignment w:val="auto"/>
      </w:pPr>
      <w:r>
        <w:t>买入套期保值交易是指建立期货合约买方向、看涨期权合约买方向、看跌期权合约卖方向的套期保值交易持仓；卖出套期保值交易是指建立期货合约卖方向、看涨期权合约卖方向、看跌期权合约买方向的套期保值交易持仓。</w:t>
      </w:r>
    </w:p>
    <w:p>
      <w:pPr>
        <w:pStyle w:val="3"/>
        <w:pageBreakBefore w:val="0"/>
        <w:widowControl/>
        <w:kinsoku/>
        <w:wordWrap/>
        <w:overflowPunct/>
        <w:topLinePunct w:val="0"/>
        <w:autoSpaceDE/>
        <w:autoSpaceDN/>
        <w:bidi w:val="0"/>
        <w:adjustRightInd/>
        <w:snapToGrid/>
        <w:spacing w:line="480" w:lineRule="exact"/>
        <w:ind w:firstLine="480"/>
        <w:textAlignment w:val="auto"/>
      </w:pPr>
      <w:r>
        <w:t>一般月份和临近交割月份的划分及其</w:t>
      </w:r>
      <w:r>
        <w:rPr>
          <w:rFonts w:hint="eastAsia"/>
          <w:lang w:eastAsia="zh-CN"/>
        </w:rPr>
        <w:t>套保额度</w:t>
      </w:r>
      <w:r>
        <w:t>申请时间，按照各品种期货业务细则的具体规定执行。</w:t>
      </w:r>
    </w:p>
    <w:bookmarkEnd w:id="9"/>
    <w:p>
      <w:pPr>
        <w:pStyle w:val="5"/>
        <w:pageBreakBefore w:val="0"/>
        <w:widowControl/>
        <w:kinsoku/>
        <w:wordWrap/>
        <w:overflowPunct/>
        <w:topLinePunct w:val="0"/>
        <w:autoSpaceDE/>
        <w:autoSpaceDN/>
        <w:bidi w:val="0"/>
        <w:adjustRightInd/>
        <w:snapToGrid/>
        <w:spacing w:line="480" w:lineRule="exact"/>
        <w:textAlignment w:val="auto"/>
      </w:pPr>
      <w:bookmarkStart w:id="10" w:name="_Toc1125126954"/>
      <w:bookmarkStart w:id="11" w:name="_Toc1956160579"/>
      <w:bookmarkStart w:id="12" w:name="_Toc676054139"/>
      <w:bookmarkStart w:id="13" w:name="二套期保值持仓与一般持仓是什么关系"/>
      <w:r>
        <w:t>（二）套期保值持仓与一般持仓是什么关系？</w:t>
      </w:r>
      <w:bookmarkEnd w:id="10"/>
      <w:bookmarkEnd w:id="11"/>
      <w:bookmarkEnd w:id="12"/>
    </w:p>
    <w:p>
      <w:pPr>
        <w:pStyle w:val="29"/>
        <w:pageBreakBefore w:val="0"/>
        <w:widowControl/>
        <w:kinsoku/>
        <w:wordWrap/>
        <w:overflowPunct/>
        <w:topLinePunct w:val="0"/>
        <w:autoSpaceDE/>
        <w:autoSpaceDN/>
        <w:bidi w:val="0"/>
        <w:adjustRightInd/>
        <w:snapToGrid/>
        <w:spacing w:line="480" w:lineRule="exact"/>
        <w:ind w:firstLine="480"/>
        <w:textAlignment w:val="auto"/>
      </w:pPr>
      <w:r>
        <w:t>一般持仓与套期保值持仓相互独立。一般持仓按照《上海期货交易所风险控制管理办法》及各品种期货业务细则规定的持仓限额制度执行；</w:t>
      </w:r>
      <w:r>
        <w:rPr>
          <w:rFonts w:hint="eastAsia"/>
          <w:lang w:eastAsia="zh-CN"/>
        </w:rPr>
        <w:t>套保额度</w:t>
      </w:r>
      <w:r>
        <w:t>实行审批制度，不受持仓限额制度限制，套期保值持仓的持仓限额即为获批的</w:t>
      </w:r>
      <w:r>
        <w:rPr>
          <w:rFonts w:hint="eastAsia"/>
          <w:lang w:eastAsia="zh-CN"/>
        </w:rPr>
        <w:t>套保额度</w:t>
      </w:r>
      <w:r>
        <w:t>。</w:t>
      </w:r>
    </w:p>
    <w:p>
      <w:pPr>
        <w:pStyle w:val="3"/>
        <w:pageBreakBefore w:val="0"/>
        <w:widowControl/>
        <w:kinsoku/>
        <w:wordWrap/>
        <w:overflowPunct/>
        <w:topLinePunct w:val="0"/>
        <w:autoSpaceDE/>
        <w:autoSpaceDN/>
        <w:bidi w:val="0"/>
        <w:adjustRightInd/>
        <w:snapToGrid/>
        <w:spacing w:line="480" w:lineRule="exact"/>
        <w:ind w:firstLine="480"/>
        <w:textAlignment w:val="auto"/>
      </w:pPr>
      <w:r>
        <w:t>客户在某合约的总持仓额度为：一般持仓的持仓限额＋获批的</w:t>
      </w:r>
      <w:r>
        <w:rPr>
          <w:rFonts w:hint="eastAsia"/>
          <w:lang w:eastAsia="zh-CN"/>
        </w:rPr>
        <w:t>套保额度</w:t>
      </w:r>
      <w:r>
        <w:t>。</w:t>
      </w:r>
    </w:p>
    <w:bookmarkEnd w:id="13"/>
    <w:p>
      <w:pPr>
        <w:pStyle w:val="5"/>
        <w:pageBreakBefore w:val="0"/>
        <w:widowControl/>
        <w:kinsoku/>
        <w:wordWrap/>
        <w:overflowPunct/>
        <w:topLinePunct w:val="0"/>
        <w:autoSpaceDE/>
        <w:autoSpaceDN/>
        <w:bidi w:val="0"/>
        <w:adjustRightInd/>
        <w:snapToGrid/>
        <w:spacing w:line="480" w:lineRule="exact"/>
        <w:textAlignment w:val="auto"/>
      </w:pPr>
      <w:bookmarkStart w:id="14" w:name="_Toc1726415731"/>
      <w:bookmarkStart w:id="15" w:name="_Toc1366892960"/>
      <w:bookmarkStart w:id="16" w:name="_Toc126548257"/>
      <w:bookmarkStart w:id="17" w:name="三哪些主体可以申请套期保值交易持仓额度"/>
      <w:r>
        <w:t>（三）哪些主体可以申请</w:t>
      </w:r>
      <w:r>
        <w:rPr>
          <w:rFonts w:hint="eastAsia"/>
          <w:lang w:eastAsia="zh-CN"/>
        </w:rPr>
        <w:t>套保额度</w:t>
      </w:r>
      <w:r>
        <w:t>？</w:t>
      </w:r>
      <w:bookmarkEnd w:id="14"/>
      <w:bookmarkEnd w:id="15"/>
      <w:bookmarkEnd w:id="16"/>
    </w:p>
    <w:p>
      <w:pPr>
        <w:pStyle w:val="29"/>
        <w:pageBreakBefore w:val="0"/>
        <w:widowControl/>
        <w:kinsoku/>
        <w:wordWrap/>
        <w:overflowPunct/>
        <w:topLinePunct w:val="0"/>
        <w:autoSpaceDE/>
        <w:autoSpaceDN/>
        <w:bidi w:val="0"/>
        <w:adjustRightInd/>
        <w:snapToGrid/>
        <w:spacing w:line="480" w:lineRule="exact"/>
        <w:ind w:firstLine="480"/>
        <w:textAlignment w:val="auto"/>
      </w:pPr>
      <w:r>
        <w:t>申请</w:t>
      </w:r>
      <w:r>
        <w:rPr>
          <w:rFonts w:hint="eastAsia"/>
          <w:lang w:eastAsia="zh-CN"/>
        </w:rPr>
        <w:t>套保额度</w:t>
      </w:r>
      <w:r>
        <w:t>的主体为非期货公司会员、境外特殊非经纪参与者或者客户。申请主体应当具备与套期保值交易品种相关的生产经营资格，单位客户需提供企业营业执照副本复印件或者公司注册证书等能够证明经营范围的文件。</w:t>
      </w:r>
    </w:p>
    <w:bookmarkEnd w:id="17"/>
    <w:p>
      <w:pPr>
        <w:pStyle w:val="5"/>
        <w:pageBreakBefore w:val="0"/>
        <w:widowControl/>
        <w:kinsoku/>
        <w:wordWrap/>
        <w:overflowPunct/>
        <w:topLinePunct w:val="0"/>
        <w:autoSpaceDE/>
        <w:autoSpaceDN/>
        <w:bidi w:val="0"/>
        <w:adjustRightInd/>
        <w:snapToGrid/>
        <w:spacing w:line="480" w:lineRule="exact"/>
        <w:textAlignment w:val="auto"/>
      </w:pPr>
      <w:bookmarkStart w:id="18" w:name="_Toc2067759637"/>
      <w:bookmarkStart w:id="19" w:name="_Toc484229078"/>
      <w:bookmarkStart w:id="20" w:name="_Toc1164751709"/>
      <w:bookmarkStart w:id="21" w:name="四如何办理套期保值持仓额度申请"/>
      <w:r>
        <w:t>（四）如何办理</w:t>
      </w:r>
      <w:r>
        <w:rPr>
          <w:rFonts w:hint="eastAsia"/>
          <w:lang w:eastAsia="zh-CN"/>
        </w:rPr>
        <w:t>套保额度</w:t>
      </w:r>
      <w:r>
        <w:t>申请？</w:t>
      </w:r>
      <w:bookmarkEnd w:id="18"/>
      <w:bookmarkEnd w:id="19"/>
      <w:bookmarkEnd w:id="20"/>
    </w:p>
    <w:p>
      <w:pPr>
        <w:pStyle w:val="29"/>
        <w:pageBreakBefore w:val="0"/>
        <w:widowControl/>
        <w:kinsoku/>
        <w:wordWrap/>
        <w:overflowPunct/>
        <w:topLinePunct w:val="0"/>
        <w:autoSpaceDE/>
        <w:autoSpaceDN/>
        <w:bidi w:val="0"/>
        <w:adjustRightInd/>
        <w:snapToGrid/>
        <w:spacing w:line="480" w:lineRule="exact"/>
        <w:ind w:firstLine="480"/>
        <w:textAlignment w:val="auto"/>
      </w:pPr>
      <w:r>
        <w:t>需要进行套期保值交易的客户，应当向其开户的期货公司会员、境外特殊经纪参与者或者境外中介机构等机构（以下统称开户机构）办理申报手续，开户机构对申请材料进行审核后，向交易所办理申报手续；非期货公司会员和境外特殊非经纪参与者直接向交易所办理申报手续。</w:t>
      </w:r>
    </w:p>
    <w:p>
      <w:pPr>
        <w:pStyle w:val="3"/>
        <w:pageBreakBefore w:val="0"/>
        <w:widowControl/>
        <w:kinsoku/>
        <w:wordWrap/>
        <w:overflowPunct/>
        <w:topLinePunct w:val="0"/>
        <w:autoSpaceDE/>
        <w:autoSpaceDN/>
        <w:bidi w:val="0"/>
        <w:adjustRightInd/>
        <w:snapToGrid/>
        <w:spacing w:line="480" w:lineRule="exact"/>
        <w:ind w:firstLine="480"/>
        <w:textAlignment w:val="auto"/>
      </w:pPr>
      <w:r>
        <w:t>具体流程为：套保企业</w:t>
      </w:r>
      <w:r>
        <w:rPr>
          <w:rFonts w:hint="eastAsia"/>
          <w:lang w:eastAsia="zh-CN"/>
        </w:rPr>
        <w:t>按</w:t>
      </w:r>
      <w:r>
        <w:t>要求准备套保申请材料；客户通过其开户机构</w:t>
      </w:r>
      <w:r>
        <w:rPr>
          <w:rFonts w:hint="eastAsia"/>
          <w:lang w:eastAsia="zh-CN"/>
        </w:rPr>
        <w:t>、</w:t>
      </w:r>
      <w:r>
        <w:t>非期货公司会员和境外特殊非经纪参与者，在交易所会员服务系统中通过</w:t>
      </w:r>
      <w:r>
        <w:rPr>
          <w:highlight w:val="none"/>
        </w:rPr>
        <w:t>套期保值</w:t>
      </w:r>
      <w:r>
        <w:rPr>
          <w:rFonts w:hint="eastAsia"/>
          <w:highlight w:val="none"/>
          <w:lang w:eastAsia="zh-CN"/>
        </w:rPr>
        <w:t>额度</w:t>
      </w:r>
      <w:r>
        <w:rPr>
          <w:highlight w:val="none"/>
        </w:rPr>
        <w:t>申请</w:t>
      </w:r>
      <w:r>
        <w:rPr>
          <w:rFonts w:hint="eastAsia"/>
          <w:highlight w:val="none"/>
          <w:lang w:eastAsia="zh-CN"/>
        </w:rPr>
        <w:t>相关</w:t>
      </w:r>
      <w:r>
        <w:rPr>
          <w:highlight w:val="none"/>
        </w:rPr>
        <w:t>功能模块</w:t>
      </w:r>
      <w:r>
        <w:t>，向交易所递交</w:t>
      </w:r>
      <w:r>
        <w:rPr>
          <w:rFonts w:hint="eastAsia"/>
          <w:lang w:eastAsia="zh-CN"/>
        </w:rPr>
        <w:t>套保额度</w:t>
      </w:r>
      <w:r>
        <w:t>申请；交易所根据所提供的申请材料进行</w:t>
      </w:r>
      <w:r>
        <w:rPr>
          <w:rFonts w:hint="eastAsia"/>
          <w:lang w:eastAsia="zh-CN"/>
        </w:rPr>
        <w:t>套保额度</w:t>
      </w:r>
      <w:r>
        <w:t>审批。</w:t>
      </w:r>
    </w:p>
    <w:bookmarkEnd w:id="21"/>
    <w:p>
      <w:pPr>
        <w:pStyle w:val="5"/>
        <w:pageBreakBefore w:val="0"/>
        <w:widowControl/>
        <w:kinsoku/>
        <w:wordWrap/>
        <w:overflowPunct/>
        <w:topLinePunct w:val="0"/>
        <w:autoSpaceDE/>
        <w:autoSpaceDN/>
        <w:bidi w:val="0"/>
        <w:adjustRightInd/>
        <w:snapToGrid/>
        <w:spacing w:line="480" w:lineRule="exact"/>
        <w:textAlignment w:val="auto"/>
      </w:pPr>
      <w:bookmarkStart w:id="22" w:name="_Toc1601810242"/>
      <w:bookmarkStart w:id="23" w:name="_Toc2020684089"/>
      <w:bookmarkStart w:id="24" w:name="_Toc205793971"/>
      <w:bookmarkStart w:id="25" w:name="六一般持仓能否转换为套期保值持仓"/>
      <w:r>
        <w:t>（</w:t>
      </w:r>
      <w:r>
        <w:rPr>
          <w:rFonts w:hint="eastAsia"/>
          <w:lang w:eastAsia="zh-CN"/>
        </w:rPr>
        <w:t>五</w:t>
      </w:r>
      <w:r>
        <w:t>）一般持仓能否转换为套期保值持仓？</w:t>
      </w:r>
      <w:bookmarkEnd w:id="22"/>
      <w:bookmarkEnd w:id="23"/>
      <w:bookmarkEnd w:id="24"/>
    </w:p>
    <w:p>
      <w:pPr>
        <w:pStyle w:val="29"/>
        <w:pageBreakBefore w:val="0"/>
        <w:widowControl/>
        <w:kinsoku/>
        <w:wordWrap/>
        <w:overflowPunct/>
        <w:topLinePunct w:val="0"/>
        <w:autoSpaceDE/>
        <w:autoSpaceDN/>
        <w:bidi w:val="0"/>
        <w:adjustRightInd/>
        <w:snapToGrid/>
        <w:spacing w:line="480" w:lineRule="exact"/>
        <w:ind w:firstLine="480"/>
        <w:textAlignment w:val="auto"/>
      </w:pPr>
      <w:r>
        <w:t>可以。客户获批</w:t>
      </w:r>
      <w:r>
        <w:rPr>
          <w:rFonts w:hint="eastAsia"/>
          <w:lang w:eastAsia="zh-CN"/>
        </w:rPr>
        <w:t>套保额度</w:t>
      </w:r>
      <w:r>
        <w:t>后，可申请将一般持仓转为套期保值持仓。办理时需注意：一是仅持仓属性发生变化，开仓时间与开仓价格均不发生变化，先开的持仓先转换；二是一般持仓</w:t>
      </w:r>
      <w:r>
        <w:rPr>
          <w:rFonts w:hint="eastAsia"/>
          <w:lang w:eastAsia="zh-CN"/>
        </w:rPr>
        <w:t>转套保持仓</w:t>
      </w:r>
      <w:r>
        <w:t>仅</w:t>
      </w:r>
      <w:r>
        <w:rPr>
          <w:rFonts w:hint="eastAsia"/>
          <w:lang w:eastAsia="zh-CN"/>
        </w:rPr>
        <w:t>适用</w:t>
      </w:r>
      <w:r>
        <w:t>期货合约。</w:t>
      </w:r>
    </w:p>
    <w:bookmarkEnd w:id="25"/>
    <w:p>
      <w:pPr>
        <w:pStyle w:val="5"/>
        <w:pageBreakBefore w:val="0"/>
        <w:widowControl/>
        <w:kinsoku/>
        <w:wordWrap/>
        <w:overflowPunct/>
        <w:topLinePunct w:val="0"/>
        <w:autoSpaceDE/>
        <w:autoSpaceDN/>
        <w:bidi w:val="0"/>
        <w:adjustRightInd/>
        <w:snapToGrid/>
        <w:spacing w:line="480" w:lineRule="exact"/>
        <w:textAlignment w:val="auto"/>
      </w:pPr>
      <w:bookmarkStart w:id="26" w:name="_Toc278047536"/>
      <w:bookmarkStart w:id="27" w:name="_Toc935227508"/>
      <w:bookmarkStart w:id="28" w:name="_Toc567541244"/>
      <w:bookmarkStart w:id="29" w:name="七套期保值持仓额度能否在多家会员处使用"/>
      <w:r>
        <w:t>（</w:t>
      </w:r>
      <w:r>
        <w:rPr>
          <w:rFonts w:hint="eastAsia"/>
          <w:lang w:eastAsia="zh-CN"/>
        </w:rPr>
        <w:t>六</w:t>
      </w:r>
      <w:r>
        <w:t>）</w:t>
      </w:r>
      <w:r>
        <w:rPr>
          <w:rFonts w:hint="eastAsia"/>
          <w:lang w:eastAsia="zh-CN"/>
        </w:rPr>
        <w:t>套保额度</w:t>
      </w:r>
      <w:r>
        <w:t>能否在多家会员处使用？</w:t>
      </w:r>
      <w:bookmarkEnd w:id="26"/>
      <w:bookmarkEnd w:id="27"/>
      <w:bookmarkEnd w:id="28"/>
    </w:p>
    <w:p>
      <w:pPr>
        <w:pStyle w:val="29"/>
        <w:pageBreakBefore w:val="0"/>
        <w:widowControl/>
        <w:kinsoku/>
        <w:wordWrap/>
        <w:overflowPunct/>
        <w:topLinePunct w:val="0"/>
        <w:autoSpaceDE/>
        <w:autoSpaceDN/>
        <w:bidi w:val="0"/>
        <w:adjustRightInd/>
        <w:snapToGrid/>
        <w:spacing w:line="480" w:lineRule="exact"/>
        <w:ind w:firstLine="480"/>
        <w:textAlignment w:val="auto"/>
      </w:pPr>
      <w:r>
        <w:t>客户可使用的</w:t>
      </w:r>
      <w:r>
        <w:rPr>
          <w:rFonts w:hint="eastAsia"/>
          <w:lang w:eastAsia="zh-CN"/>
        </w:rPr>
        <w:t>套保额度</w:t>
      </w:r>
      <w:r>
        <w:t>，为该客户在所有开户会员名下申请的</w:t>
      </w:r>
      <w:r>
        <w:rPr>
          <w:rFonts w:hint="eastAsia"/>
          <w:lang w:eastAsia="zh-CN"/>
        </w:rPr>
        <w:t>套保额度</w:t>
      </w:r>
      <w:r>
        <w:t>总和。</w:t>
      </w:r>
    </w:p>
    <w:bookmarkEnd w:id="5"/>
    <w:bookmarkEnd w:id="29"/>
    <w:p>
      <w:pPr>
        <w:pStyle w:val="4"/>
        <w:pageBreakBefore w:val="0"/>
        <w:widowControl/>
        <w:kinsoku/>
        <w:wordWrap/>
        <w:overflowPunct/>
        <w:topLinePunct w:val="0"/>
        <w:autoSpaceDE/>
        <w:autoSpaceDN/>
        <w:bidi w:val="0"/>
        <w:adjustRightInd/>
        <w:snapToGrid/>
        <w:spacing w:line="480" w:lineRule="exact"/>
        <w:textAlignment w:val="auto"/>
        <w:rPr>
          <w:rFonts w:hint="eastAsia" w:eastAsiaTheme="majorEastAsia"/>
          <w:lang w:eastAsia="zh-CN"/>
        </w:rPr>
      </w:pPr>
      <w:bookmarkStart w:id="30" w:name="_Toc1842087962"/>
      <w:bookmarkStart w:id="31" w:name="_Toc1116677132"/>
      <w:bookmarkStart w:id="32" w:name="_Toc563834743"/>
      <w:bookmarkStart w:id="33" w:name="二一般月份套期保值持仓额度"/>
      <w:r>
        <w:t>二、</w:t>
      </w:r>
      <w:r>
        <w:rPr>
          <w:rFonts w:hint="eastAsia"/>
          <w:lang w:eastAsia="zh-CN"/>
        </w:rPr>
        <w:t>套保额度申请</w:t>
      </w:r>
      <w:bookmarkEnd w:id="30"/>
      <w:bookmarkEnd w:id="31"/>
      <w:bookmarkEnd w:id="32"/>
    </w:p>
    <w:p>
      <w:pPr>
        <w:pStyle w:val="5"/>
        <w:pageBreakBefore w:val="0"/>
        <w:widowControl/>
        <w:kinsoku/>
        <w:wordWrap/>
        <w:overflowPunct/>
        <w:topLinePunct w:val="0"/>
        <w:autoSpaceDE/>
        <w:autoSpaceDN/>
        <w:bidi w:val="0"/>
        <w:adjustRightInd/>
        <w:snapToGrid/>
        <w:spacing w:line="480" w:lineRule="exact"/>
        <w:textAlignment w:val="auto"/>
      </w:pPr>
      <w:bookmarkStart w:id="34" w:name="_Toc408351042"/>
      <w:bookmarkStart w:id="35" w:name="_Toc1214220018"/>
      <w:bookmarkStart w:id="36" w:name="_Toc1278583756"/>
      <w:bookmarkStart w:id="37" w:name="十申请一般月份套期保值持仓额度需提交哪些材料"/>
      <w:r>
        <w:t>（</w:t>
      </w:r>
      <w:r>
        <w:rPr>
          <w:rFonts w:hint="eastAsia"/>
          <w:lang w:eastAsia="zh-CN"/>
        </w:rPr>
        <w:t>七</w:t>
      </w:r>
      <w:r>
        <w:t>）申请</w:t>
      </w:r>
      <w:r>
        <w:rPr>
          <w:rFonts w:hint="eastAsia"/>
          <w:lang w:eastAsia="zh-CN"/>
        </w:rPr>
        <w:t>套保额度</w:t>
      </w:r>
      <w:r>
        <w:t>需提交哪些材料？</w:t>
      </w:r>
      <w:bookmarkEnd w:id="34"/>
      <w:bookmarkEnd w:id="35"/>
      <w:bookmarkEnd w:id="36"/>
    </w:p>
    <w:p>
      <w:pPr>
        <w:pStyle w:val="29"/>
        <w:pageBreakBefore w:val="0"/>
        <w:widowControl/>
        <w:kinsoku/>
        <w:wordWrap/>
        <w:overflowPunct/>
        <w:topLinePunct w:val="0"/>
        <w:autoSpaceDE/>
        <w:autoSpaceDN/>
        <w:bidi w:val="0"/>
        <w:adjustRightInd/>
        <w:snapToGrid/>
        <w:spacing w:line="480" w:lineRule="exact"/>
        <w:ind w:firstLine="480"/>
        <w:textAlignment w:val="auto"/>
      </w:pPr>
      <w:r>
        <w:rPr>
          <w:rFonts w:hint="eastAsia"/>
          <w:lang w:val="en-US" w:eastAsia="zh-CN"/>
        </w:rPr>
        <w:t>1.</w:t>
      </w:r>
      <w:r>
        <w:rPr>
          <w:rFonts w:hint="eastAsia"/>
          <w:lang w:eastAsia="zh-CN"/>
        </w:rPr>
        <w:t>根据</w:t>
      </w:r>
      <w:r>
        <w:t>《套保</w:t>
      </w:r>
      <w:r>
        <w:rPr>
          <w:rFonts w:hint="eastAsia"/>
          <w:lang w:eastAsia="zh-CN"/>
        </w:rPr>
        <w:t>管理</w:t>
      </w:r>
      <w:r>
        <w:t>办法》</w:t>
      </w:r>
      <w:r>
        <w:rPr>
          <w:rFonts w:hint="eastAsia"/>
          <w:lang w:eastAsia="zh-CN"/>
        </w:rPr>
        <w:t>，</w:t>
      </w:r>
      <w:r>
        <w:t>申请一般月份</w:t>
      </w:r>
      <w:r>
        <w:rPr>
          <w:rFonts w:hint="eastAsia"/>
          <w:lang w:eastAsia="zh-CN"/>
        </w:rPr>
        <w:t>套保额度</w:t>
      </w:r>
      <w:r>
        <w:t>的，应当提交下列证明材料：</w:t>
      </w:r>
    </w:p>
    <w:p>
      <w:pPr>
        <w:pStyle w:val="3"/>
        <w:pageBreakBefore w:val="0"/>
        <w:widowControl/>
        <w:kinsoku/>
        <w:wordWrap/>
        <w:overflowPunct/>
        <w:topLinePunct w:val="0"/>
        <w:autoSpaceDE/>
        <w:autoSpaceDN/>
        <w:bidi w:val="0"/>
        <w:adjustRightInd/>
        <w:snapToGrid/>
        <w:spacing w:line="480" w:lineRule="exact"/>
        <w:ind w:firstLine="480"/>
        <w:textAlignment w:val="auto"/>
        <w:rPr>
          <w:rFonts w:hint="eastAsia"/>
          <w:lang w:eastAsia="zh-CN"/>
        </w:rPr>
      </w:pPr>
      <w:r>
        <w:rPr>
          <w:rFonts w:hint="eastAsia"/>
          <w:lang w:eastAsia="zh-CN"/>
        </w:rPr>
        <w:t>（</w:t>
      </w:r>
      <w:r>
        <w:rPr>
          <w:rFonts w:hint="eastAsia"/>
          <w:lang w:val="en-US" w:eastAsia="zh-CN"/>
        </w:rPr>
        <w:t>1</w:t>
      </w:r>
      <w:r>
        <w:rPr>
          <w:rFonts w:hint="eastAsia"/>
          <w:lang w:eastAsia="zh-CN"/>
        </w:rPr>
        <w:t>）企业营业执照副本复印件或者公司注册证书等能够证明经营范围的文件；</w:t>
      </w:r>
    </w:p>
    <w:p>
      <w:pPr>
        <w:pStyle w:val="3"/>
        <w:pageBreakBefore w:val="0"/>
        <w:widowControl/>
        <w:kinsoku/>
        <w:wordWrap/>
        <w:overflowPunct/>
        <w:topLinePunct w:val="0"/>
        <w:autoSpaceDE/>
        <w:autoSpaceDN/>
        <w:bidi w:val="0"/>
        <w:adjustRightInd/>
        <w:snapToGrid/>
        <w:spacing w:line="480" w:lineRule="exact"/>
        <w:ind w:firstLine="480"/>
        <w:textAlignment w:val="auto"/>
        <w:rPr>
          <w:rFonts w:hint="eastAsia"/>
          <w:lang w:eastAsia="zh-CN"/>
        </w:rPr>
      </w:pPr>
      <w:r>
        <w:rPr>
          <w:rFonts w:hint="eastAsia"/>
          <w:lang w:eastAsia="zh-CN"/>
        </w:rPr>
        <w:t>（</w:t>
      </w:r>
      <w:r>
        <w:rPr>
          <w:rFonts w:hint="eastAsia"/>
          <w:lang w:val="en-US" w:eastAsia="zh-CN"/>
        </w:rPr>
        <w:t>2</w:t>
      </w:r>
      <w:r>
        <w:rPr>
          <w:rFonts w:hint="eastAsia"/>
          <w:lang w:eastAsia="zh-CN"/>
        </w:rPr>
        <w:t>）证明企业现货经营规模的相关材料，如当年或者下一年度生产计划书、最新经审计的年度财务报表、现货仓单、库存证明、加工订单、购销合同、拥有实物的其他有效凭证等；</w:t>
      </w:r>
    </w:p>
    <w:p>
      <w:pPr>
        <w:pStyle w:val="3"/>
        <w:pageBreakBefore w:val="0"/>
        <w:widowControl/>
        <w:kinsoku/>
        <w:wordWrap/>
        <w:overflowPunct/>
        <w:topLinePunct w:val="0"/>
        <w:autoSpaceDE/>
        <w:autoSpaceDN/>
        <w:bidi w:val="0"/>
        <w:adjustRightInd/>
        <w:snapToGrid/>
        <w:spacing w:line="480" w:lineRule="exact"/>
        <w:ind w:firstLine="480"/>
        <w:textAlignment w:val="auto"/>
        <w:rPr>
          <w:rFonts w:hint="eastAsia"/>
          <w:lang w:eastAsia="zh-CN"/>
        </w:rPr>
      </w:pPr>
      <w:r>
        <w:rPr>
          <w:rFonts w:hint="eastAsia"/>
          <w:lang w:eastAsia="zh-CN"/>
        </w:rPr>
        <w:t>（</w:t>
      </w:r>
      <w:r>
        <w:rPr>
          <w:rFonts w:hint="eastAsia"/>
          <w:lang w:val="en-US" w:eastAsia="zh-CN"/>
        </w:rPr>
        <w:t>3</w:t>
      </w:r>
      <w:r>
        <w:rPr>
          <w:rFonts w:hint="eastAsia"/>
          <w:lang w:eastAsia="zh-CN"/>
        </w:rPr>
        <w:t>）套期保值交易方案（主要内容包括风险来源分析、保值目标、预期的交割或者平仓的数量）；</w:t>
      </w:r>
    </w:p>
    <w:p>
      <w:pPr>
        <w:pStyle w:val="3"/>
        <w:pageBreakBefore w:val="0"/>
        <w:widowControl/>
        <w:kinsoku/>
        <w:wordWrap/>
        <w:overflowPunct/>
        <w:topLinePunct w:val="0"/>
        <w:autoSpaceDE/>
        <w:autoSpaceDN/>
        <w:bidi w:val="0"/>
        <w:adjustRightInd/>
        <w:snapToGrid/>
        <w:spacing w:line="480" w:lineRule="exact"/>
        <w:ind w:firstLine="480"/>
        <w:textAlignment w:val="auto"/>
        <w:rPr>
          <w:rFonts w:hint="eastAsia"/>
          <w:lang w:eastAsia="zh-CN"/>
        </w:rPr>
      </w:pPr>
      <w:r>
        <w:rPr>
          <w:rFonts w:hint="eastAsia"/>
          <w:lang w:eastAsia="zh-CN"/>
        </w:rPr>
        <w:t>（</w:t>
      </w:r>
      <w:r>
        <w:rPr>
          <w:rFonts w:hint="eastAsia"/>
          <w:lang w:val="en-US" w:eastAsia="zh-CN"/>
        </w:rPr>
        <w:t>4</w:t>
      </w:r>
      <w:r>
        <w:rPr>
          <w:rFonts w:hint="eastAsia"/>
          <w:lang w:eastAsia="zh-CN"/>
        </w:rPr>
        <w:t>）交易所要求的其他证明材料。</w:t>
      </w:r>
    </w:p>
    <w:p>
      <w:pPr>
        <w:pStyle w:val="29"/>
        <w:pageBreakBefore w:val="0"/>
        <w:widowControl/>
        <w:kinsoku/>
        <w:wordWrap/>
        <w:overflowPunct/>
        <w:topLinePunct w:val="0"/>
        <w:autoSpaceDE/>
        <w:autoSpaceDN/>
        <w:bidi w:val="0"/>
        <w:adjustRightInd/>
        <w:snapToGrid/>
        <w:spacing w:line="480" w:lineRule="exact"/>
        <w:ind w:firstLine="480"/>
        <w:textAlignment w:val="auto"/>
      </w:pPr>
      <w:r>
        <w:rPr>
          <w:rFonts w:hint="eastAsia"/>
          <w:lang w:val="en-US" w:eastAsia="zh-CN"/>
        </w:rPr>
        <w:t>2.</w:t>
      </w:r>
      <w:r>
        <w:rPr>
          <w:rFonts w:hint="eastAsia"/>
          <w:lang w:eastAsia="zh-CN"/>
        </w:rPr>
        <w:t>根据</w:t>
      </w:r>
      <w:r>
        <w:t>《套保</w:t>
      </w:r>
      <w:r>
        <w:rPr>
          <w:rFonts w:hint="eastAsia"/>
          <w:lang w:eastAsia="zh-CN"/>
        </w:rPr>
        <w:t>管理</w:t>
      </w:r>
      <w:r>
        <w:t>办法》</w:t>
      </w:r>
      <w:r>
        <w:rPr>
          <w:rFonts w:hint="eastAsia"/>
          <w:lang w:eastAsia="zh-CN"/>
        </w:rPr>
        <w:t>，</w:t>
      </w:r>
      <w:r>
        <w:t>申请临近交割月份</w:t>
      </w:r>
      <w:r>
        <w:rPr>
          <w:rFonts w:hint="eastAsia"/>
          <w:lang w:eastAsia="zh-CN"/>
        </w:rPr>
        <w:t>套保额度</w:t>
      </w:r>
      <w:r>
        <w:t>的，应当提交以下证明材料：</w:t>
      </w:r>
    </w:p>
    <w:p>
      <w:pPr>
        <w:pStyle w:val="3"/>
        <w:pageBreakBefore w:val="0"/>
        <w:widowControl/>
        <w:kinsoku/>
        <w:wordWrap/>
        <w:overflowPunct/>
        <w:topLinePunct w:val="0"/>
        <w:autoSpaceDE/>
        <w:autoSpaceDN/>
        <w:bidi w:val="0"/>
        <w:adjustRightInd/>
        <w:snapToGrid/>
        <w:spacing w:line="480" w:lineRule="exact"/>
        <w:ind w:firstLine="480"/>
        <w:textAlignment w:val="auto"/>
        <w:rPr>
          <w:rFonts w:hint="eastAsia"/>
          <w:b w:val="0"/>
          <w:bCs w:val="0"/>
          <w:lang w:eastAsia="zh-CN"/>
        </w:rPr>
      </w:pPr>
      <w:r>
        <w:rPr>
          <w:rFonts w:hint="eastAsia"/>
          <w:b w:val="0"/>
          <w:bCs w:val="0"/>
          <w:lang w:eastAsia="zh-CN"/>
        </w:rPr>
        <w:t>（</w:t>
      </w:r>
      <w:r>
        <w:rPr>
          <w:rFonts w:hint="eastAsia"/>
          <w:b w:val="0"/>
          <w:bCs w:val="0"/>
          <w:lang w:val="en-US" w:eastAsia="zh-CN"/>
        </w:rPr>
        <w:t>1</w:t>
      </w:r>
      <w:r>
        <w:rPr>
          <w:rFonts w:hint="eastAsia"/>
          <w:b w:val="0"/>
          <w:bCs w:val="0"/>
          <w:lang w:eastAsia="zh-CN"/>
        </w:rPr>
        <w:t>）企业营业执照副本复印件或者公司注册证书等能够证明经营范围的文件；</w:t>
      </w:r>
    </w:p>
    <w:p>
      <w:pPr>
        <w:pStyle w:val="3"/>
        <w:pageBreakBefore w:val="0"/>
        <w:widowControl/>
        <w:kinsoku/>
        <w:wordWrap/>
        <w:overflowPunct/>
        <w:topLinePunct w:val="0"/>
        <w:autoSpaceDE/>
        <w:autoSpaceDN/>
        <w:bidi w:val="0"/>
        <w:adjustRightInd/>
        <w:snapToGrid/>
        <w:spacing w:line="480" w:lineRule="exact"/>
        <w:ind w:firstLine="480"/>
        <w:textAlignment w:val="auto"/>
        <w:rPr>
          <w:rFonts w:hint="eastAsia"/>
          <w:b w:val="0"/>
          <w:bCs w:val="0"/>
          <w:lang w:eastAsia="zh-CN"/>
        </w:rPr>
      </w:pPr>
      <w:r>
        <w:rPr>
          <w:rFonts w:hint="eastAsia"/>
          <w:b w:val="0"/>
          <w:bCs w:val="0"/>
          <w:lang w:eastAsia="zh-CN"/>
        </w:rPr>
        <w:t>（</w:t>
      </w:r>
      <w:r>
        <w:rPr>
          <w:rFonts w:hint="eastAsia"/>
          <w:b w:val="0"/>
          <w:bCs w:val="0"/>
          <w:lang w:val="en-US" w:eastAsia="zh-CN"/>
        </w:rPr>
        <w:t>2</w:t>
      </w:r>
      <w:r>
        <w:rPr>
          <w:rFonts w:hint="eastAsia"/>
          <w:b w:val="0"/>
          <w:bCs w:val="0"/>
          <w:lang w:eastAsia="zh-CN"/>
        </w:rPr>
        <w:t>）证明企业临近交割月份套期保值交易需求真实性的相关材料，如当年或者下一年度生产计划书、现货仓单、库存证明、加工订单、购销合同、拥有实物的其他有效凭证等；</w:t>
      </w:r>
    </w:p>
    <w:p>
      <w:pPr>
        <w:pStyle w:val="3"/>
        <w:pageBreakBefore w:val="0"/>
        <w:widowControl/>
        <w:kinsoku/>
        <w:wordWrap/>
        <w:overflowPunct/>
        <w:topLinePunct w:val="0"/>
        <w:autoSpaceDE/>
        <w:autoSpaceDN/>
        <w:bidi w:val="0"/>
        <w:adjustRightInd/>
        <w:snapToGrid/>
        <w:spacing w:line="480" w:lineRule="exact"/>
        <w:ind w:firstLine="480"/>
        <w:textAlignment w:val="auto"/>
        <w:rPr>
          <w:rFonts w:hint="eastAsia"/>
          <w:b w:val="0"/>
          <w:bCs w:val="0"/>
          <w:lang w:eastAsia="zh-CN"/>
        </w:rPr>
      </w:pPr>
      <w:r>
        <w:rPr>
          <w:rFonts w:hint="eastAsia"/>
          <w:b w:val="0"/>
          <w:bCs w:val="0"/>
          <w:lang w:eastAsia="zh-CN"/>
        </w:rPr>
        <w:t>（</w:t>
      </w:r>
      <w:r>
        <w:rPr>
          <w:rFonts w:hint="eastAsia"/>
          <w:b w:val="0"/>
          <w:bCs w:val="0"/>
          <w:lang w:val="en-US" w:eastAsia="zh-CN"/>
        </w:rPr>
        <w:t>3</w:t>
      </w:r>
      <w:r>
        <w:rPr>
          <w:rFonts w:hint="eastAsia"/>
          <w:b w:val="0"/>
          <w:bCs w:val="0"/>
          <w:lang w:eastAsia="zh-CN"/>
        </w:rPr>
        <w:t>）套期保值交易方案（主要内容应当包括风险来源分析、保值目标、预期的交割或者平仓的数量）；</w:t>
      </w:r>
    </w:p>
    <w:p>
      <w:pPr>
        <w:pStyle w:val="3"/>
        <w:pageBreakBefore w:val="0"/>
        <w:widowControl/>
        <w:kinsoku/>
        <w:wordWrap/>
        <w:overflowPunct/>
        <w:topLinePunct w:val="0"/>
        <w:autoSpaceDE/>
        <w:autoSpaceDN/>
        <w:bidi w:val="0"/>
        <w:adjustRightInd/>
        <w:snapToGrid/>
        <w:spacing w:line="480" w:lineRule="exact"/>
        <w:ind w:firstLine="480"/>
        <w:textAlignment w:val="auto"/>
        <w:rPr>
          <w:rFonts w:hint="eastAsia"/>
          <w:b w:val="0"/>
          <w:bCs w:val="0"/>
          <w:lang w:eastAsia="zh-CN"/>
        </w:rPr>
      </w:pPr>
      <w:r>
        <w:rPr>
          <w:rFonts w:hint="eastAsia"/>
          <w:b w:val="0"/>
          <w:bCs w:val="0"/>
          <w:lang w:eastAsia="zh-CN"/>
        </w:rPr>
        <w:t>（</w:t>
      </w:r>
      <w:r>
        <w:rPr>
          <w:rFonts w:hint="eastAsia"/>
          <w:b w:val="0"/>
          <w:bCs w:val="0"/>
          <w:lang w:val="en-US" w:eastAsia="zh-CN"/>
        </w:rPr>
        <w:t>4</w:t>
      </w:r>
      <w:r>
        <w:rPr>
          <w:rFonts w:hint="eastAsia"/>
          <w:b w:val="0"/>
          <w:bCs w:val="0"/>
          <w:lang w:eastAsia="zh-CN"/>
        </w:rPr>
        <w:t>）交易所要求的其他证明材料。</w:t>
      </w:r>
    </w:p>
    <w:p>
      <w:pPr>
        <w:pStyle w:val="5"/>
        <w:pageBreakBefore w:val="0"/>
        <w:widowControl/>
        <w:kinsoku/>
        <w:wordWrap/>
        <w:overflowPunct/>
        <w:topLinePunct w:val="0"/>
        <w:autoSpaceDE/>
        <w:autoSpaceDN/>
        <w:bidi w:val="0"/>
        <w:adjustRightInd/>
        <w:snapToGrid/>
        <w:spacing w:line="480" w:lineRule="exact"/>
        <w:textAlignment w:val="auto"/>
      </w:pPr>
      <w:bookmarkStart w:id="38" w:name="_Toc1124352748"/>
      <w:bookmarkStart w:id="39" w:name="_Toc1394048815"/>
      <w:bookmarkStart w:id="40" w:name="_Toc1260987517"/>
      <w:r>
        <w:t>（</w:t>
      </w:r>
      <w:r>
        <w:rPr>
          <w:rFonts w:hint="eastAsia"/>
          <w:lang w:eastAsia="zh-CN"/>
        </w:rPr>
        <w:t>八</w:t>
      </w:r>
      <w:r>
        <w:t>）证明经营范围的文件具体要求？</w:t>
      </w:r>
      <w:bookmarkEnd w:id="38"/>
      <w:bookmarkEnd w:id="39"/>
      <w:bookmarkEnd w:id="40"/>
    </w:p>
    <w:p>
      <w:pPr>
        <w:pStyle w:val="3"/>
        <w:pageBreakBefore w:val="0"/>
        <w:widowControl/>
        <w:kinsoku/>
        <w:wordWrap/>
        <w:overflowPunct/>
        <w:topLinePunct w:val="0"/>
        <w:autoSpaceDE/>
        <w:autoSpaceDN/>
        <w:bidi w:val="0"/>
        <w:adjustRightInd/>
        <w:snapToGrid/>
        <w:spacing w:line="480" w:lineRule="exact"/>
        <w:ind w:firstLine="480"/>
        <w:textAlignment w:val="auto"/>
      </w:pPr>
      <w:r>
        <w:t>若营业执照中没有具体经营范围，需再提交含有具体经营范围的国家企业信用信息公示系统截图并盖章；涉及特殊经营品种的，另需提供相应经营资质证明。</w:t>
      </w:r>
    </w:p>
    <w:bookmarkEnd w:id="37"/>
    <w:p>
      <w:pPr>
        <w:pStyle w:val="5"/>
        <w:pageBreakBefore w:val="0"/>
        <w:widowControl/>
        <w:kinsoku/>
        <w:wordWrap/>
        <w:overflowPunct/>
        <w:topLinePunct w:val="0"/>
        <w:autoSpaceDE/>
        <w:autoSpaceDN/>
        <w:bidi w:val="0"/>
        <w:adjustRightInd/>
        <w:snapToGrid/>
        <w:spacing w:line="480" w:lineRule="exact"/>
        <w:textAlignment w:val="auto"/>
      </w:pPr>
      <w:bookmarkStart w:id="41" w:name="_Toc1643105386"/>
      <w:bookmarkStart w:id="42" w:name="_Toc1700568265"/>
      <w:bookmarkStart w:id="43" w:name="_Toc494052734"/>
      <w:bookmarkStart w:id="44" w:name="十一现货经营规模说明及证明材料有何具体要求"/>
      <w:r>
        <w:t>（</w:t>
      </w:r>
      <w:r>
        <w:rPr>
          <w:rFonts w:hint="eastAsia"/>
          <w:lang w:eastAsia="zh-CN"/>
        </w:rPr>
        <w:t>九</w:t>
      </w:r>
      <w:r>
        <w:t>）</w:t>
      </w:r>
      <w:r>
        <w:rPr>
          <w:rFonts w:hint="eastAsia"/>
        </w:rPr>
        <w:t>证明企业现货经营规模的相关材料</w:t>
      </w:r>
      <w:r>
        <w:rPr>
          <w:rFonts w:hint="eastAsia"/>
          <w:lang w:eastAsia="zh-CN"/>
        </w:rPr>
        <w:t>、</w:t>
      </w:r>
      <w:r>
        <w:rPr>
          <w:rFonts w:hint="eastAsia"/>
          <w:b/>
          <w:bCs/>
          <w:lang w:eastAsia="zh-CN"/>
        </w:rPr>
        <w:t>证明企业套期保值交易需求真实性的相关材料</w:t>
      </w:r>
      <w:r>
        <w:t>有何具体要求？</w:t>
      </w:r>
      <w:bookmarkEnd w:id="41"/>
      <w:bookmarkEnd w:id="42"/>
      <w:bookmarkEnd w:id="43"/>
    </w:p>
    <w:p>
      <w:pPr>
        <w:pStyle w:val="29"/>
        <w:pageBreakBefore w:val="0"/>
        <w:widowControl/>
        <w:kinsoku/>
        <w:wordWrap/>
        <w:overflowPunct/>
        <w:topLinePunct w:val="0"/>
        <w:autoSpaceDE/>
        <w:autoSpaceDN/>
        <w:bidi w:val="0"/>
        <w:adjustRightInd/>
        <w:snapToGrid/>
        <w:spacing w:line="480" w:lineRule="exact"/>
        <w:ind w:firstLine="480"/>
        <w:textAlignment w:val="auto"/>
      </w:pPr>
      <w:r>
        <w:rPr>
          <w:rFonts w:hint="eastAsia"/>
          <w:lang w:eastAsia="zh-CN"/>
        </w:rPr>
        <w:t>申请</w:t>
      </w:r>
      <w:r>
        <w:t>材料</w:t>
      </w:r>
      <w:r>
        <w:rPr>
          <w:rFonts w:hint="eastAsia"/>
          <w:lang w:eastAsia="zh-CN"/>
        </w:rPr>
        <w:t>均需盖章，主要</w:t>
      </w:r>
      <w:r>
        <w:t>包括</w:t>
      </w:r>
      <w:r>
        <w:rPr>
          <w:rFonts w:hint="eastAsia"/>
          <w:lang w:eastAsia="zh-CN"/>
        </w:rPr>
        <w:t>：</w:t>
      </w:r>
    </w:p>
    <w:p>
      <w:pPr>
        <w:pStyle w:val="3"/>
        <w:pageBreakBefore w:val="0"/>
        <w:widowControl/>
        <w:kinsoku/>
        <w:wordWrap/>
        <w:overflowPunct/>
        <w:topLinePunct w:val="0"/>
        <w:autoSpaceDE/>
        <w:autoSpaceDN/>
        <w:bidi w:val="0"/>
        <w:adjustRightInd/>
        <w:snapToGrid/>
        <w:spacing w:line="480" w:lineRule="exact"/>
        <w:ind w:firstLine="480"/>
        <w:textAlignment w:val="auto"/>
      </w:pPr>
      <w:r>
        <w:rPr>
          <w:rFonts w:hint="eastAsia"/>
          <w:b/>
          <w:bCs/>
          <w:lang w:val="en-US" w:eastAsia="zh-CN"/>
        </w:rPr>
        <w:t>1.</w:t>
      </w:r>
      <w:r>
        <w:rPr>
          <w:b/>
          <w:bCs/>
        </w:rPr>
        <w:t>现货经营规模说明。</w:t>
      </w:r>
      <w:r>
        <w:t>提供上一年度或近一年的</w:t>
      </w:r>
      <w:r>
        <w:rPr>
          <w:rFonts w:hint="eastAsia"/>
          <w:lang w:eastAsia="zh-CN"/>
        </w:rPr>
        <w:t>每月的</w:t>
      </w:r>
      <w:r>
        <w:t>经营规模</w:t>
      </w:r>
      <w:r>
        <w:rPr>
          <w:rFonts w:hint="eastAsia"/>
          <w:lang w:eastAsia="zh-CN"/>
        </w:rPr>
        <w:t>数量汇总表</w:t>
      </w:r>
      <w:r>
        <w:t>，采购规模与销售规模分别按月列出，提供加总数和月均规模，</w:t>
      </w:r>
      <w:r>
        <w:rPr>
          <w:highlight w:val="none"/>
        </w:rPr>
        <w:t>数量单位</w:t>
      </w:r>
      <w:r>
        <w:rPr>
          <w:rFonts w:hint="eastAsia"/>
          <w:highlight w:val="none"/>
          <w:lang w:eastAsia="zh-CN"/>
        </w:rPr>
        <w:t>应与申请品种期货合约中的单位一致（例如，阴极铜为“吨”；白银为“千克”）</w:t>
      </w:r>
      <w:r>
        <w:t>。</w:t>
      </w:r>
    </w:p>
    <w:p>
      <w:pPr>
        <w:pStyle w:val="3"/>
        <w:pageBreakBefore w:val="0"/>
        <w:widowControl/>
        <w:kinsoku/>
        <w:wordWrap/>
        <w:overflowPunct/>
        <w:topLinePunct w:val="0"/>
        <w:autoSpaceDE/>
        <w:autoSpaceDN/>
        <w:bidi w:val="0"/>
        <w:adjustRightInd/>
        <w:snapToGrid/>
        <w:spacing w:line="480" w:lineRule="exact"/>
        <w:ind w:firstLine="480"/>
        <w:textAlignment w:val="auto"/>
      </w:pPr>
      <w:r>
        <w:rPr>
          <w:rFonts w:hint="eastAsia"/>
          <w:b/>
          <w:bCs/>
          <w:lang w:val="en-US" w:eastAsia="zh-CN"/>
        </w:rPr>
        <w:t>2.</w:t>
      </w:r>
      <w:r>
        <w:rPr>
          <w:b/>
          <w:bCs/>
        </w:rPr>
        <w:t>配套的现货经营规模证明材料</w:t>
      </w:r>
      <w:r>
        <w:rPr>
          <w:rFonts w:hint="eastAsia"/>
          <w:b/>
          <w:bCs/>
          <w:lang w:eastAsia="zh-CN"/>
        </w:rPr>
        <w:t>、证明企业套期保值交易需求真实性的相关材料</w:t>
      </w:r>
      <w:r>
        <w:rPr>
          <w:b/>
          <w:bCs/>
        </w:rPr>
        <w:t>。</w:t>
      </w:r>
      <w:r>
        <w:rPr>
          <w:rFonts w:hint="eastAsia"/>
          <w:b/>
          <w:bCs/>
          <w:lang w:eastAsia="zh-CN"/>
        </w:rPr>
        <w:t>包括但不限于</w:t>
      </w:r>
      <w:r>
        <w:t>下列材料</w:t>
      </w:r>
      <w:r>
        <w:rPr>
          <w:rFonts w:hint="eastAsia"/>
          <w:lang w:eastAsia="zh-CN"/>
        </w:rPr>
        <w:t>，提供其</w:t>
      </w:r>
      <w:r>
        <w:t>中的</w:t>
      </w:r>
      <w:r>
        <w:rPr>
          <w:rFonts w:hint="eastAsia"/>
          <w:lang w:eastAsia="zh-CN"/>
        </w:rPr>
        <w:t>至少</w:t>
      </w:r>
      <w:r>
        <w:t>一项即可：</w:t>
      </w:r>
    </w:p>
    <w:p>
      <w:pPr>
        <w:pStyle w:val="3"/>
        <w:pageBreakBefore w:val="0"/>
        <w:widowControl/>
        <w:kinsoku/>
        <w:wordWrap/>
        <w:overflowPunct/>
        <w:topLinePunct w:val="0"/>
        <w:autoSpaceDE/>
        <w:autoSpaceDN/>
        <w:bidi w:val="0"/>
        <w:adjustRightInd/>
        <w:snapToGrid/>
        <w:spacing w:line="480" w:lineRule="exact"/>
        <w:ind w:firstLine="480"/>
        <w:textAlignment w:val="auto"/>
      </w:pPr>
      <w:r>
        <w:t>（1）</w:t>
      </w:r>
      <w:r>
        <w:rPr>
          <w:rFonts w:hint="eastAsia"/>
          <w:lang w:eastAsia="zh-CN"/>
        </w:rPr>
        <w:t>采购或销售</w:t>
      </w:r>
      <w:r>
        <w:t>发票清单。发票清单首页</w:t>
      </w:r>
      <w:r>
        <w:rPr>
          <w:rFonts w:hint="eastAsia"/>
          <w:lang w:eastAsia="zh-CN"/>
        </w:rPr>
        <w:t>应</w:t>
      </w:r>
      <w:r>
        <w:t>标注</w:t>
      </w:r>
      <w:r>
        <w:rPr>
          <w:rFonts w:hint="eastAsia"/>
          <w:lang w:eastAsia="zh-CN"/>
        </w:rPr>
        <w:t>起止</w:t>
      </w:r>
      <w:r>
        <w:t>时间段（从×年×月至×年×月）</w:t>
      </w:r>
      <w:r>
        <w:rPr>
          <w:rFonts w:hint="eastAsia"/>
          <w:lang w:eastAsia="zh-CN"/>
        </w:rPr>
        <w:t>；</w:t>
      </w:r>
      <w:r>
        <w:t>发票清单</w:t>
      </w:r>
      <w:r>
        <w:rPr>
          <w:rFonts w:hint="eastAsia"/>
          <w:lang w:eastAsia="zh-CN"/>
        </w:rPr>
        <w:t>内容</w:t>
      </w:r>
      <w:r>
        <w:t>应包含发票号、</w:t>
      </w:r>
      <w:r>
        <w:rPr>
          <w:rFonts w:hint="eastAsia"/>
          <w:lang w:eastAsia="zh-CN"/>
        </w:rPr>
        <w:t>货物名称</w:t>
      </w:r>
      <w:r>
        <w:t>、采购方、销售方、开票日期、数量等要素，采购、销售分别列示，</w:t>
      </w:r>
      <w:r>
        <w:rPr>
          <w:highlight w:val="none"/>
        </w:rPr>
        <w:t>数量单位</w:t>
      </w:r>
      <w:r>
        <w:rPr>
          <w:rFonts w:hint="eastAsia"/>
          <w:highlight w:val="none"/>
          <w:lang w:eastAsia="zh-CN"/>
        </w:rPr>
        <w:t>应与申请品种期货合约中的单位一致，</w:t>
      </w:r>
      <w:r>
        <w:t>并提供加总数。</w:t>
      </w:r>
      <w:r>
        <w:br w:type="textWrapping"/>
      </w:r>
      <w:r>
        <w:rPr>
          <w:rFonts w:hint="eastAsia"/>
          <w:lang w:val="en-US" w:eastAsia="zh-CN"/>
        </w:rPr>
        <w:t xml:space="preserve">        </w:t>
      </w:r>
      <w:r>
        <w:rPr>
          <w:rFonts w:hint="eastAsia"/>
          <w:lang w:eastAsia="zh-CN"/>
        </w:rPr>
        <w:t>发票</w:t>
      </w:r>
      <w:r>
        <w:t>清单页数较多的，无需每页盖章，可</w:t>
      </w:r>
      <w:r>
        <w:rPr>
          <w:rFonts w:hint="eastAsia"/>
          <w:lang w:eastAsia="zh-CN"/>
        </w:rPr>
        <w:t>将包含起止</w:t>
      </w:r>
      <w:r>
        <w:t>时间段</w:t>
      </w:r>
      <w:r>
        <w:rPr>
          <w:rFonts w:hint="eastAsia"/>
          <w:lang w:eastAsia="zh-CN"/>
        </w:rPr>
        <w:t>的</w:t>
      </w:r>
      <w:r>
        <w:t>首页</w:t>
      </w:r>
      <w:r>
        <w:rPr>
          <w:rFonts w:hint="eastAsia"/>
          <w:lang w:eastAsia="zh-CN"/>
        </w:rPr>
        <w:t>及包含</w:t>
      </w:r>
      <w:r>
        <w:t>总数和尾页盖章后</w:t>
      </w:r>
      <w:r>
        <w:rPr>
          <w:rFonts w:hint="eastAsia"/>
          <w:lang w:eastAsia="zh-CN"/>
        </w:rPr>
        <w:t>，</w:t>
      </w:r>
      <w:r>
        <w:t>提交</w:t>
      </w:r>
      <w:r>
        <w:rPr>
          <w:rFonts w:hint="eastAsia"/>
          <w:lang w:eastAsia="zh-CN"/>
        </w:rPr>
        <w:t>首尾</w:t>
      </w:r>
      <w:r>
        <w:t>两页扫描件及</w:t>
      </w:r>
      <w:r>
        <w:rPr>
          <w:rFonts w:hint="eastAsia"/>
          <w:lang w:eastAsia="zh-CN"/>
        </w:rPr>
        <w:t>完整的</w:t>
      </w:r>
      <w:r>
        <w:t>电子版</w:t>
      </w:r>
      <w:r>
        <w:rPr>
          <w:rFonts w:hint="eastAsia"/>
          <w:lang w:eastAsia="zh-CN"/>
        </w:rPr>
        <w:t>发票清单</w:t>
      </w:r>
      <w:r>
        <w:t>文件。</w:t>
      </w:r>
    </w:p>
    <w:p>
      <w:pPr>
        <w:pStyle w:val="3"/>
        <w:pageBreakBefore w:val="0"/>
        <w:widowControl/>
        <w:kinsoku/>
        <w:wordWrap/>
        <w:overflowPunct/>
        <w:topLinePunct w:val="0"/>
        <w:autoSpaceDE/>
        <w:autoSpaceDN/>
        <w:bidi w:val="0"/>
        <w:adjustRightInd/>
        <w:snapToGrid/>
        <w:spacing w:line="480" w:lineRule="exact"/>
        <w:ind w:firstLine="480"/>
        <w:textAlignment w:val="auto"/>
        <w:rPr>
          <w:highlight w:val="lightGray"/>
        </w:rPr>
      </w:pPr>
      <w:r>
        <w:rPr>
          <w:highlight w:val="none"/>
        </w:rPr>
        <w:t>发票清单</w:t>
      </w:r>
      <w:r>
        <w:rPr>
          <w:rFonts w:hint="eastAsia"/>
          <w:highlight w:val="none"/>
          <w:lang w:eastAsia="zh-CN"/>
        </w:rPr>
        <w:t>应</w:t>
      </w:r>
      <w:r>
        <w:rPr>
          <w:highlight w:val="none"/>
        </w:rPr>
        <w:t>提交</w:t>
      </w:r>
      <w:r>
        <w:rPr>
          <w:rFonts w:hint="eastAsia"/>
          <w:highlight w:val="none"/>
          <w:lang w:eastAsia="zh-CN"/>
        </w:rPr>
        <w:t>上一年度或</w:t>
      </w:r>
      <w:r>
        <w:rPr>
          <w:highlight w:val="none"/>
        </w:rPr>
        <w:t>最近</w:t>
      </w:r>
      <w:r>
        <w:rPr>
          <w:rFonts w:hint="eastAsia"/>
          <w:highlight w:val="none"/>
          <w:lang w:eastAsia="zh-CN"/>
        </w:rPr>
        <w:t>至少</w:t>
      </w:r>
      <w:r>
        <w:rPr>
          <w:highlight w:val="none"/>
        </w:rPr>
        <w:t>连续三个月</w:t>
      </w:r>
      <w:r>
        <w:rPr>
          <w:rFonts w:hint="eastAsia"/>
          <w:highlight w:val="none"/>
          <w:lang w:eastAsia="zh-CN"/>
        </w:rPr>
        <w:t>的</w:t>
      </w:r>
      <w:r>
        <w:rPr>
          <w:highlight w:val="none"/>
        </w:rPr>
        <w:t>发票清单</w:t>
      </w:r>
      <w:r>
        <w:rPr>
          <w:rFonts w:hint="eastAsia"/>
          <w:highlight w:val="none"/>
          <w:lang w:eastAsia="zh-CN"/>
        </w:rPr>
        <w:t>。关于发票清单有效期，提供近期三个月发票清单的，</w:t>
      </w:r>
      <w:r>
        <w:rPr>
          <w:highlight w:val="none"/>
        </w:rPr>
        <w:t>自清单最后一天起后续三个月内有效；提交最近一年发票清单的，自清单最后一天起后续一年内有效</w:t>
      </w:r>
      <w:r>
        <w:rPr>
          <w:rFonts w:hint="eastAsia"/>
          <w:highlight w:val="none"/>
          <w:lang w:eastAsia="zh-CN"/>
        </w:rPr>
        <w:t>，以此类推</w:t>
      </w:r>
      <w:r>
        <w:rPr>
          <w:highlight w:val="none"/>
        </w:rPr>
        <w:t>。</w:t>
      </w:r>
    </w:p>
    <w:p>
      <w:pPr>
        <w:pStyle w:val="3"/>
        <w:pageBreakBefore w:val="0"/>
        <w:widowControl/>
        <w:kinsoku/>
        <w:wordWrap/>
        <w:overflowPunct/>
        <w:topLinePunct w:val="0"/>
        <w:autoSpaceDE/>
        <w:autoSpaceDN/>
        <w:bidi w:val="0"/>
        <w:adjustRightInd/>
        <w:snapToGrid/>
        <w:spacing w:line="480" w:lineRule="exact"/>
        <w:ind w:firstLine="480"/>
        <w:textAlignment w:val="auto"/>
      </w:pPr>
      <w:r>
        <w:t>（2）经审计的年报、财报。其中需显示所申请品种相关的经营规模，并提供配套说明，注明相关品种经营规模在年报（财报）中的具体页码，以及相关品种采购、销售规模和月均规模。</w:t>
      </w:r>
    </w:p>
    <w:p>
      <w:pPr>
        <w:pStyle w:val="3"/>
        <w:pageBreakBefore w:val="0"/>
        <w:widowControl/>
        <w:kinsoku/>
        <w:wordWrap/>
        <w:overflowPunct/>
        <w:topLinePunct w:val="0"/>
        <w:autoSpaceDE/>
        <w:autoSpaceDN/>
        <w:bidi w:val="0"/>
        <w:adjustRightInd/>
        <w:snapToGrid/>
        <w:spacing w:line="480" w:lineRule="exact"/>
        <w:ind w:firstLine="480"/>
        <w:textAlignment w:val="auto"/>
      </w:pPr>
      <w:r>
        <w:t>（3）库存证明。</w:t>
      </w:r>
      <w:r>
        <w:rPr>
          <w:rFonts w:hint="eastAsia"/>
          <w:lang w:eastAsia="zh-CN"/>
        </w:rPr>
        <w:t>包括但不限于以下材料：</w:t>
      </w:r>
      <w:r>
        <w:t>由仓库等外部单位出具的近期库存证明（原则上不超过申请日前一个月），需包括货主、仓库、品种、数量、日期等关键信息；海关、铁路等部门出具的可以证明该批货物存在的文件</w:t>
      </w:r>
      <w:r>
        <w:rPr>
          <w:rFonts w:hint="eastAsia"/>
          <w:lang w:eastAsia="zh-CN"/>
        </w:rPr>
        <w:t>；交易所</w:t>
      </w:r>
      <w:r>
        <w:t>库存系统截图等均可。</w:t>
      </w:r>
    </w:p>
    <w:p>
      <w:pPr>
        <w:pStyle w:val="3"/>
        <w:pageBreakBefore w:val="0"/>
        <w:widowControl/>
        <w:kinsoku/>
        <w:wordWrap/>
        <w:overflowPunct/>
        <w:topLinePunct w:val="0"/>
        <w:autoSpaceDE/>
        <w:autoSpaceDN/>
        <w:bidi w:val="0"/>
        <w:adjustRightInd/>
        <w:snapToGrid/>
        <w:spacing w:line="480" w:lineRule="exact"/>
        <w:ind w:firstLine="480"/>
        <w:textAlignment w:val="auto"/>
      </w:pPr>
      <w:r>
        <w:t>以库存证明作为申请材料的，需承诺库存证明真实有效，现货库存数量及持有时间与期货套期保值持仓相匹配，各期货合约持仓总量不超过实际库存数量。</w:t>
      </w:r>
    </w:p>
    <w:p>
      <w:pPr>
        <w:pStyle w:val="3"/>
        <w:pageBreakBefore w:val="0"/>
        <w:widowControl/>
        <w:kinsoku/>
        <w:wordWrap/>
        <w:overflowPunct/>
        <w:topLinePunct w:val="0"/>
        <w:autoSpaceDE/>
        <w:autoSpaceDN/>
        <w:bidi w:val="0"/>
        <w:adjustRightInd/>
        <w:snapToGrid/>
        <w:spacing w:line="480" w:lineRule="exact"/>
        <w:ind w:firstLine="480"/>
        <w:textAlignment w:val="auto"/>
      </w:pPr>
      <w:r>
        <w:t>（4）海关报关单清单等其他可以证明现货经营规模的材料。</w:t>
      </w:r>
    </w:p>
    <w:p>
      <w:pPr>
        <w:pStyle w:val="3"/>
        <w:pageBreakBefore w:val="0"/>
        <w:widowControl/>
        <w:kinsoku/>
        <w:wordWrap/>
        <w:overflowPunct/>
        <w:topLinePunct w:val="0"/>
        <w:autoSpaceDE/>
        <w:autoSpaceDN/>
        <w:bidi w:val="0"/>
        <w:adjustRightInd/>
        <w:snapToGrid/>
        <w:spacing w:line="480" w:lineRule="exact"/>
        <w:ind w:firstLine="480"/>
        <w:textAlignment w:val="auto"/>
        <w:rPr>
          <w:rFonts w:hint="eastAsia" w:eastAsia="仿宋"/>
          <w:lang w:eastAsia="zh-CN"/>
        </w:rPr>
      </w:pPr>
      <w:r>
        <w:rPr>
          <w:rFonts w:hint="eastAsia"/>
          <w:lang w:eastAsia="zh-CN"/>
        </w:rPr>
        <w:t>（</w:t>
      </w:r>
      <w:r>
        <w:rPr>
          <w:rFonts w:hint="eastAsia"/>
          <w:lang w:val="en-US" w:eastAsia="zh-CN"/>
        </w:rPr>
        <w:t>5</w:t>
      </w:r>
      <w:r>
        <w:rPr>
          <w:rFonts w:hint="eastAsia"/>
          <w:lang w:eastAsia="zh-CN"/>
        </w:rPr>
        <w:t>）交易所认可的其他证明材料。</w:t>
      </w:r>
    </w:p>
    <w:bookmarkEnd w:id="44"/>
    <w:p>
      <w:pPr>
        <w:pStyle w:val="5"/>
        <w:pageBreakBefore w:val="0"/>
        <w:widowControl/>
        <w:kinsoku/>
        <w:wordWrap/>
        <w:overflowPunct/>
        <w:topLinePunct w:val="0"/>
        <w:autoSpaceDE/>
        <w:autoSpaceDN/>
        <w:bidi w:val="0"/>
        <w:adjustRightInd/>
        <w:snapToGrid/>
        <w:spacing w:line="480" w:lineRule="exact"/>
        <w:textAlignment w:val="auto"/>
      </w:pPr>
      <w:bookmarkStart w:id="45" w:name="_Toc708957150"/>
      <w:bookmarkStart w:id="46" w:name="_Toc1890274158"/>
      <w:bookmarkStart w:id="47" w:name="_Toc1209976720"/>
      <w:bookmarkStart w:id="48" w:name="十二套期保值交易方案应当包含哪些内容"/>
      <w:r>
        <w:t>（十）套期保值交易方案应当包含哪些内容？</w:t>
      </w:r>
      <w:bookmarkEnd w:id="45"/>
      <w:bookmarkEnd w:id="46"/>
      <w:bookmarkEnd w:id="47"/>
    </w:p>
    <w:p>
      <w:pPr>
        <w:pStyle w:val="29"/>
        <w:pageBreakBefore w:val="0"/>
        <w:widowControl/>
        <w:kinsoku/>
        <w:wordWrap/>
        <w:overflowPunct/>
        <w:topLinePunct w:val="0"/>
        <w:autoSpaceDE/>
        <w:autoSpaceDN/>
        <w:bidi w:val="0"/>
        <w:adjustRightInd/>
        <w:snapToGrid/>
        <w:spacing w:line="480" w:lineRule="exact"/>
        <w:ind w:firstLine="480"/>
        <w:textAlignment w:val="auto"/>
        <w:rPr>
          <w:rFonts w:hint="eastAsia" w:eastAsia="仿宋"/>
          <w:lang w:eastAsia="zh-CN"/>
        </w:rPr>
      </w:pPr>
      <w:r>
        <w:t>套期保值交易方案需包含企业简要介绍、企业的风险来源分析、套保逻辑、拟进行套期保值的合约、手数和</w:t>
      </w:r>
      <w:r>
        <w:rPr>
          <w:rFonts w:hint="eastAsia"/>
        </w:rPr>
        <w:t>预期交割或者平仓的数量</w:t>
      </w:r>
      <w:r>
        <w:t>等内容。套期保值交易方案需加盖公章</w:t>
      </w:r>
      <w:r>
        <w:rPr>
          <w:rFonts w:hint="eastAsia"/>
          <w:lang w:eastAsia="zh-CN"/>
        </w:rPr>
        <w:t>。</w:t>
      </w:r>
    </w:p>
    <w:bookmarkEnd w:id="48"/>
    <w:p>
      <w:pPr>
        <w:pStyle w:val="5"/>
        <w:pageBreakBefore w:val="0"/>
        <w:widowControl/>
        <w:kinsoku/>
        <w:wordWrap/>
        <w:overflowPunct/>
        <w:topLinePunct w:val="0"/>
        <w:autoSpaceDE/>
        <w:autoSpaceDN/>
        <w:bidi w:val="0"/>
        <w:adjustRightInd/>
        <w:snapToGrid/>
        <w:spacing w:line="480" w:lineRule="exact"/>
        <w:textAlignment w:val="auto"/>
      </w:pPr>
      <w:bookmarkStart w:id="49" w:name="_Toc1962110118"/>
      <w:bookmarkStart w:id="50" w:name="_Toc480396829"/>
      <w:bookmarkStart w:id="51" w:name="_Toc1506397923"/>
      <w:bookmarkStart w:id="52" w:name="十六新成立企业如何申请套期保值持仓额度"/>
      <w:r>
        <w:t>（十</w:t>
      </w:r>
      <w:r>
        <w:rPr>
          <w:rFonts w:hint="eastAsia"/>
          <w:lang w:eastAsia="zh-CN"/>
        </w:rPr>
        <w:t>一</w:t>
      </w:r>
      <w:r>
        <w:t>）新成立企业如何申请</w:t>
      </w:r>
      <w:r>
        <w:rPr>
          <w:rFonts w:hint="eastAsia"/>
          <w:lang w:eastAsia="zh-CN"/>
        </w:rPr>
        <w:t>套保额度</w:t>
      </w:r>
      <w:r>
        <w:t>？</w:t>
      </w:r>
      <w:bookmarkEnd w:id="49"/>
      <w:bookmarkEnd w:id="50"/>
      <w:bookmarkEnd w:id="51"/>
    </w:p>
    <w:p>
      <w:pPr>
        <w:pStyle w:val="29"/>
        <w:pageBreakBefore w:val="0"/>
        <w:widowControl/>
        <w:kinsoku/>
        <w:wordWrap/>
        <w:overflowPunct/>
        <w:topLinePunct w:val="0"/>
        <w:autoSpaceDE/>
        <w:autoSpaceDN/>
        <w:bidi w:val="0"/>
        <w:adjustRightInd/>
        <w:snapToGrid/>
        <w:spacing w:line="480" w:lineRule="exact"/>
        <w:ind w:firstLine="480"/>
        <w:textAlignment w:val="auto"/>
      </w:pPr>
      <w:r>
        <w:t>对于</w:t>
      </w:r>
      <w:r>
        <w:rPr>
          <w:rFonts w:hint="eastAsia"/>
          <w:lang w:eastAsia="zh-CN"/>
        </w:rPr>
        <w:t>新</w:t>
      </w:r>
      <w:r>
        <w:t>成立的企业</w:t>
      </w:r>
      <w:r>
        <w:rPr>
          <w:rFonts w:hint="eastAsia"/>
          <w:lang w:eastAsia="zh-CN"/>
        </w:rPr>
        <w:t>，若无法提供</w:t>
      </w:r>
      <w:r>
        <w:rPr>
          <w:rFonts w:hint="eastAsia"/>
        </w:rPr>
        <w:t>证明企业现货经营规模的相关材料</w:t>
      </w:r>
      <w:r>
        <w:t>，可提供现货合同申请</w:t>
      </w:r>
      <w:r>
        <w:rPr>
          <w:rFonts w:hint="eastAsia"/>
          <w:lang w:eastAsia="zh-CN"/>
        </w:rPr>
        <w:t>套保额度</w:t>
      </w:r>
      <w:r>
        <w:t>。需在套期保值交易方案中承诺合同后续将执行，</w:t>
      </w:r>
      <w:r>
        <w:rPr>
          <w:rFonts w:hint="eastAsia"/>
          <w:lang w:eastAsia="zh-CN"/>
        </w:rPr>
        <w:t>且</w:t>
      </w:r>
      <w:r>
        <w:t>后续需配合提供合同执行的证明文件，例如发票、货物流转单等。</w:t>
      </w:r>
    </w:p>
    <w:bookmarkEnd w:id="52"/>
    <w:p>
      <w:pPr>
        <w:pStyle w:val="5"/>
        <w:pageBreakBefore w:val="0"/>
        <w:widowControl/>
        <w:kinsoku/>
        <w:wordWrap/>
        <w:overflowPunct/>
        <w:topLinePunct w:val="0"/>
        <w:autoSpaceDE/>
        <w:autoSpaceDN/>
        <w:bidi w:val="0"/>
        <w:adjustRightInd/>
        <w:snapToGrid/>
        <w:spacing w:line="480" w:lineRule="exact"/>
        <w:textAlignment w:val="auto"/>
      </w:pPr>
      <w:bookmarkStart w:id="53" w:name="_Toc988757417"/>
      <w:bookmarkStart w:id="54" w:name="_Toc709387657"/>
      <w:bookmarkStart w:id="55" w:name="_Toc414328723"/>
      <w:bookmarkStart w:id="56" w:name="十七现货经营规模增长较快的企业如何申请"/>
      <w:r>
        <w:t>（十</w:t>
      </w:r>
      <w:r>
        <w:rPr>
          <w:rFonts w:hint="eastAsia"/>
          <w:lang w:eastAsia="zh-CN"/>
        </w:rPr>
        <w:t>二</w:t>
      </w:r>
      <w:r>
        <w:t>）现货经营规模增长较快的企业如何申请？</w:t>
      </w:r>
      <w:bookmarkEnd w:id="53"/>
      <w:bookmarkEnd w:id="54"/>
      <w:bookmarkEnd w:id="55"/>
    </w:p>
    <w:p>
      <w:pPr>
        <w:pStyle w:val="29"/>
        <w:pageBreakBefore w:val="0"/>
        <w:widowControl/>
        <w:kinsoku/>
        <w:wordWrap/>
        <w:overflowPunct/>
        <w:topLinePunct w:val="0"/>
        <w:autoSpaceDE/>
        <w:autoSpaceDN/>
        <w:bidi w:val="0"/>
        <w:adjustRightInd/>
        <w:snapToGrid/>
        <w:spacing w:line="480" w:lineRule="exact"/>
        <w:ind w:firstLine="480"/>
        <w:textAlignment w:val="auto"/>
      </w:pPr>
      <w:r>
        <w:t>对于前期经营规模较小、后续现货经营规模有较大增长的企业，可提供</w:t>
      </w:r>
      <w:r>
        <w:rPr>
          <w:rFonts w:hint="eastAsia"/>
          <w:lang w:eastAsia="zh-CN"/>
        </w:rPr>
        <w:t>近期有明显增加的</w:t>
      </w:r>
      <w:r>
        <w:t>现货经营规模证明材料，以及经公司管理机构审议后的未来经营规模计划。</w:t>
      </w:r>
    </w:p>
    <w:bookmarkEnd w:id="33"/>
    <w:bookmarkEnd w:id="56"/>
    <w:p>
      <w:pPr>
        <w:pStyle w:val="5"/>
        <w:pageBreakBefore w:val="0"/>
        <w:widowControl/>
        <w:kinsoku/>
        <w:wordWrap/>
        <w:overflowPunct/>
        <w:topLinePunct w:val="0"/>
        <w:autoSpaceDE/>
        <w:autoSpaceDN/>
        <w:bidi w:val="0"/>
        <w:adjustRightInd/>
        <w:snapToGrid/>
        <w:spacing w:line="480" w:lineRule="exact"/>
        <w:textAlignment w:val="auto"/>
      </w:pPr>
      <w:bookmarkStart w:id="57" w:name="_Toc170383360"/>
      <w:bookmarkStart w:id="58" w:name="_Toc1969206446"/>
      <w:bookmarkStart w:id="59" w:name="_Toc1344600752"/>
      <w:bookmarkStart w:id="60" w:name="二十三临近交割月份套期保值持仓额度的审核原则是什么"/>
      <w:bookmarkStart w:id="61" w:name="三临近交割月份套期保值持仓额度"/>
      <w:r>
        <w:t>（十</w:t>
      </w:r>
      <w:r>
        <w:rPr>
          <w:rFonts w:hint="eastAsia"/>
          <w:lang w:eastAsia="zh-CN"/>
        </w:rPr>
        <w:t>三</w:t>
      </w:r>
      <w:r>
        <w:t>）</w:t>
      </w:r>
      <w:r>
        <w:rPr>
          <w:rFonts w:hint="eastAsia"/>
          <w:lang w:eastAsia="zh-CN"/>
        </w:rPr>
        <w:t>套保额度</w:t>
      </w:r>
      <w:r>
        <w:t>审批及额度追加如何规定？</w:t>
      </w:r>
      <w:bookmarkEnd w:id="57"/>
      <w:bookmarkEnd w:id="58"/>
      <w:bookmarkEnd w:id="59"/>
    </w:p>
    <w:p>
      <w:pPr>
        <w:pStyle w:val="29"/>
        <w:pageBreakBefore w:val="0"/>
        <w:widowControl/>
        <w:kinsoku/>
        <w:wordWrap/>
        <w:overflowPunct/>
        <w:topLinePunct w:val="0"/>
        <w:autoSpaceDE/>
        <w:autoSpaceDN/>
        <w:bidi w:val="0"/>
        <w:adjustRightInd/>
        <w:snapToGrid/>
        <w:spacing w:line="480" w:lineRule="exact"/>
        <w:ind w:firstLine="480"/>
        <w:textAlignment w:val="auto"/>
        <w:rPr>
          <w:rFonts w:hint="eastAsia" w:eastAsia="仿宋"/>
          <w:lang w:eastAsia="zh-CN"/>
        </w:rPr>
      </w:pPr>
      <w:r>
        <w:rPr>
          <w:rFonts w:hint="eastAsia"/>
          <w:lang w:eastAsia="zh-CN"/>
        </w:rPr>
        <w:t>交易所套保额度审批在服务企业套保需求的同时需兼顾市场风险防范。</w:t>
      </w:r>
      <w:r>
        <w:t>交易所根据品种基本面、市场运行情况、交割资源、</w:t>
      </w:r>
      <w:r>
        <w:rPr>
          <w:rFonts w:hint="eastAsia"/>
          <w:lang w:eastAsia="zh-CN"/>
        </w:rPr>
        <w:t>合约持仓量</w:t>
      </w:r>
      <w:r>
        <w:t>等因素，动态调整各品种一般月份及临近交割月份的</w:t>
      </w:r>
      <w:r>
        <w:rPr>
          <w:rFonts w:hint="eastAsia"/>
          <w:lang w:eastAsia="zh-CN"/>
        </w:rPr>
        <w:t>套保</w:t>
      </w:r>
      <w:r>
        <w:t>审批额度。若有超过</w:t>
      </w:r>
      <w:r>
        <w:rPr>
          <w:rFonts w:hint="eastAsia"/>
          <w:lang w:eastAsia="zh-CN"/>
        </w:rPr>
        <w:t>获批</w:t>
      </w:r>
      <w:r>
        <w:t>套保</w:t>
      </w:r>
      <w:r>
        <w:rPr>
          <w:rFonts w:hint="eastAsia"/>
          <w:lang w:eastAsia="zh-CN"/>
        </w:rPr>
        <w:t>额度的</w:t>
      </w:r>
      <w:r>
        <w:t>需求，可向交易所提出</w:t>
      </w:r>
      <w:r>
        <w:rPr>
          <w:rFonts w:hint="eastAsia"/>
          <w:lang w:eastAsia="zh-CN"/>
        </w:rPr>
        <w:t>套保额度</w:t>
      </w:r>
      <w:r>
        <w:t>追加申请，</w:t>
      </w:r>
      <w:r>
        <w:rPr>
          <w:rFonts w:hint="eastAsia"/>
          <w:lang w:eastAsia="zh-CN"/>
        </w:rPr>
        <w:t>追加申请需</w:t>
      </w:r>
      <w:r>
        <w:t>经</w:t>
      </w:r>
      <w:r>
        <w:rPr>
          <w:rFonts w:hint="eastAsia"/>
          <w:lang w:eastAsia="zh-CN"/>
        </w:rPr>
        <w:t>交易所</w:t>
      </w:r>
      <w:r>
        <w:t>审</w:t>
      </w:r>
      <w:r>
        <w:rPr>
          <w:rFonts w:hint="eastAsia"/>
          <w:lang w:eastAsia="zh-CN"/>
        </w:rPr>
        <w:t>核</w:t>
      </w:r>
      <w:r>
        <w:t>。</w:t>
      </w:r>
    </w:p>
    <w:bookmarkEnd w:id="60"/>
    <w:p>
      <w:pPr>
        <w:pStyle w:val="5"/>
        <w:pageBreakBefore w:val="0"/>
        <w:widowControl/>
        <w:kinsoku/>
        <w:wordWrap/>
        <w:overflowPunct/>
        <w:topLinePunct w:val="0"/>
        <w:autoSpaceDE/>
        <w:autoSpaceDN/>
        <w:bidi w:val="0"/>
        <w:adjustRightInd/>
        <w:snapToGrid/>
        <w:spacing w:line="480" w:lineRule="exact"/>
        <w:textAlignment w:val="auto"/>
      </w:pPr>
      <w:bookmarkStart w:id="62" w:name="_Toc658306184"/>
      <w:bookmarkStart w:id="63" w:name="_Toc1047938073"/>
      <w:bookmarkStart w:id="64" w:name="_Toc309056892"/>
      <w:bookmarkStart w:id="65" w:name="二十四未取得临近交割月份额度的一般月份额度如何转化"/>
      <w:r>
        <w:t>（十四）未取得临近交割月份额度的，一般月份额度如何转化？</w:t>
      </w:r>
      <w:bookmarkEnd w:id="62"/>
      <w:bookmarkEnd w:id="63"/>
      <w:bookmarkEnd w:id="64"/>
    </w:p>
    <w:p>
      <w:pPr>
        <w:pStyle w:val="29"/>
        <w:pageBreakBefore w:val="0"/>
        <w:widowControl/>
        <w:kinsoku/>
        <w:wordWrap/>
        <w:overflowPunct/>
        <w:topLinePunct w:val="0"/>
        <w:autoSpaceDE/>
        <w:autoSpaceDN/>
        <w:bidi w:val="0"/>
        <w:adjustRightInd/>
        <w:snapToGrid/>
        <w:spacing w:line="480" w:lineRule="exact"/>
        <w:ind w:firstLine="480"/>
        <w:textAlignment w:val="auto"/>
      </w:pPr>
      <w:r>
        <w:t>未取得临近交割月份</w:t>
      </w:r>
      <w:r>
        <w:rPr>
          <w:rFonts w:hint="eastAsia"/>
          <w:lang w:eastAsia="zh-CN"/>
        </w:rPr>
        <w:t>套保额度</w:t>
      </w:r>
      <w:r>
        <w:t>的非期货公司会员、境外特殊非经纪参与者或者客户，其一般月份</w:t>
      </w:r>
      <w:r>
        <w:rPr>
          <w:rFonts w:hint="eastAsia"/>
          <w:lang w:eastAsia="zh-CN"/>
        </w:rPr>
        <w:t>套保额度</w:t>
      </w:r>
      <w:r>
        <w:t>在进入临近交割月份时，将参照已取得的一般月份</w:t>
      </w:r>
      <w:r>
        <w:rPr>
          <w:rFonts w:hint="eastAsia"/>
          <w:lang w:eastAsia="zh-CN"/>
        </w:rPr>
        <w:t>套保额度</w:t>
      </w:r>
      <w:r>
        <w:t>和该品种限仓制度规定持仓限额中的较低标准执行，并按此标准自动转化为该阶段的</w:t>
      </w:r>
      <w:r>
        <w:rPr>
          <w:rFonts w:hint="eastAsia"/>
          <w:lang w:eastAsia="zh-CN"/>
        </w:rPr>
        <w:t>套保额度</w:t>
      </w:r>
      <w:r>
        <w:t>。具体实施品种、实施时间及转化数额由交易所另行通知。</w:t>
      </w:r>
    </w:p>
    <w:p>
      <w:pPr>
        <w:pStyle w:val="3"/>
        <w:pageBreakBefore w:val="0"/>
        <w:widowControl/>
        <w:kinsoku/>
        <w:wordWrap/>
        <w:overflowPunct/>
        <w:topLinePunct w:val="0"/>
        <w:autoSpaceDE/>
        <w:autoSpaceDN/>
        <w:bidi w:val="0"/>
        <w:adjustRightInd/>
        <w:snapToGrid/>
        <w:spacing w:line="480" w:lineRule="exact"/>
        <w:ind w:firstLine="480"/>
        <w:textAlignment w:val="auto"/>
      </w:pPr>
      <w:r>
        <w:t>在进入临近交割月份后，通过申请取得临近交割月份</w:t>
      </w:r>
      <w:r>
        <w:rPr>
          <w:rFonts w:hint="eastAsia"/>
          <w:lang w:eastAsia="zh-CN"/>
        </w:rPr>
        <w:t>套保额度</w:t>
      </w:r>
      <w:r>
        <w:t>的，将按取得的临近交割月份</w:t>
      </w:r>
      <w:r>
        <w:rPr>
          <w:rFonts w:hint="eastAsia"/>
          <w:lang w:eastAsia="zh-CN"/>
        </w:rPr>
        <w:t>套保额度</w:t>
      </w:r>
      <w:r>
        <w:t>执行。</w:t>
      </w:r>
    </w:p>
    <w:bookmarkEnd w:id="61"/>
    <w:bookmarkEnd w:id="65"/>
    <w:p>
      <w:pPr>
        <w:pStyle w:val="4"/>
        <w:pageBreakBefore w:val="0"/>
        <w:widowControl/>
        <w:kinsoku/>
        <w:wordWrap/>
        <w:overflowPunct/>
        <w:topLinePunct w:val="0"/>
        <w:autoSpaceDE/>
        <w:autoSpaceDN/>
        <w:bidi w:val="0"/>
        <w:adjustRightInd/>
        <w:snapToGrid/>
        <w:spacing w:line="480" w:lineRule="exact"/>
        <w:textAlignment w:val="auto"/>
      </w:pPr>
      <w:bookmarkStart w:id="66" w:name="_Toc307430378"/>
      <w:bookmarkStart w:id="67" w:name="_Toc1543556967"/>
      <w:bookmarkStart w:id="68" w:name="_Toc1531005855"/>
      <w:bookmarkStart w:id="69" w:name="四套期保值持仓管理要点"/>
      <w:r>
        <w:rPr>
          <w:rFonts w:hint="eastAsia"/>
          <w:lang w:eastAsia="zh-CN"/>
        </w:rPr>
        <w:t>三</w:t>
      </w:r>
      <w:r>
        <w:t>、套期保值持仓管理要点</w:t>
      </w:r>
      <w:bookmarkEnd w:id="66"/>
      <w:bookmarkEnd w:id="67"/>
      <w:bookmarkEnd w:id="68"/>
    </w:p>
    <w:p>
      <w:pPr>
        <w:pStyle w:val="5"/>
        <w:pageBreakBefore w:val="0"/>
        <w:widowControl/>
        <w:kinsoku/>
        <w:wordWrap/>
        <w:overflowPunct/>
        <w:topLinePunct w:val="0"/>
        <w:autoSpaceDE/>
        <w:autoSpaceDN/>
        <w:bidi w:val="0"/>
        <w:adjustRightInd/>
        <w:snapToGrid/>
        <w:spacing w:line="480" w:lineRule="exact"/>
        <w:textAlignment w:val="auto"/>
      </w:pPr>
      <w:bookmarkStart w:id="70" w:name="_Toc475700860"/>
      <w:bookmarkStart w:id="71" w:name="_Toc253754349"/>
      <w:bookmarkStart w:id="72" w:name="_Toc1622886686"/>
      <w:bookmarkStart w:id="73" w:name="二十七期货与期权如何共同使用套期保值持仓额度"/>
      <w:r>
        <w:t>（十</w:t>
      </w:r>
      <w:r>
        <w:rPr>
          <w:rFonts w:hint="eastAsia"/>
          <w:lang w:eastAsia="zh-CN"/>
        </w:rPr>
        <w:t>五</w:t>
      </w:r>
      <w:r>
        <w:t>）期货与期权如何共同使用</w:t>
      </w:r>
      <w:r>
        <w:rPr>
          <w:rFonts w:hint="eastAsia"/>
          <w:lang w:eastAsia="zh-CN"/>
        </w:rPr>
        <w:t>套保额度</w:t>
      </w:r>
      <w:r>
        <w:t>？</w:t>
      </w:r>
      <w:bookmarkEnd w:id="70"/>
      <w:bookmarkEnd w:id="71"/>
      <w:bookmarkEnd w:id="72"/>
    </w:p>
    <w:p>
      <w:pPr>
        <w:pStyle w:val="29"/>
        <w:pageBreakBefore w:val="0"/>
        <w:widowControl/>
        <w:kinsoku/>
        <w:wordWrap/>
        <w:overflowPunct/>
        <w:topLinePunct w:val="0"/>
        <w:autoSpaceDE/>
        <w:autoSpaceDN/>
        <w:bidi w:val="0"/>
        <w:adjustRightInd/>
        <w:snapToGrid/>
        <w:spacing w:line="480" w:lineRule="exact"/>
        <w:ind w:firstLine="480"/>
        <w:textAlignment w:val="auto"/>
      </w:pPr>
      <w:r>
        <w:rPr>
          <w:rFonts w:hint="eastAsia"/>
          <w:lang w:eastAsia="zh-CN"/>
        </w:rPr>
        <w:t>期货合约与对应的期权共用获批的套保额度</w:t>
      </w:r>
      <w:r>
        <w:t>。买入套期保值交易是指建立期货合约买方向、看涨期权合约买方向、看跌期权合约卖方向的套期保值交易持仓；卖出套期保值交易是指建立期货合约卖方向、看涨期权合约卖方向、看跌期权合约买方向的套期保值交易持仓。</w:t>
      </w:r>
    </w:p>
    <w:bookmarkEnd w:id="73"/>
    <w:p>
      <w:pPr>
        <w:pStyle w:val="5"/>
        <w:pageBreakBefore w:val="0"/>
        <w:widowControl/>
        <w:kinsoku/>
        <w:wordWrap/>
        <w:overflowPunct/>
        <w:topLinePunct w:val="0"/>
        <w:autoSpaceDE/>
        <w:autoSpaceDN/>
        <w:bidi w:val="0"/>
        <w:adjustRightInd/>
        <w:snapToGrid/>
        <w:spacing w:line="480" w:lineRule="exact"/>
        <w:textAlignment w:val="auto"/>
      </w:pPr>
      <w:bookmarkStart w:id="74" w:name="_Toc24807173"/>
      <w:bookmarkStart w:id="75" w:name="_Toc1406287906"/>
      <w:bookmarkStart w:id="76" w:name="_Toc572155428"/>
      <w:bookmarkStart w:id="77" w:name="二十八月末仓位调整需要注意什么"/>
      <w:r>
        <w:t>（十</w:t>
      </w:r>
      <w:r>
        <w:rPr>
          <w:rFonts w:hint="eastAsia"/>
          <w:lang w:eastAsia="zh-CN"/>
        </w:rPr>
        <w:t>六</w:t>
      </w:r>
      <w:r>
        <w:t>）月末仓位调整需要注意什么？</w:t>
      </w:r>
      <w:bookmarkEnd w:id="74"/>
      <w:bookmarkEnd w:id="75"/>
      <w:bookmarkEnd w:id="76"/>
    </w:p>
    <w:p>
      <w:pPr>
        <w:pStyle w:val="29"/>
        <w:pageBreakBefore w:val="0"/>
        <w:widowControl/>
        <w:kinsoku/>
        <w:wordWrap/>
        <w:overflowPunct/>
        <w:topLinePunct w:val="0"/>
        <w:autoSpaceDE/>
        <w:autoSpaceDN/>
        <w:bidi w:val="0"/>
        <w:adjustRightInd/>
        <w:snapToGrid/>
        <w:spacing w:line="480" w:lineRule="exact"/>
        <w:ind w:firstLine="480"/>
        <w:textAlignment w:val="auto"/>
      </w:pPr>
      <w:r>
        <w:t>进入交割月前</w:t>
      </w:r>
      <w:r>
        <w:rPr>
          <w:rFonts w:hint="eastAsia"/>
          <w:lang w:eastAsia="zh-CN"/>
        </w:rPr>
        <w:t>第</w:t>
      </w:r>
      <w:r>
        <w:t>一月、</w:t>
      </w:r>
      <w:r>
        <w:rPr>
          <w:rFonts w:hint="eastAsia"/>
          <w:lang w:eastAsia="zh-CN"/>
        </w:rPr>
        <w:t>交割</w:t>
      </w:r>
      <w:r>
        <w:t>月（油类品种进入交割月前</w:t>
      </w:r>
      <w:r>
        <w:rPr>
          <w:rFonts w:hint="eastAsia"/>
          <w:lang w:eastAsia="zh-CN"/>
        </w:rPr>
        <w:t>第</w:t>
      </w:r>
      <w:r>
        <w:t>二月、前</w:t>
      </w:r>
      <w:r>
        <w:rPr>
          <w:rFonts w:hint="eastAsia"/>
          <w:lang w:eastAsia="zh-CN"/>
        </w:rPr>
        <w:t>第</w:t>
      </w:r>
      <w:r>
        <w:t>一月）</w:t>
      </w:r>
      <w:r>
        <w:rPr>
          <w:rFonts w:hint="eastAsia"/>
          <w:lang w:eastAsia="zh-CN"/>
        </w:rPr>
        <w:t>，随着套保额度变化</w:t>
      </w:r>
      <w:r>
        <w:t>，</w:t>
      </w:r>
      <w:r>
        <w:rPr>
          <w:rFonts w:hint="eastAsia"/>
          <w:lang w:eastAsia="zh-CN"/>
        </w:rPr>
        <w:t>套保企业</w:t>
      </w:r>
      <w:r>
        <w:t>可能面临套期保值</w:t>
      </w:r>
      <w:r>
        <w:rPr>
          <w:rFonts w:hint="eastAsia"/>
          <w:lang w:eastAsia="zh-CN"/>
        </w:rPr>
        <w:t>交易</w:t>
      </w:r>
      <w:r>
        <w:t>持仓超限。</w:t>
      </w:r>
      <w:r>
        <w:rPr>
          <w:rFonts w:hint="eastAsia"/>
          <w:lang w:eastAsia="zh-CN"/>
        </w:rPr>
        <w:t>企业需</w:t>
      </w:r>
      <w:r>
        <w:t>提前关注</w:t>
      </w:r>
      <w:r>
        <w:rPr>
          <w:rFonts w:hint="eastAsia"/>
          <w:lang w:eastAsia="zh-CN"/>
        </w:rPr>
        <w:t>套保额度</w:t>
      </w:r>
      <w:r>
        <w:t>变化，及时做好仓位调整。</w:t>
      </w:r>
    </w:p>
    <w:bookmarkEnd w:id="77"/>
    <w:p>
      <w:pPr>
        <w:pStyle w:val="5"/>
        <w:pageBreakBefore w:val="0"/>
        <w:widowControl/>
        <w:kinsoku/>
        <w:wordWrap/>
        <w:overflowPunct/>
        <w:topLinePunct w:val="0"/>
        <w:autoSpaceDE/>
        <w:autoSpaceDN/>
        <w:bidi w:val="0"/>
        <w:adjustRightInd/>
        <w:snapToGrid/>
        <w:spacing w:line="480" w:lineRule="exact"/>
        <w:textAlignment w:val="auto"/>
      </w:pPr>
      <w:bookmarkStart w:id="78" w:name="_Toc2125386013"/>
      <w:bookmarkStart w:id="79" w:name="_Toc1084090472"/>
      <w:bookmarkStart w:id="80" w:name="_Toc804675415"/>
      <w:bookmarkStart w:id="81" w:name="二十九套期保值超仓预警与处理如何规定"/>
      <w:r>
        <w:t>（十</w:t>
      </w:r>
      <w:r>
        <w:rPr>
          <w:rFonts w:hint="eastAsia"/>
          <w:lang w:eastAsia="zh-CN"/>
        </w:rPr>
        <w:t>七</w:t>
      </w:r>
      <w:r>
        <w:t>）套期保值超仓预警与处理如何规定？</w:t>
      </w:r>
      <w:bookmarkEnd w:id="78"/>
      <w:bookmarkEnd w:id="79"/>
      <w:bookmarkEnd w:id="80"/>
    </w:p>
    <w:p>
      <w:pPr>
        <w:pStyle w:val="29"/>
        <w:pageBreakBefore w:val="0"/>
        <w:widowControl/>
        <w:kinsoku/>
        <w:wordWrap/>
        <w:overflowPunct/>
        <w:topLinePunct w:val="0"/>
        <w:autoSpaceDE/>
        <w:autoSpaceDN/>
        <w:bidi w:val="0"/>
        <w:adjustRightInd/>
        <w:snapToGrid/>
        <w:spacing w:line="480" w:lineRule="exact"/>
        <w:ind w:firstLine="480"/>
        <w:textAlignment w:val="auto"/>
      </w:pPr>
      <w:r>
        <w:t>会员服务系统会提前5个交易日发送套期保值超仓预警，请及时</w:t>
      </w:r>
      <w:r>
        <w:rPr>
          <w:rFonts w:hint="eastAsia"/>
          <w:lang w:eastAsia="zh-CN"/>
        </w:rPr>
        <w:t>关注</w:t>
      </w:r>
      <w:r>
        <w:t>。</w:t>
      </w:r>
    </w:p>
    <w:p>
      <w:pPr>
        <w:pStyle w:val="3"/>
        <w:pageBreakBefore w:val="0"/>
        <w:widowControl/>
        <w:kinsoku/>
        <w:wordWrap/>
        <w:overflowPunct/>
        <w:topLinePunct w:val="0"/>
        <w:autoSpaceDE/>
        <w:autoSpaceDN/>
        <w:bidi w:val="0"/>
        <w:adjustRightInd/>
        <w:snapToGrid/>
        <w:spacing w:line="480" w:lineRule="exact"/>
        <w:ind w:firstLine="480"/>
        <w:textAlignment w:val="auto"/>
      </w:pPr>
      <w:r>
        <w:t>套期保值交易持仓超过取得（或者设定的额度标准）</w:t>
      </w:r>
      <w:r>
        <w:rPr>
          <w:rFonts w:hint="eastAsia"/>
          <w:lang w:eastAsia="zh-CN"/>
        </w:rPr>
        <w:t>套保额度</w:t>
      </w:r>
      <w:r>
        <w:t>的，应当在下一交易日第一节交易结束前自行调整；逾期未进行调整或者调整后仍不符合要求的，交易所可以采取强行平仓措施。</w:t>
      </w:r>
    </w:p>
    <w:bookmarkEnd w:id="69"/>
    <w:bookmarkEnd w:id="81"/>
    <w:p>
      <w:pPr>
        <w:pStyle w:val="4"/>
        <w:pageBreakBefore w:val="0"/>
        <w:widowControl/>
        <w:kinsoku/>
        <w:wordWrap/>
        <w:overflowPunct/>
        <w:topLinePunct w:val="0"/>
        <w:autoSpaceDE/>
        <w:autoSpaceDN/>
        <w:bidi w:val="0"/>
        <w:adjustRightInd/>
        <w:snapToGrid/>
        <w:spacing w:line="480" w:lineRule="exact"/>
        <w:textAlignment w:val="auto"/>
      </w:pPr>
      <w:bookmarkStart w:id="82" w:name="_Toc1184658010"/>
      <w:bookmarkStart w:id="83" w:name="_Toc1634877558"/>
      <w:bookmarkStart w:id="84" w:name="_Toc361516956"/>
      <w:bookmarkStart w:id="85" w:name="六套期保值监督管理"/>
      <w:r>
        <w:rPr>
          <w:rFonts w:hint="eastAsia"/>
          <w:lang w:eastAsia="zh-CN"/>
        </w:rPr>
        <w:t>四</w:t>
      </w:r>
      <w:r>
        <w:t>、套期保值监督管理</w:t>
      </w:r>
      <w:bookmarkEnd w:id="82"/>
      <w:bookmarkEnd w:id="83"/>
      <w:bookmarkEnd w:id="84"/>
    </w:p>
    <w:p>
      <w:pPr>
        <w:pStyle w:val="5"/>
        <w:pageBreakBefore w:val="0"/>
        <w:widowControl/>
        <w:kinsoku/>
        <w:wordWrap/>
        <w:overflowPunct/>
        <w:topLinePunct w:val="0"/>
        <w:autoSpaceDE/>
        <w:autoSpaceDN/>
        <w:bidi w:val="0"/>
        <w:adjustRightInd/>
        <w:snapToGrid/>
        <w:spacing w:line="480" w:lineRule="exact"/>
        <w:textAlignment w:val="auto"/>
      </w:pPr>
      <w:bookmarkStart w:id="86" w:name="_Toc1531205096"/>
      <w:bookmarkStart w:id="87" w:name="_Toc409155373"/>
      <w:bookmarkStart w:id="88" w:name="_Toc956821163"/>
      <w:bookmarkStart w:id="89" w:name="三十五交易所如何对套期保值持仓额度使用情况进行监督管理"/>
      <w:r>
        <w:t>（十</w:t>
      </w:r>
      <w:r>
        <w:rPr>
          <w:rFonts w:hint="eastAsia"/>
          <w:lang w:eastAsia="zh-CN"/>
        </w:rPr>
        <w:t>八</w:t>
      </w:r>
      <w:r>
        <w:t>）交易所如何对</w:t>
      </w:r>
      <w:r>
        <w:rPr>
          <w:rFonts w:hint="eastAsia"/>
          <w:lang w:eastAsia="zh-CN"/>
        </w:rPr>
        <w:t>套保额度</w:t>
      </w:r>
      <w:r>
        <w:t>使用情况进行监督管理？</w:t>
      </w:r>
      <w:bookmarkEnd w:id="86"/>
      <w:bookmarkEnd w:id="87"/>
      <w:bookmarkEnd w:id="88"/>
    </w:p>
    <w:p>
      <w:pPr>
        <w:pStyle w:val="29"/>
        <w:pageBreakBefore w:val="0"/>
        <w:widowControl/>
        <w:kinsoku/>
        <w:wordWrap/>
        <w:overflowPunct/>
        <w:topLinePunct w:val="0"/>
        <w:autoSpaceDE/>
        <w:autoSpaceDN/>
        <w:bidi w:val="0"/>
        <w:adjustRightInd/>
        <w:snapToGrid/>
        <w:spacing w:line="480" w:lineRule="exact"/>
        <w:ind w:firstLine="480"/>
        <w:textAlignment w:val="auto"/>
      </w:pPr>
      <w:r>
        <w:t>交易所对非期货公司会员、境外特殊非经纪参与者或者客户提供的有关生产经营状况、资信情况及期货、期权、现货市场交易行为可以随时进行监督和调查，相关主体应当予以协助和配合。交易所可以要求取得</w:t>
      </w:r>
      <w:r>
        <w:rPr>
          <w:rFonts w:hint="eastAsia"/>
          <w:lang w:eastAsia="zh-CN"/>
        </w:rPr>
        <w:t>套保额度</w:t>
      </w:r>
      <w:r>
        <w:t>的相关主体报告现货、期货、期权交易情况，并可以根据期货市场、期权市场、现货市场和持仓情况，随时要求其就已取得的</w:t>
      </w:r>
      <w:r>
        <w:rPr>
          <w:rFonts w:hint="eastAsia"/>
          <w:lang w:eastAsia="zh-CN"/>
        </w:rPr>
        <w:t>套保额度</w:t>
      </w:r>
      <w:r>
        <w:t>提供补充说明材料。</w:t>
      </w:r>
    </w:p>
    <w:p>
      <w:pPr>
        <w:pStyle w:val="3"/>
        <w:pageBreakBefore w:val="0"/>
        <w:widowControl/>
        <w:kinsoku/>
        <w:wordWrap/>
        <w:overflowPunct/>
        <w:topLinePunct w:val="0"/>
        <w:autoSpaceDE/>
        <w:autoSpaceDN/>
        <w:bidi w:val="0"/>
        <w:adjustRightInd/>
        <w:snapToGrid/>
        <w:spacing w:line="480" w:lineRule="exact"/>
        <w:ind w:firstLine="480"/>
        <w:textAlignment w:val="auto"/>
      </w:pPr>
      <w:r>
        <w:t>交易所可以根据市场情况和套期保值企业的生产经营状况，调整相关主体的</w:t>
      </w:r>
      <w:r>
        <w:rPr>
          <w:rFonts w:hint="eastAsia"/>
          <w:lang w:eastAsia="zh-CN"/>
        </w:rPr>
        <w:t>套保额度</w:t>
      </w:r>
      <w:r>
        <w:t>，取消或者不受理其套期保值申请。相关主体在取得</w:t>
      </w:r>
      <w:r>
        <w:rPr>
          <w:rFonts w:hint="eastAsia"/>
          <w:lang w:eastAsia="zh-CN"/>
        </w:rPr>
        <w:t>套保额度</w:t>
      </w:r>
      <w:r>
        <w:t>期间，企业情况发生重大变化时，应当及时向交易所报告；需要调整</w:t>
      </w:r>
      <w:r>
        <w:rPr>
          <w:rFonts w:hint="eastAsia"/>
          <w:lang w:eastAsia="zh-CN"/>
        </w:rPr>
        <w:t>套保额度</w:t>
      </w:r>
      <w:r>
        <w:t>的，应当及时向交易所提出变更申请。</w:t>
      </w:r>
    </w:p>
    <w:bookmarkEnd w:id="89"/>
    <w:p>
      <w:pPr>
        <w:pageBreakBefore w:val="0"/>
        <w:widowControl/>
        <w:kinsoku/>
        <w:wordWrap/>
        <w:overflowPunct/>
        <w:topLinePunct w:val="0"/>
        <w:autoSpaceDE/>
        <w:autoSpaceDN/>
        <w:bidi w:val="0"/>
        <w:adjustRightInd/>
        <w:snapToGrid/>
        <w:spacing w:line="480" w:lineRule="exact"/>
        <w:textAlignment w:val="auto"/>
      </w:pPr>
      <w:bookmarkStart w:id="90" w:name="三十八套期保值交易在保证金手续费方面有何安排"/>
      <w:r>
        <w:pict>
          <v:rect id="_x0000_i1025" o:spt="1" style="height:1.5pt;width:0pt;" coordsize="21600,21600" o:hr="t" o:hrstd="t" o:hralign="center">
            <v:path/>
            <v:fill focussize="0,0"/>
            <v:stroke/>
            <v:imagedata o:title=""/>
            <o:lock v:ext="edit"/>
            <w10:wrap type="none"/>
            <w10:anchorlock/>
          </v:rect>
        </w:pict>
      </w:r>
    </w:p>
    <w:p>
      <w:pPr>
        <w:pStyle w:val="29"/>
        <w:pageBreakBefore w:val="0"/>
        <w:widowControl/>
        <w:kinsoku/>
        <w:wordWrap/>
        <w:overflowPunct/>
        <w:topLinePunct w:val="0"/>
        <w:autoSpaceDE/>
        <w:autoSpaceDN/>
        <w:bidi w:val="0"/>
        <w:adjustRightInd/>
        <w:snapToGrid/>
        <w:spacing w:line="480" w:lineRule="exact"/>
        <w:textAlignment w:val="auto"/>
      </w:pPr>
      <w:r>
        <w:rPr>
          <w:b/>
          <w:bCs/>
        </w:rPr>
        <w:t>附注：</w:t>
      </w:r>
    </w:p>
    <w:p>
      <w:pPr>
        <w:pStyle w:val="3"/>
        <w:pageBreakBefore w:val="0"/>
        <w:widowControl/>
        <w:numPr>
          <w:ilvl w:val="0"/>
          <w:numId w:val="1"/>
        </w:numPr>
        <w:kinsoku/>
        <w:wordWrap/>
        <w:overflowPunct/>
        <w:topLinePunct w:val="0"/>
        <w:autoSpaceDE/>
        <w:autoSpaceDN/>
        <w:bidi w:val="0"/>
        <w:adjustRightInd/>
        <w:snapToGrid/>
        <w:spacing w:line="480" w:lineRule="exact"/>
        <w:ind w:firstLine="480"/>
        <w:textAlignment w:val="auto"/>
        <w:rPr>
          <w:rFonts w:hint="eastAsia"/>
          <w:lang w:eastAsia="zh-CN"/>
        </w:rPr>
      </w:pPr>
      <w:r>
        <w:rPr>
          <w:rFonts w:hint="eastAsia"/>
          <w:lang w:eastAsia="zh-CN"/>
        </w:rPr>
        <w:t>上期能源套期保值业务参照此问答。</w:t>
      </w:r>
    </w:p>
    <w:p>
      <w:pPr>
        <w:pStyle w:val="3"/>
        <w:pageBreakBefore w:val="0"/>
        <w:widowControl/>
        <w:numPr>
          <w:ilvl w:val="0"/>
          <w:numId w:val="2"/>
        </w:numPr>
        <w:kinsoku/>
        <w:wordWrap/>
        <w:overflowPunct/>
        <w:topLinePunct w:val="0"/>
        <w:autoSpaceDE/>
        <w:autoSpaceDN/>
        <w:bidi w:val="0"/>
        <w:adjustRightInd/>
        <w:snapToGrid/>
        <w:spacing w:line="480" w:lineRule="exact"/>
        <w:ind w:firstLine="480"/>
        <w:textAlignment w:val="auto"/>
      </w:pPr>
      <w:r>
        <w:t>各品种期货业务细则另有规定的，按照其规定执行。</w:t>
      </w:r>
    </w:p>
    <w:p>
      <w:pPr>
        <w:pStyle w:val="3"/>
        <w:pageBreakBefore w:val="0"/>
        <w:widowControl/>
        <w:numPr>
          <w:ilvl w:val="0"/>
          <w:numId w:val="2"/>
        </w:numPr>
        <w:kinsoku/>
        <w:wordWrap/>
        <w:overflowPunct/>
        <w:topLinePunct w:val="0"/>
        <w:autoSpaceDE/>
        <w:autoSpaceDN/>
        <w:bidi w:val="0"/>
        <w:adjustRightInd/>
        <w:snapToGrid/>
        <w:spacing w:line="480" w:lineRule="exact"/>
        <w:ind w:left="0" w:leftChars="0" w:firstLine="480" w:firstLineChars="0"/>
        <w:textAlignment w:val="auto"/>
      </w:pPr>
      <w:r>
        <w:t>本</w:t>
      </w:r>
      <w:r>
        <w:rPr>
          <w:rFonts w:hint="eastAsia"/>
          <w:lang w:eastAsia="zh-CN"/>
        </w:rPr>
        <w:t>问答</w:t>
      </w:r>
      <w:r>
        <w:t>依据《上海期货交易所套期保值交易管理办法》</w:t>
      </w:r>
      <w:r>
        <w:rPr>
          <w:rFonts w:hint="eastAsia"/>
          <w:lang w:eastAsia="zh-CN"/>
        </w:rPr>
        <w:t>等规则</w:t>
      </w:r>
      <w:r>
        <w:t>及交易所套期保值业务审核实践编制，未尽事宜以交易所规则、业务细则及相关通知为准。</w:t>
      </w:r>
    </w:p>
    <w:p>
      <w:pPr>
        <w:pStyle w:val="3"/>
        <w:pageBreakBefore w:val="0"/>
        <w:widowControl/>
        <w:kinsoku/>
        <w:wordWrap/>
        <w:overflowPunct/>
        <w:topLinePunct w:val="0"/>
        <w:autoSpaceDE/>
        <w:autoSpaceDN/>
        <w:bidi w:val="0"/>
        <w:adjustRightInd/>
        <w:snapToGrid/>
        <w:spacing w:line="480" w:lineRule="exact"/>
        <w:ind w:firstLine="480"/>
        <w:textAlignment w:val="auto"/>
      </w:pPr>
      <w:r>
        <w:rPr>
          <w:rFonts w:hint="eastAsia"/>
          <w:lang w:val="en-US" w:eastAsia="zh-CN"/>
        </w:rPr>
        <w:t>4.</w:t>
      </w:r>
      <w:r>
        <w:t>套期保值业务办理过程中如有疑问，可与交易所联系沟通，工作人员联系方式可在交易所官网查询。</w:t>
      </w:r>
    </w:p>
    <w:p>
      <w:pPr>
        <w:pStyle w:val="3"/>
        <w:pageBreakBefore w:val="0"/>
        <w:widowControl/>
        <w:kinsoku/>
        <w:wordWrap/>
        <w:overflowPunct/>
        <w:topLinePunct w:val="0"/>
        <w:autoSpaceDE/>
        <w:autoSpaceDN/>
        <w:bidi w:val="0"/>
        <w:adjustRightInd/>
        <w:snapToGrid/>
        <w:spacing w:line="480" w:lineRule="exact"/>
        <w:ind w:firstLine="480"/>
        <w:textAlignment w:val="auto"/>
        <w:rPr>
          <w:rFonts w:hint="eastAsia" w:eastAsia="仿宋"/>
          <w:lang w:val="en-US" w:eastAsia="zh-CN"/>
        </w:rPr>
      </w:pPr>
      <w:r>
        <w:rPr>
          <w:rFonts w:hint="eastAsia"/>
          <w:lang w:val="en-US" w:eastAsia="zh-CN"/>
        </w:rPr>
        <w:t>5.本</w:t>
      </w:r>
      <w:bookmarkStart w:id="91" w:name="_GoBack"/>
      <w:bookmarkEnd w:id="91"/>
      <w:r>
        <w:rPr>
          <w:rFonts w:hint="eastAsia"/>
          <w:lang w:val="en-US" w:eastAsia="zh-CN"/>
        </w:rPr>
        <w:t>问答解释权属于上海期货交易所。</w:t>
      </w:r>
    </w:p>
    <w:bookmarkEnd w:id="0"/>
    <w:bookmarkEnd w:id="85"/>
    <w:bookmarkEnd w:id="90"/>
    <w:sectPr>
      <w:headerReference r:id="rId4" w:type="default"/>
      <w:footerReference r:id="rId5" w:type="default"/>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仿宋">
    <w:altName w:val="宋体"/>
    <w:panose1 w:val="02010609060101010101"/>
    <w:charset w:val="86"/>
    <w:family w:val="auto"/>
    <w:pitch w:val="default"/>
    <w:sig w:usb0="00000000" w:usb1="00000000" w:usb2="00000016" w:usb3="00000000" w:csb0="00040001" w:csb1="00000000"/>
  </w:font>
  <w:font w:name="Cambria">
    <w:altName w:val="宋体"/>
    <w:panose1 w:val="02040503050406030204"/>
    <w:charset w:val="86"/>
    <w:family w:val="auto"/>
    <w:pitch w:val="default"/>
    <w:sig w:usb0="00000000" w:usb1="00000000" w:usb2="02000000" w:usb3="00000000" w:csb0="2000019F" w:csb1="00000000"/>
  </w:font>
  <w:font w:name="Consolas">
    <w:altName w:val="Noto Sans Mono"/>
    <w:panose1 w:val="020B0609020204030204"/>
    <w:charset w:val="00"/>
    <w:family w:val="auto"/>
    <w:pitch w:val="default"/>
    <w:sig w:usb0="00000000" w:usb1="00000000" w:usb2="00000001" w:usb3="00000000" w:csb0="6000019F" w:csb1="DFD70000"/>
  </w:font>
  <w:font w:name="Noto Sans Mono">
    <w:panose1 w:val="020B0509040504020204"/>
    <w:charset w:val="00"/>
    <w:family w:val="auto"/>
    <w:pitch w:val="default"/>
    <w:sig w:usb0="E00002FF" w:usb1="4200FCFF" w:usb2="08000039" w:usb3="00100000" w:csb0="0000019F" w:csb1="DFD70000"/>
  </w:font>
  <w:font w:name="Noto Sans CJK JP Bold">
    <w:panose1 w:val="020B0800000000000000"/>
    <w:charset w:val="86"/>
    <w:family w:val="auto"/>
    <w:pitch w:val="default"/>
    <w:sig w:usb0="30000003" w:usb1="2BDF3C10" w:usb2="00000016" w:usb3="00000000" w:csb0="602E0107" w:csb1="00000000"/>
  </w:font>
  <w:font w:name="Cambria">
    <w:altName w:val="华文中宋"/>
    <w:panose1 w:val="00000000000000000000"/>
    <w:charset w:val="00"/>
    <w:family w:val="auto"/>
    <w:pitch w:val="default"/>
    <w:sig w:usb0="00000000" w:usb1="00000000" w:usb2="00000000" w:usb3="00000000" w:csb0="00000000"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7"/>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17"/>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B5D90D"/>
    <w:multiLevelType w:val="singleLevel"/>
    <w:tmpl w:val="8AB5D90D"/>
    <w:lvl w:ilvl="0" w:tentative="0">
      <w:start w:val="1"/>
      <w:numFmt w:val="decimal"/>
      <w:lvlText w:val="%1."/>
      <w:lvlJc w:val="left"/>
      <w:pPr>
        <w:tabs>
          <w:tab w:val="left" w:pos="312"/>
        </w:tabs>
      </w:pPr>
    </w:lvl>
  </w:abstractNum>
  <w:abstractNum w:abstractNumId="1">
    <w:nsid w:val="C85F5DBA"/>
    <w:multiLevelType w:val="singleLevel"/>
    <w:tmpl w:val="C85F5DBA"/>
    <w:lvl w:ilvl="0" w:tentative="0">
      <w:start w:val="2"/>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0"/>
  <w:bordersDoNotSurroundFooter w:val="0"/>
  <w:doNotTrackMoves/>
  <w:documentProtection w:enforcement="0"/>
  <w:defaultTabStop w:val="720"/>
  <w:drawingGridHorizontalSpacing w:val="360"/>
  <w:drawingGridVerticalSpacing w:val="360"/>
  <w:displayHorizontalDrawingGridEvery w:val="1"/>
  <w:displayVerticalDrawingGridEvery w:val="1"/>
  <w:noPunctuationKerning w:val="1"/>
  <w:characterSpacingControl w:val="doNotCompress"/>
  <w:footnotePr>
    <w:footnote w:id="0"/>
    <w:footnote w:id="1"/>
  </w:foot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7FBDB6B"/>
    <w:rsid w:val="09F337E1"/>
    <w:rsid w:val="13A72EEF"/>
    <w:rsid w:val="29DFE797"/>
    <w:rsid w:val="34FE7D35"/>
    <w:rsid w:val="36FF2E58"/>
    <w:rsid w:val="39FA263F"/>
    <w:rsid w:val="3DFFA7F4"/>
    <w:rsid w:val="4EFB805A"/>
    <w:rsid w:val="51241EF1"/>
    <w:rsid w:val="5BFE5588"/>
    <w:rsid w:val="692FADE7"/>
    <w:rsid w:val="75DCC8A0"/>
    <w:rsid w:val="76BBE1EB"/>
    <w:rsid w:val="77F7E9F2"/>
    <w:rsid w:val="77FF1299"/>
    <w:rsid w:val="7B5FF6B0"/>
    <w:rsid w:val="7BF6B222"/>
    <w:rsid w:val="7BF7FAD3"/>
    <w:rsid w:val="7F7F684E"/>
    <w:rsid w:val="7FDBE56E"/>
    <w:rsid w:val="7FFF27C8"/>
    <w:rsid w:val="8F3F32FF"/>
    <w:rsid w:val="9D77198B"/>
    <w:rsid w:val="A3E571F1"/>
    <w:rsid w:val="B5FC0512"/>
    <w:rsid w:val="BB77BAC0"/>
    <w:rsid w:val="BD0F58DA"/>
    <w:rsid w:val="BDB6A3F6"/>
    <w:rsid w:val="D652BFE7"/>
    <w:rsid w:val="D79B9117"/>
    <w:rsid w:val="DB7B617D"/>
    <w:rsid w:val="EB792421"/>
    <w:rsid w:val="EDFFBA65"/>
    <w:rsid w:val="F3771FCC"/>
    <w:rsid w:val="F3F84C00"/>
    <w:rsid w:val="F7BD7CA9"/>
    <w:rsid w:val="F7DEBCB3"/>
    <w:rsid w:val="F9673F7C"/>
    <w:rsid w:val="FA9E8361"/>
    <w:rsid w:val="FB7770EC"/>
    <w:rsid w:val="FBF2E39F"/>
    <w:rsid w:val="FD78AB9C"/>
    <w:rsid w:val="FEFFD03D"/>
    <w:rsid w:val="FFF90FCF"/>
    <w:rsid w:val="FFFD34F2"/>
    <w:rsid w:val="FFFF28D4"/>
    <w:rsid w:val="FFFFD99C"/>
  </w:rsids>
  <m:mathPr>
    <m:mathFont m:val="Cambria Math"/>
    <m:brkBin m:val="before"/>
    <m:brkBinSub m:val="--"/>
    <m:smallFrac m:val="0"/>
    <m:dispDef/>
    <m:lMargin m:val="0"/>
    <m:rMargin m:val="0"/>
    <m:defJc m:val="centerGroup"/>
    <m:wrapRight m:val="1"/>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iPriority="9" w:semiHidden="0" w:name="Block Text"/>
    <w:lsdException w:qFormat="1" w:unhideWhenUsed="0" w:uiPriority="0" w:semiHidden="0" w:name="Hyperlink"/>
    <w:lsdException w:unhideWhenUsed="0" w:uiPriority="0" w:semiHidden="0" w:name="FollowedHyperlink"/>
    <w:lsdException w:unhideWhenUsed="0" w:uiPriority="0" w:semiHidden="0" w:name="Strong"/>
    <w:lsdException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pPr>
    <w:rPr>
      <w:rFonts w:ascii="Times New Roman" w:hAnsi="Times New Roman" w:eastAsia="仿宋" w:cstheme="minorBidi"/>
      <w:sz w:val="24"/>
      <w:szCs w:val="24"/>
      <w:lang w:val="en-US" w:eastAsia="en-US" w:bidi="ar-SA"/>
    </w:rPr>
  </w:style>
  <w:style w:type="paragraph" w:styleId="2">
    <w:name w:val="heading 1"/>
    <w:basedOn w:val="1"/>
    <w:next w:val="3"/>
    <w:qFormat/>
    <w:uiPriority w:val="9"/>
    <w:pPr>
      <w:keepNext/>
      <w:keepLines/>
      <w:spacing w:before="480" w:after="0"/>
      <w:outlineLvl w:val="0"/>
    </w:pPr>
    <w:rPr>
      <w:rFonts w:asciiTheme="majorHAnsi" w:hAnsiTheme="majorHAnsi" w:eastAsiaTheme="majorEastAsia" w:cstheme="majorBidi"/>
      <w:b/>
      <w:bCs/>
      <w:color w:val="1F3B5C"/>
      <w:sz w:val="40"/>
      <w:szCs w:val="32"/>
    </w:rPr>
  </w:style>
  <w:style w:type="paragraph" w:styleId="4">
    <w:name w:val="heading 2"/>
    <w:basedOn w:val="1"/>
    <w:next w:val="3"/>
    <w:unhideWhenUsed/>
    <w:qFormat/>
    <w:uiPriority w:val="9"/>
    <w:pPr>
      <w:keepNext/>
      <w:keepLines/>
      <w:spacing w:before="200" w:after="0"/>
      <w:outlineLvl w:val="1"/>
    </w:pPr>
    <w:rPr>
      <w:rFonts w:asciiTheme="majorHAnsi" w:hAnsiTheme="majorHAnsi" w:eastAsiaTheme="majorEastAsia" w:cstheme="majorBidi"/>
      <w:b/>
      <w:bCs/>
      <w:color w:val="1F3B5C"/>
      <w:sz w:val="30"/>
      <w:szCs w:val="28"/>
    </w:rPr>
  </w:style>
  <w:style w:type="paragraph" w:styleId="5">
    <w:name w:val="heading 3"/>
    <w:basedOn w:val="1"/>
    <w:next w:val="3"/>
    <w:unhideWhenUsed/>
    <w:qFormat/>
    <w:uiPriority w:val="9"/>
    <w:pPr>
      <w:keepNext/>
      <w:keepLines/>
      <w:spacing w:before="200" w:after="0"/>
      <w:outlineLvl w:val="2"/>
    </w:pPr>
    <w:rPr>
      <w:rFonts w:asciiTheme="majorHAnsi" w:hAnsiTheme="majorHAnsi" w:eastAsiaTheme="majorEastAsia" w:cstheme="majorBidi"/>
      <w:b/>
      <w:bCs/>
      <w:color w:val="334A5E"/>
      <w:sz w:val="25"/>
      <w:szCs w:val="24"/>
    </w:rPr>
  </w:style>
  <w:style w:type="paragraph" w:styleId="6">
    <w:name w:val="heading 4"/>
    <w:basedOn w:val="1"/>
    <w:next w:val="3"/>
    <w:unhideWhenUsed/>
    <w:qFormat/>
    <w:uiPriority w:val="9"/>
    <w:pPr>
      <w:keepNext/>
      <w:keepLines/>
      <w:spacing w:before="200" w:after="0"/>
      <w:outlineLvl w:val="3"/>
    </w:pPr>
    <w:rPr>
      <w:rFonts w:asciiTheme="majorHAnsi" w:hAnsiTheme="majorHAnsi" w:eastAsiaTheme="majorEastAsia" w:cstheme="majorBidi"/>
      <w:bCs/>
      <w:i/>
      <w:color w:val="4F81BD" w:themeColor="accent1"/>
      <w:sz w:val="24"/>
      <w:szCs w:val="24"/>
      <w14:textFill>
        <w14:solidFill>
          <w14:schemeClr w14:val="accent1"/>
        </w14:solidFill>
      </w14:textFill>
    </w:rPr>
  </w:style>
  <w:style w:type="paragraph" w:styleId="7">
    <w:name w:val="heading 5"/>
    <w:basedOn w:val="1"/>
    <w:next w:val="3"/>
    <w:unhideWhenUsed/>
    <w:qFormat/>
    <w:uiPriority w:val="9"/>
    <w:pPr>
      <w:keepNext/>
      <w:keepLines/>
      <w:spacing w:before="200" w:after="0"/>
      <w:outlineLvl w:val="4"/>
    </w:pPr>
    <w:rPr>
      <w:rFonts w:asciiTheme="majorHAnsi" w:hAnsiTheme="majorHAnsi" w:eastAsiaTheme="majorEastAsia" w:cstheme="majorBidi"/>
      <w:iCs/>
      <w:color w:val="4F81BD" w:themeColor="accent1"/>
      <w:sz w:val="24"/>
      <w:szCs w:val="24"/>
      <w14:textFill>
        <w14:solidFill>
          <w14:schemeClr w14:val="accent1"/>
        </w14:solidFill>
      </w14:textFill>
    </w:rPr>
  </w:style>
  <w:style w:type="paragraph" w:styleId="8">
    <w:name w:val="heading 6"/>
    <w:basedOn w:val="1"/>
    <w:next w:val="3"/>
    <w:unhideWhenUsed/>
    <w:qFormat/>
    <w:uiPriority w:val="9"/>
    <w:pPr>
      <w:keepNext/>
      <w:keepLines/>
      <w:spacing w:before="200" w:after="0"/>
      <w:outlineLvl w:val="5"/>
    </w:pPr>
    <w:rPr>
      <w:rFonts w:asciiTheme="majorHAnsi" w:hAnsiTheme="majorHAnsi" w:eastAsiaTheme="majorEastAsia" w:cstheme="majorBidi"/>
      <w:color w:val="4F81BD" w:themeColor="accent1"/>
      <w:sz w:val="24"/>
      <w:szCs w:val="24"/>
      <w14:textFill>
        <w14:solidFill>
          <w14:schemeClr w14:val="accent1"/>
        </w14:solidFill>
      </w14:textFill>
    </w:rPr>
  </w:style>
  <w:style w:type="paragraph" w:styleId="9">
    <w:name w:val="heading 7"/>
    <w:basedOn w:val="1"/>
    <w:next w:val="3"/>
    <w:unhideWhenUsed/>
    <w:qFormat/>
    <w:uiPriority w:val="9"/>
    <w:pPr>
      <w:keepNext/>
      <w:keepLines/>
      <w:spacing w:before="200" w:after="0"/>
      <w:outlineLvl w:val="6"/>
    </w:pPr>
    <w:rPr>
      <w:rFonts w:asciiTheme="majorHAnsi" w:hAnsiTheme="majorHAnsi" w:eastAsiaTheme="majorEastAsia" w:cstheme="majorBidi"/>
      <w:color w:val="4F81BD" w:themeColor="accent1"/>
      <w:sz w:val="24"/>
      <w:szCs w:val="24"/>
      <w14:textFill>
        <w14:solidFill>
          <w14:schemeClr w14:val="accent1"/>
        </w14:solidFill>
      </w14:textFill>
    </w:rPr>
  </w:style>
  <w:style w:type="paragraph" w:styleId="10">
    <w:name w:val="heading 8"/>
    <w:basedOn w:val="1"/>
    <w:next w:val="3"/>
    <w:unhideWhenUsed/>
    <w:qFormat/>
    <w:uiPriority w:val="9"/>
    <w:pPr>
      <w:keepNext/>
      <w:keepLines/>
      <w:spacing w:before="200" w:after="0"/>
      <w:outlineLvl w:val="7"/>
    </w:pPr>
    <w:rPr>
      <w:rFonts w:asciiTheme="majorHAnsi" w:hAnsiTheme="majorHAnsi" w:eastAsiaTheme="majorEastAsia" w:cstheme="majorBidi"/>
      <w:color w:val="4F81BD" w:themeColor="accent1"/>
      <w:sz w:val="24"/>
      <w:szCs w:val="24"/>
      <w14:textFill>
        <w14:solidFill>
          <w14:schemeClr w14:val="accent1"/>
        </w14:solidFill>
      </w14:textFill>
    </w:rPr>
  </w:style>
  <w:style w:type="paragraph" w:styleId="11">
    <w:name w:val="heading 9"/>
    <w:basedOn w:val="1"/>
    <w:next w:val="3"/>
    <w:unhideWhenUsed/>
    <w:qFormat/>
    <w:uiPriority w:val="9"/>
    <w:pPr>
      <w:keepNext/>
      <w:keepLines/>
      <w:spacing w:before="200" w:after="0"/>
      <w:outlineLvl w:val="8"/>
    </w:pPr>
    <w:rPr>
      <w:rFonts w:asciiTheme="majorHAnsi" w:hAnsiTheme="majorHAnsi" w:eastAsiaTheme="majorEastAsia" w:cstheme="majorBidi"/>
      <w:color w:val="4F81BD" w:themeColor="accent1"/>
      <w:sz w:val="24"/>
      <w:szCs w:val="24"/>
      <w14:textFill>
        <w14:solidFill>
          <w14:schemeClr w14:val="accent1"/>
        </w14:solidFill>
      </w14:textFill>
    </w:rPr>
  </w:style>
  <w:style w:type="character" w:default="1" w:styleId="25">
    <w:name w:val="Default Paragraph Font"/>
    <w:semiHidden/>
    <w:unhideWhenUsed/>
    <w:qFormat/>
    <w:uiPriority w:val="0"/>
  </w:style>
  <w:style w:type="table" w:default="1" w:styleId="24">
    <w:name w:val="Normal Table"/>
    <w:qFormat/>
    <w:uiPriority w:val="0"/>
    <w:tblPr>
      <w:tblCellMar>
        <w:top w:w="0" w:type="dxa"/>
        <w:left w:w="108" w:type="dxa"/>
        <w:bottom w:w="0" w:type="dxa"/>
        <w:right w:w="108" w:type="dxa"/>
      </w:tblCellMar>
    </w:tblPr>
  </w:style>
  <w:style w:type="paragraph" w:styleId="3">
    <w:name w:val="Body Text"/>
    <w:basedOn w:val="1"/>
    <w:link w:val="27"/>
    <w:qFormat/>
    <w:uiPriority w:val="0"/>
    <w:pPr>
      <w:spacing w:before="180" w:after="120" w:line="336" w:lineRule="auto"/>
    </w:pPr>
    <w:rPr>
      <w:rFonts w:ascii="Times New Roman" w:hAnsi="Times New Roman" w:eastAsia="仿宋"/>
      <w:sz w:val="24"/>
    </w:rPr>
  </w:style>
  <w:style w:type="paragraph" w:styleId="12">
    <w:name w:val="caption"/>
    <w:basedOn w:val="1"/>
    <w:next w:val="1"/>
    <w:qFormat/>
    <w:uiPriority w:val="0"/>
    <w:pPr>
      <w:spacing w:before="0" w:after="120"/>
    </w:pPr>
    <w:rPr>
      <w:i/>
    </w:rPr>
  </w:style>
  <w:style w:type="paragraph" w:styleId="13">
    <w:name w:val="annotation text"/>
    <w:basedOn w:val="1"/>
    <w:qFormat/>
    <w:uiPriority w:val="0"/>
    <w:pPr>
      <w:jc w:val="left"/>
    </w:pPr>
  </w:style>
  <w:style w:type="paragraph" w:styleId="14">
    <w:name w:val="Block Text"/>
    <w:basedOn w:val="3"/>
    <w:next w:val="3"/>
    <w:unhideWhenUsed/>
    <w:qFormat/>
    <w:uiPriority w:val="9"/>
    <w:pPr>
      <w:spacing w:before="100" w:after="100"/>
      <w:ind w:left="480" w:right="480" w:firstLine="0"/>
    </w:pPr>
  </w:style>
  <w:style w:type="paragraph" w:styleId="15">
    <w:name w:val="toc 3"/>
    <w:basedOn w:val="1"/>
    <w:next w:val="1"/>
    <w:qFormat/>
    <w:uiPriority w:val="0"/>
    <w:pPr>
      <w:ind w:left="840" w:leftChars="400"/>
    </w:pPr>
  </w:style>
  <w:style w:type="paragraph" w:styleId="16">
    <w:name w:val="Date"/>
    <w:next w:val="3"/>
    <w:qFormat/>
    <w:uiPriority w:val="0"/>
    <w:pPr>
      <w:keepNext/>
      <w:keepLines/>
      <w:spacing w:after="200"/>
      <w:jc w:val="center"/>
    </w:pPr>
    <w:rPr>
      <w:rFonts w:asciiTheme="minorHAnsi" w:hAnsiTheme="minorHAnsi" w:eastAsiaTheme="minorHAnsi" w:cstheme="minorBidi"/>
      <w:sz w:val="24"/>
      <w:szCs w:val="24"/>
      <w:lang w:val="en-US" w:eastAsia="en-US" w:bidi="ar-SA"/>
    </w:rPr>
  </w:style>
  <w:style w:type="paragraph" w:styleId="17">
    <w:name w:val="footer"/>
    <w:basedOn w:val="1"/>
    <w:qFormat/>
    <w:uiPriority w:val="0"/>
    <w:pPr>
      <w:tabs>
        <w:tab w:val="center" w:pos="4153"/>
        <w:tab w:val="right" w:pos="8306"/>
      </w:tabs>
      <w:snapToGrid w:val="0"/>
      <w:jc w:val="left"/>
    </w:pPr>
    <w:rPr>
      <w:sz w:val="18"/>
    </w:rPr>
  </w:style>
  <w:style w:type="paragraph" w:styleId="1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9">
    <w:name w:val="toc 1"/>
    <w:basedOn w:val="1"/>
    <w:next w:val="1"/>
    <w:qFormat/>
    <w:uiPriority w:val="0"/>
  </w:style>
  <w:style w:type="paragraph" w:styleId="20">
    <w:name w:val="Subtitle"/>
    <w:basedOn w:val="21"/>
    <w:next w:val="3"/>
    <w:qFormat/>
    <w:uiPriority w:val="0"/>
    <w:pPr>
      <w:keepNext/>
      <w:keepLines/>
      <w:spacing w:before="240" w:after="240"/>
      <w:jc w:val="center"/>
    </w:pPr>
    <w:rPr>
      <w:sz w:val="30"/>
      <w:szCs w:val="30"/>
    </w:rPr>
  </w:style>
  <w:style w:type="paragraph" w:styleId="21">
    <w:name w:val="Title"/>
    <w:basedOn w:val="1"/>
    <w:next w:val="3"/>
    <w:qFormat/>
    <w:uiPriority w:val="0"/>
    <w:pPr>
      <w:keepNext/>
      <w:keepLines/>
      <w:spacing w:before="480" w:after="240"/>
      <w:jc w:val="center"/>
    </w:pPr>
    <w:rPr>
      <w:rFonts w:asciiTheme="majorHAnsi" w:hAnsiTheme="majorHAnsi" w:eastAsiaTheme="majorEastAsia" w:cstheme="majorBidi"/>
      <w:b/>
      <w:bCs/>
      <w:color w:val="345B8A" w:themeColor="accent1" w:themeShade="B5"/>
      <w:sz w:val="36"/>
      <w:szCs w:val="36"/>
    </w:rPr>
  </w:style>
  <w:style w:type="paragraph" w:styleId="22">
    <w:name w:val="footnote text"/>
    <w:basedOn w:val="1"/>
    <w:unhideWhenUsed/>
    <w:qFormat/>
    <w:uiPriority w:val="9"/>
    <w:pPr>
      <w:spacing w:before="0" w:after="0" w:line="200" w:lineRule="exact"/>
    </w:pPr>
    <w:rPr>
      <w:sz w:val="18"/>
      <w:szCs w:val="18"/>
    </w:rPr>
  </w:style>
  <w:style w:type="paragraph" w:styleId="23">
    <w:name w:val="toc 2"/>
    <w:basedOn w:val="1"/>
    <w:next w:val="1"/>
    <w:qFormat/>
    <w:uiPriority w:val="0"/>
    <w:pPr>
      <w:ind w:left="420" w:leftChars="200"/>
    </w:pPr>
  </w:style>
  <w:style w:type="character" w:styleId="26">
    <w:name w:val="Hyperlink"/>
    <w:basedOn w:val="27"/>
    <w:qFormat/>
    <w:uiPriority w:val="0"/>
    <w:rPr>
      <w:color w:val="4F81BD" w:themeColor="accent1"/>
      <w14:textFill>
        <w14:solidFill>
          <w14:schemeClr w14:val="accent1"/>
        </w14:solidFill>
      </w14:textFill>
    </w:rPr>
  </w:style>
  <w:style w:type="character" w:customStyle="1" w:styleId="27">
    <w:name w:val="Body Text Char"/>
    <w:basedOn w:val="25"/>
    <w:link w:val="3"/>
    <w:qFormat/>
    <w:uiPriority w:val="0"/>
  </w:style>
  <w:style w:type="character" w:styleId="28">
    <w:name w:val="footnote reference"/>
    <w:basedOn w:val="27"/>
    <w:qFormat/>
    <w:uiPriority w:val="0"/>
    <w:rPr>
      <w:vertAlign w:val="superscript"/>
    </w:rPr>
  </w:style>
  <w:style w:type="paragraph" w:customStyle="1" w:styleId="29">
    <w:name w:val="First Paragraph"/>
    <w:basedOn w:val="3"/>
    <w:next w:val="3"/>
    <w:qFormat/>
    <w:uiPriority w:val="0"/>
    <w:pPr>
      <w:spacing w:after="120" w:line="336" w:lineRule="auto"/>
    </w:pPr>
    <w:rPr>
      <w:rFonts w:ascii="Times New Roman" w:hAnsi="Times New Roman" w:eastAsia="仿宋"/>
      <w:sz w:val="24"/>
    </w:rPr>
  </w:style>
  <w:style w:type="paragraph" w:customStyle="1" w:styleId="30">
    <w:name w:val="Compact"/>
    <w:basedOn w:val="3"/>
    <w:qFormat/>
    <w:uiPriority w:val="0"/>
    <w:pPr>
      <w:spacing w:before="36" w:after="36"/>
    </w:pPr>
  </w:style>
  <w:style w:type="paragraph" w:customStyle="1" w:styleId="31">
    <w:name w:val="Author"/>
    <w:next w:val="3"/>
    <w:qFormat/>
    <w:uiPriority w:val="0"/>
    <w:pPr>
      <w:keepNext/>
      <w:keepLines/>
      <w:spacing w:after="200"/>
      <w:jc w:val="center"/>
    </w:pPr>
    <w:rPr>
      <w:rFonts w:asciiTheme="minorHAnsi" w:hAnsiTheme="minorHAnsi" w:eastAsiaTheme="minorHAnsi" w:cstheme="minorBidi"/>
      <w:sz w:val="24"/>
      <w:szCs w:val="24"/>
      <w:lang w:val="en-US" w:eastAsia="en-US" w:bidi="ar-SA"/>
    </w:rPr>
  </w:style>
  <w:style w:type="paragraph" w:customStyle="1" w:styleId="32">
    <w:name w:val="Abstract"/>
    <w:basedOn w:val="1"/>
    <w:next w:val="3"/>
    <w:qFormat/>
    <w:uiPriority w:val="0"/>
    <w:pPr>
      <w:keepNext/>
      <w:keepLines/>
      <w:spacing w:before="300" w:after="300"/>
    </w:pPr>
    <w:rPr>
      <w:sz w:val="20"/>
      <w:szCs w:val="20"/>
    </w:rPr>
  </w:style>
  <w:style w:type="paragraph" w:customStyle="1" w:styleId="33">
    <w:name w:val="Bibliography"/>
    <w:basedOn w:val="1"/>
    <w:qFormat/>
    <w:uiPriority w:val="0"/>
  </w:style>
  <w:style w:type="table" w:customStyle="1" w:styleId="34">
    <w:name w:val="Table"/>
    <w:semiHidden/>
    <w:unhideWhenUsed/>
    <w:qFormat/>
    <w:uiPriority w:val="0"/>
    <w:tblPr>
      <w:tblCellMar>
        <w:top w:w="0" w:type="dxa"/>
        <w:left w:w="108" w:type="dxa"/>
        <w:bottom w:w="0" w:type="dxa"/>
        <w:right w:w="108" w:type="dxa"/>
      </w:tblCellMar>
    </w:tblPr>
    <w:tblStylePr w:type="firstRow">
      <w:tcPr>
        <w:tcBorders>
          <w:bottom w:val="single" w:color="auto" w:sz="0" w:space="0"/>
        </w:tcBorders>
        <w:vAlign w:val="bottom"/>
      </w:tcPr>
    </w:tblStylePr>
  </w:style>
  <w:style w:type="paragraph" w:customStyle="1" w:styleId="35">
    <w:name w:val="Definition Term"/>
    <w:basedOn w:val="1"/>
    <w:next w:val="36"/>
    <w:qFormat/>
    <w:uiPriority w:val="0"/>
    <w:pPr>
      <w:keepNext/>
      <w:keepLines/>
      <w:spacing w:after="0"/>
    </w:pPr>
    <w:rPr>
      <w:b/>
    </w:rPr>
  </w:style>
  <w:style w:type="paragraph" w:customStyle="1" w:styleId="36">
    <w:name w:val="Definition"/>
    <w:basedOn w:val="1"/>
    <w:qFormat/>
    <w:uiPriority w:val="0"/>
  </w:style>
  <w:style w:type="paragraph" w:customStyle="1" w:styleId="37">
    <w:name w:val="Table Caption"/>
    <w:basedOn w:val="12"/>
    <w:qFormat/>
    <w:uiPriority w:val="0"/>
    <w:pPr>
      <w:keepNext/>
    </w:pPr>
  </w:style>
  <w:style w:type="paragraph" w:customStyle="1" w:styleId="38">
    <w:name w:val="Image Caption"/>
    <w:basedOn w:val="12"/>
    <w:qFormat/>
    <w:uiPriority w:val="0"/>
  </w:style>
  <w:style w:type="paragraph" w:customStyle="1" w:styleId="39">
    <w:name w:val="Figure"/>
    <w:basedOn w:val="1"/>
    <w:qFormat/>
    <w:uiPriority w:val="0"/>
  </w:style>
  <w:style w:type="paragraph" w:customStyle="1" w:styleId="40">
    <w:name w:val="Captioned Figure"/>
    <w:basedOn w:val="39"/>
    <w:qFormat/>
    <w:uiPriority w:val="0"/>
    <w:pPr>
      <w:keepNext/>
    </w:pPr>
  </w:style>
  <w:style w:type="character" w:customStyle="1" w:styleId="41">
    <w:name w:val="Verbatim Char"/>
    <w:basedOn w:val="27"/>
    <w:link w:val="42"/>
    <w:qFormat/>
    <w:uiPriority w:val="0"/>
    <w:rPr>
      <w:rFonts w:ascii="Consolas" w:hAnsi="Consolas"/>
      <w:sz w:val="22"/>
    </w:rPr>
  </w:style>
  <w:style w:type="paragraph" w:customStyle="1" w:styleId="42">
    <w:name w:val="Source Code"/>
    <w:basedOn w:val="1"/>
    <w:link w:val="41"/>
    <w:qFormat/>
    <w:uiPriority w:val="0"/>
    <w:pPr>
      <w:wordWrap w:val="0"/>
    </w:pPr>
  </w:style>
  <w:style w:type="character" w:customStyle="1" w:styleId="43">
    <w:name w:val="Section Number"/>
    <w:basedOn w:val="27"/>
    <w:qFormat/>
    <w:uiPriority w:val="0"/>
  </w:style>
  <w:style w:type="paragraph" w:customStyle="1" w:styleId="44">
    <w:name w:val="TOC Heading"/>
    <w:basedOn w:val="2"/>
    <w:next w:val="3"/>
    <w:unhideWhenUsed/>
    <w:qFormat/>
    <w:uiPriority w:val="39"/>
    <w:pPr>
      <w:spacing w:before="240" w:line="259" w:lineRule="auto"/>
      <w:outlineLvl w:val="9"/>
    </w:pPr>
    <w:rPr>
      <w:rFonts w:asciiTheme="majorHAnsi" w:hAnsiTheme="majorHAnsi" w:eastAsiaTheme="majorEastAsia" w:cstheme="majorBidi"/>
      <w:b w:val="0"/>
      <w:bCs w:val="0"/>
      <w:color w:val="376092" w:themeColor="accent1" w:themeShade="BF"/>
    </w:rPr>
  </w:style>
  <w:style w:type="character" w:customStyle="1" w:styleId="45">
    <w:name w:val="KeywordTok"/>
    <w:basedOn w:val="41"/>
    <w:qFormat/>
    <w:uiPriority w:val="0"/>
    <w:rPr>
      <w:b/>
      <w:color w:val="007020"/>
    </w:rPr>
  </w:style>
  <w:style w:type="character" w:customStyle="1" w:styleId="46">
    <w:name w:val="DataTypeTok"/>
    <w:basedOn w:val="41"/>
    <w:qFormat/>
    <w:uiPriority w:val="0"/>
    <w:rPr>
      <w:color w:val="902000"/>
    </w:rPr>
  </w:style>
  <w:style w:type="character" w:customStyle="1" w:styleId="47">
    <w:name w:val="DecValTok"/>
    <w:basedOn w:val="41"/>
    <w:qFormat/>
    <w:uiPriority w:val="0"/>
    <w:rPr>
      <w:color w:val="40A070"/>
    </w:rPr>
  </w:style>
  <w:style w:type="character" w:customStyle="1" w:styleId="48">
    <w:name w:val="BaseNTok"/>
    <w:basedOn w:val="41"/>
    <w:qFormat/>
    <w:uiPriority w:val="0"/>
    <w:rPr>
      <w:color w:val="40A070"/>
    </w:rPr>
  </w:style>
  <w:style w:type="character" w:customStyle="1" w:styleId="49">
    <w:name w:val="FloatTok"/>
    <w:basedOn w:val="41"/>
    <w:qFormat/>
    <w:uiPriority w:val="0"/>
    <w:rPr>
      <w:color w:val="40A070"/>
    </w:rPr>
  </w:style>
  <w:style w:type="character" w:customStyle="1" w:styleId="50">
    <w:name w:val="ConstantTok"/>
    <w:basedOn w:val="41"/>
    <w:qFormat/>
    <w:uiPriority w:val="0"/>
    <w:rPr>
      <w:color w:val="880000"/>
    </w:rPr>
  </w:style>
  <w:style w:type="character" w:customStyle="1" w:styleId="51">
    <w:name w:val="CharTok"/>
    <w:basedOn w:val="41"/>
    <w:qFormat/>
    <w:uiPriority w:val="0"/>
    <w:rPr>
      <w:color w:val="4070A0"/>
    </w:rPr>
  </w:style>
  <w:style w:type="character" w:customStyle="1" w:styleId="52">
    <w:name w:val="SpecialCharTok"/>
    <w:basedOn w:val="41"/>
    <w:qFormat/>
    <w:uiPriority w:val="0"/>
    <w:rPr>
      <w:color w:val="4070A0"/>
    </w:rPr>
  </w:style>
  <w:style w:type="character" w:customStyle="1" w:styleId="53">
    <w:name w:val="StringTok"/>
    <w:basedOn w:val="41"/>
    <w:qFormat/>
    <w:uiPriority w:val="0"/>
    <w:rPr>
      <w:color w:val="4070A0"/>
    </w:rPr>
  </w:style>
  <w:style w:type="character" w:customStyle="1" w:styleId="54">
    <w:name w:val="VerbatimStringTok"/>
    <w:basedOn w:val="41"/>
    <w:qFormat/>
    <w:uiPriority w:val="0"/>
    <w:rPr>
      <w:color w:val="4070A0"/>
    </w:rPr>
  </w:style>
  <w:style w:type="character" w:customStyle="1" w:styleId="55">
    <w:name w:val="SpecialStringTok"/>
    <w:basedOn w:val="41"/>
    <w:qFormat/>
    <w:uiPriority w:val="0"/>
    <w:rPr>
      <w:color w:val="BB6688"/>
    </w:rPr>
  </w:style>
  <w:style w:type="character" w:customStyle="1" w:styleId="56">
    <w:name w:val="ImportTok"/>
    <w:basedOn w:val="41"/>
    <w:qFormat/>
    <w:uiPriority w:val="0"/>
    <w:rPr>
      <w:b/>
      <w:color w:val="008000"/>
    </w:rPr>
  </w:style>
  <w:style w:type="character" w:customStyle="1" w:styleId="57">
    <w:name w:val="CommentTok"/>
    <w:basedOn w:val="41"/>
    <w:qFormat/>
    <w:uiPriority w:val="0"/>
    <w:rPr>
      <w:i/>
      <w:color w:val="60A0B0"/>
    </w:rPr>
  </w:style>
  <w:style w:type="character" w:customStyle="1" w:styleId="58">
    <w:name w:val="DocumentationTok"/>
    <w:basedOn w:val="41"/>
    <w:qFormat/>
    <w:uiPriority w:val="0"/>
    <w:rPr>
      <w:i/>
      <w:color w:val="BA2121"/>
    </w:rPr>
  </w:style>
  <w:style w:type="character" w:customStyle="1" w:styleId="59">
    <w:name w:val="AnnotationTok"/>
    <w:basedOn w:val="41"/>
    <w:qFormat/>
    <w:uiPriority w:val="0"/>
    <w:rPr>
      <w:b/>
      <w:i/>
      <w:color w:val="60A0B0"/>
    </w:rPr>
  </w:style>
  <w:style w:type="character" w:customStyle="1" w:styleId="60">
    <w:name w:val="CommentVarTok"/>
    <w:basedOn w:val="41"/>
    <w:qFormat/>
    <w:uiPriority w:val="0"/>
    <w:rPr>
      <w:b/>
      <w:i/>
      <w:color w:val="60A0B0"/>
    </w:rPr>
  </w:style>
  <w:style w:type="character" w:customStyle="1" w:styleId="61">
    <w:name w:val="OtherTok"/>
    <w:basedOn w:val="41"/>
    <w:qFormat/>
    <w:uiPriority w:val="0"/>
    <w:rPr>
      <w:color w:val="007020"/>
    </w:rPr>
  </w:style>
  <w:style w:type="character" w:customStyle="1" w:styleId="62">
    <w:name w:val="FunctionTok"/>
    <w:basedOn w:val="41"/>
    <w:qFormat/>
    <w:uiPriority w:val="0"/>
    <w:rPr>
      <w:color w:val="06287E"/>
    </w:rPr>
  </w:style>
  <w:style w:type="character" w:customStyle="1" w:styleId="63">
    <w:name w:val="VariableTok"/>
    <w:basedOn w:val="41"/>
    <w:qFormat/>
    <w:uiPriority w:val="0"/>
    <w:rPr>
      <w:color w:val="19177C"/>
    </w:rPr>
  </w:style>
  <w:style w:type="character" w:customStyle="1" w:styleId="64">
    <w:name w:val="ControlFlowTok"/>
    <w:basedOn w:val="41"/>
    <w:qFormat/>
    <w:uiPriority w:val="0"/>
    <w:rPr>
      <w:b/>
      <w:color w:val="007020"/>
    </w:rPr>
  </w:style>
  <w:style w:type="character" w:customStyle="1" w:styleId="65">
    <w:name w:val="OperatorTok"/>
    <w:basedOn w:val="41"/>
    <w:qFormat/>
    <w:uiPriority w:val="0"/>
    <w:rPr>
      <w:color w:val="666666"/>
    </w:rPr>
  </w:style>
  <w:style w:type="character" w:customStyle="1" w:styleId="66">
    <w:name w:val="BuiltInTok"/>
    <w:basedOn w:val="41"/>
    <w:qFormat/>
    <w:uiPriority w:val="0"/>
    <w:rPr>
      <w:color w:val="008000"/>
    </w:rPr>
  </w:style>
  <w:style w:type="character" w:customStyle="1" w:styleId="67">
    <w:name w:val="ExtensionTok"/>
    <w:basedOn w:val="41"/>
    <w:qFormat/>
    <w:uiPriority w:val="0"/>
  </w:style>
  <w:style w:type="character" w:customStyle="1" w:styleId="68">
    <w:name w:val="PreprocessorTok"/>
    <w:basedOn w:val="41"/>
    <w:qFormat/>
    <w:uiPriority w:val="0"/>
    <w:rPr>
      <w:color w:val="BC7A00"/>
    </w:rPr>
  </w:style>
  <w:style w:type="character" w:customStyle="1" w:styleId="69">
    <w:name w:val="AttributeTok"/>
    <w:basedOn w:val="41"/>
    <w:qFormat/>
    <w:uiPriority w:val="0"/>
    <w:rPr>
      <w:color w:val="7D9029"/>
    </w:rPr>
  </w:style>
  <w:style w:type="character" w:customStyle="1" w:styleId="70">
    <w:name w:val="RegionMarkerTok"/>
    <w:basedOn w:val="41"/>
    <w:qFormat/>
    <w:uiPriority w:val="0"/>
  </w:style>
  <w:style w:type="character" w:customStyle="1" w:styleId="71">
    <w:name w:val="InformationTok"/>
    <w:basedOn w:val="41"/>
    <w:qFormat/>
    <w:uiPriority w:val="0"/>
    <w:rPr>
      <w:b/>
      <w:i/>
      <w:color w:val="60A0B0"/>
    </w:rPr>
  </w:style>
  <w:style w:type="character" w:customStyle="1" w:styleId="72">
    <w:name w:val="WarningTok"/>
    <w:basedOn w:val="41"/>
    <w:qFormat/>
    <w:uiPriority w:val="0"/>
    <w:rPr>
      <w:b/>
      <w:i/>
      <w:color w:val="60A0B0"/>
    </w:rPr>
  </w:style>
  <w:style w:type="character" w:customStyle="1" w:styleId="73">
    <w:name w:val="AlertTok"/>
    <w:basedOn w:val="41"/>
    <w:qFormat/>
    <w:uiPriority w:val="0"/>
    <w:rPr>
      <w:b/>
      <w:color w:val="FF0000"/>
    </w:rPr>
  </w:style>
  <w:style w:type="character" w:customStyle="1" w:styleId="74">
    <w:name w:val="ErrorTok"/>
    <w:basedOn w:val="41"/>
    <w:qFormat/>
    <w:uiPriority w:val="0"/>
    <w:rPr>
      <w:b/>
      <w:color w:val="FF0000"/>
    </w:rPr>
  </w:style>
  <w:style w:type="character" w:customStyle="1" w:styleId="75">
    <w:name w:val="NormalTok"/>
    <w:basedOn w:val="41"/>
    <w:qFormat/>
    <w:uiPriority w:val="0"/>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10</Pages>
  <Words>4620</Words>
  <Characters>4629</Characters>
  <Lines>12</Lines>
  <Paragraphs>8</Paragraphs>
  <TotalTime>4</TotalTime>
  <ScaleCrop>false</ScaleCrop>
  <LinksUpToDate>false</LinksUpToDate>
  <CharactersWithSpaces>4703</CharactersWithSpaces>
  <Application>WPS Office_11.8.2.12219_F1E327BC-269C-435d-A152-05C5408002CA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2026-08-19T02:38:00Z</dcterms:created>
  <dc:creator>zhleyun</dc:creator>
  <cp:lastModifiedBy>qu.ronghui</cp:lastModifiedBy>
  <dcterms:modified xsi:type="dcterms:W3CDTF">2026-09-30T16:33:11Z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2052-11.8.2.12219</vt:lpwstr>
  </property>
  <property fmtid="{D5CDD505-2E9C-101B-9397-08002B2CF9AE}" pid="3" name="ICV">
    <vt:lpwstr>6199276125A47BCC47C9BC6ADD9D4DC9</vt:lpwstr>
  </property>
  <property fmtid="{D5CDD505-2E9C-101B-9397-08002B2CF9AE}" pid="4" name="KSOTemplateDocerSaveRecord">
    <vt:lpwstr>eyJoZGlkIjoiMmQ0NzMzMzlkOWIwODkwZTA0ZjBiMmQyZmRiNmM4MGIiLCJ1c2VySWQiOiIxMDIzNTIyMjIyIn0=</vt:lpwstr>
  </property>
</Properties>
</file>