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59" w:rsidRDefault="00DA6775" w:rsidP="00E36118">
      <w:pPr>
        <w:rPr>
          <w:rFonts w:ascii="Times New Roman" w:eastAsia="方正大标宋简体" w:hAnsi="Times New Roman"/>
          <w:color w:val="000000" w:themeColor="text1"/>
          <w:sz w:val="42"/>
          <w:szCs w:val="42"/>
        </w:rPr>
      </w:pPr>
      <w:r w:rsidRPr="00E36118">
        <w:rPr>
          <w:rFonts w:ascii="Times New Roman" w:eastAsia="方正大标宋简体" w:hAnsi="Times New Roman"/>
          <w:color w:val="000000" w:themeColor="text1"/>
          <w:sz w:val="42"/>
          <w:szCs w:val="42"/>
        </w:rPr>
        <w:t>附件</w:t>
      </w:r>
      <w:r w:rsidR="000704BC" w:rsidRPr="00E36118">
        <w:rPr>
          <w:rFonts w:ascii="Times New Roman" w:eastAsia="方正大标宋简体" w:hAnsi="Times New Roman"/>
          <w:color w:val="000000" w:themeColor="text1"/>
          <w:sz w:val="42"/>
          <w:szCs w:val="42"/>
        </w:rPr>
        <w:t>1</w:t>
      </w:r>
    </w:p>
    <w:p w:rsidR="00E36118" w:rsidRPr="00E36118" w:rsidRDefault="00E36118" w:rsidP="00E36118"/>
    <w:p w:rsidR="006E1898" w:rsidRPr="00E36118" w:rsidRDefault="006E1898" w:rsidP="00E36118">
      <w:pPr>
        <w:jc w:val="center"/>
        <w:rPr>
          <w:rFonts w:ascii="Times New Roman" w:eastAsia="方正大标宋简体" w:hAnsi="Times New Roman"/>
          <w:color w:val="000000" w:themeColor="text1"/>
          <w:sz w:val="42"/>
          <w:szCs w:val="42"/>
        </w:rPr>
      </w:pPr>
      <w:r w:rsidRPr="00E36118">
        <w:rPr>
          <w:rFonts w:ascii="Times New Roman" w:eastAsia="方正大标宋简体" w:hAnsi="Times New Roman"/>
          <w:color w:val="000000" w:themeColor="text1"/>
          <w:sz w:val="42"/>
          <w:szCs w:val="42"/>
        </w:rPr>
        <w:t>上海期货交易所氧化铝期货合约</w:t>
      </w:r>
    </w:p>
    <w:p w:rsidR="006E1898" w:rsidRPr="00E36118" w:rsidRDefault="006E1898" w:rsidP="00E3611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322"/>
      </w:tblGrid>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交易品种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氧化铝</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交易单位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20</w:t>
            </w:r>
            <w:r w:rsidRPr="00C92AE2">
              <w:rPr>
                <w:rFonts w:ascii="Times New Roman" w:eastAsia="方正仿宋简体" w:hAnsi="Times New Roman" w:cs="Times New Roman"/>
                <w:color w:val="000000" w:themeColor="text1"/>
                <w:kern w:val="2"/>
              </w:rPr>
              <w:t>吨</w:t>
            </w:r>
            <w:r w:rsidRPr="00C92AE2">
              <w:rPr>
                <w:rFonts w:ascii="Times New Roman" w:eastAsia="方正仿宋简体" w:hAnsi="Times New Roman" w:cs="Times New Roman"/>
                <w:color w:val="000000" w:themeColor="text1"/>
                <w:kern w:val="2"/>
              </w:rPr>
              <w:t>/</w:t>
            </w:r>
            <w:r w:rsidRPr="00C92AE2">
              <w:rPr>
                <w:rFonts w:ascii="Times New Roman" w:eastAsia="方正仿宋简体" w:hAnsi="Times New Roman" w:cs="Times New Roman"/>
                <w:color w:val="000000" w:themeColor="text1"/>
                <w:kern w:val="2"/>
              </w:rPr>
              <w:t>手</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报价单位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元（人民币）</w:t>
            </w:r>
            <w:r w:rsidRPr="00C92AE2">
              <w:rPr>
                <w:rFonts w:ascii="Times New Roman" w:eastAsia="方正仿宋简体" w:hAnsi="Times New Roman" w:cs="Times New Roman"/>
                <w:color w:val="000000" w:themeColor="text1"/>
                <w:kern w:val="2"/>
              </w:rPr>
              <w:t>/</w:t>
            </w:r>
            <w:r w:rsidRPr="00C92AE2">
              <w:rPr>
                <w:rFonts w:ascii="Times New Roman" w:eastAsia="方正仿宋简体" w:hAnsi="Times New Roman" w:cs="Times New Roman"/>
                <w:color w:val="000000" w:themeColor="text1"/>
                <w:kern w:val="2"/>
              </w:rPr>
              <w:t>吨</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最小变动价位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1</w:t>
            </w:r>
            <w:r w:rsidRPr="00C92AE2">
              <w:rPr>
                <w:rFonts w:ascii="Times New Roman" w:eastAsia="方正仿宋简体" w:hAnsi="Times New Roman" w:cs="Times New Roman"/>
                <w:color w:val="000000" w:themeColor="text1"/>
                <w:kern w:val="2"/>
              </w:rPr>
              <w:t>元</w:t>
            </w:r>
            <w:r w:rsidRPr="00C92AE2">
              <w:rPr>
                <w:rFonts w:ascii="Times New Roman" w:eastAsia="方正仿宋简体" w:hAnsi="Times New Roman" w:cs="Times New Roman"/>
                <w:color w:val="000000" w:themeColor="text1"/>
                <w:kern w:val="2"/>
              </w:rPr>
              <w:t>/</w:t>
            </w:r>
            <w:r w:rsidRPr="00C92AE2">
              <w:rPr>
                <w:rFonts w:ascii="Times New Roman" w:eastAsia="方正仿宋简体" w:hAnsi="Times New Roman" w:cs="Times New Roman"/>
                <w:color w:val="000000" w:themeColor="text1"/>
                <w:kern w:val="2"/>
              </w:rPr>
              <w:t>吨</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涨跌停板幅度</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上一交易日结算价</w:t>
            </w:r>
            <w:r w:rsidRPr="00C92AE2">
              <w:rPr>
                <w:rFonts w:ascii="Times New Roman" w:eastAsia="方正仿宋简体" w:hAnsi="Times New Roman" w:cs="Times New Roman"/>
                <w:color w:val="000000" w:themeColor="text1"/>
                <w:kern w:val="2"/>
              </w:rPr>
              <w:t>±4%</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合约月份</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1~12</w:t>
            </w:r>
            <w:r w:rsidRPr="00C92AE2">
              <w:rPr>
                <w:rFonts w:ascii="Times New Roman" w:eastAsia="方正仿宋简体" w:hAnsi="Times New Roman" w:cs="Times New Roman"/>
                <w:color w:val="000000" w:themeColor="text1"/>
                <w:kern w:val="2"/>
              </w:rPr>
              <w:t>月</w:t>
            </w:r>
          </w:p>
        </w:tc>
      </w:tr>
      <w:tr w:rsidR="006E1898" w:rsidRPr="00C92AE2" w:rsidTr="00E36118">
        <w:trPr>
          <w:trHeight w:val="5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交易时间</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上午</w:t>
            </w:r>
            <w:r w:rsidRPr="00C92AE2">
              <w:rPr>
                <w:rFonts w:ascii="Times New Roman" w:eastAsia="方正仿宋简体" w:hAnsi="Times New Roman" w:cs="Times New Roman"/>
                <w:color w:val="000000" w:themeColor="text1"/>
                <w:kern w:val="2"/>
              </w:rPr>
              <w:t>9:00 ~ 11:30</w:t>
            </w:r>
            <w:r w:rsidRPr="00C92AE2">
              <w:rPr>
                <w:rFonts w:ascii="Times New Roman" w:eastAsia="方正仿宋简体" w:hAnsi="Times New Roman" w:cs="Times New Roman"/>
                <w:color w:val="000000" w:themeColor="text1"/>
                <w:kern w:val="2"/>
              </w:rPr>
              <w:t>，下午</w:t>
            </w:r>
            <w:r w:rsidRPr="00C92AE2">
              <w:rPr>
                <w:rFonts w:ascii="Times New Roman" w:eastAsia="方正仿宋简体" w:hAnsi="Times New Roman" w:cs="Times New Roman"/>
                <w:color w:val="000000" w:themeColor="text1"/>
                <w:kern w:val="2"/>
              </w:rPr>
              <w:t>1:30 ~ 3:00</w:t>
            </w:r>
            <w:r w:rsidRPr="00C92AE2">
              <w:rPr>
                <w:rFonts w:ascii="Times New Roman" w:eastAsia="方正仿宋简体" w:hAnsi="Times New Roman" w:cs="Times New Roman"/>
                <w:color w:val="000000" w:themeColor="text1"/>
                <w:kern w:val="2"/>
              </w:rPr>
              <w:t>和交易所规定的其他交易时间</w:t>
            </w:r>
          </w:p>
        </w:tc>
      </w:tr>
      <w:tr w:rsidR="006E1898" w:rsidRPr="00C92AE2" w:rsidTr="00E36118">
        <w:trPr>
          <w:trHeight w:val="49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最后交易日</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合约月份的</w:t>
            </w:r>
            <w:r w:rsidRPr="00C92AE2">
              <w:rPr>
                <w:rFonts w:ascii="Times New Roman" w:eastAsia="方正仿宋简体" w:hAnsi="Times New Roman" w:cs="Times New Roman"/>
                <w:color w:val="000000" w:themeColor="text1"/>
                <w:kern w:val="2"/>
              </w:rPr>
              <w:t>15</w:t>
            </w:r>
            <w:r w:rsidRPr="00C92AE2">
              <w:rPr>
                <w:rFonts w:ascii="Times New Roman" w:eastAsia="方正仿宋简体" w:hAnsi="Times New Roman" w:cs="Times New Roman"/>
                <w:color w:val="000000" w:themeColor="text1"/>
                <w:kern w:val="2"/>
              </w:rPr>
              <w:t>日（遇国家法定节假日顺延，春节月份等最后交易日交易所可另行调整并通知）</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交割日期</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最后交易日后连续</w:t>
            </w:r>
            <w:r w:rsidR="004A10E1">
              <w:rPr>
                <w:rFonts w:ascii="Times New Roman" w:eastAsia="方正仿宋简体" w:hAnsi="Times New Roman" w:cs="Times New Roman" w:hint="eastAsia"/>
                <w:color w:val="000000" w:themeColor="text1"/>
                <w:kern w:val="2"/>
              </w:rPr>
              <w:t>二</w:t>
            </w:r>
            <w:r w:rsidRPr="00C92AE2">
              <w:rPr>
                <w:rFonts w:ascii="Times New Roman" w:eastAsia="方正仿宋简体" w:hAnsi="Times New Roman" w:cs="Times New Roman"/>
                <w:color w:val="000000" w:themeColor="text1"/>
                <w:kern w:val="2"/>
              </w:rPr>
              <w:t>个工作日</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交割品级</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氧化铝，具体质量规定见附件</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交割地点</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交易所指定交割地点</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最低交易保证金</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合约价值的</w:t>
            </w:r>
            <w:r w:rsidRPr="00C92AE2">
              <w:rPr>
                <w:rFonts w:ascii="Times New Roman" w:eastAsia="方正仿宋简体" w:hAnsi="Times New Roman" w:cs="Times New Roman"/>
                <w:color w:val="000000" w:themeColor="text1"/>
                <w:kern w:val="2"/>
              </w:rPr>
              <w:t>5%</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交割方式</w:t>
            </w:r>
          </w:p>
        </w:tc>
        <w:tc>
          <w:tcPr>
            <w:tcW w:w="6322" w:type="dxa"/>
            <w:tcBorders>
              <w:top w:val="single" w:sz="4" w:space="0" w:color="auto"/>
              <w:left w:val="single" w:sz="4" w:space="0" w:color="auto"/>
              <w:bottom w:val="single" w:sz="4" w:space="0" w:color="auto"/>
              <w:right w:val="single" w:sz="4" w:space="0" w:color="auto"/>
            </w:tcBorders>
            <w:vAlign w:val="center"/>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bookmarkStart w:id="0" w:name="_Toc186441625"/>
            <w:r w:rsidRPr="00C92AE2">
              <w:rPr>
                <w:rFonts w:ascii="Times New Roman" w:eastAsia="方正仿宋简体" w:hAnsi="Times New Roman" w:cs="Times New Roman"/>
                <w:color w:val="000000" w:themeColor="text1"/>
                <w:kern w:val="2"/>
              </w:rPr>
              <w:t>实物交割</w:t>
            </w:r>
            <w:bookmarkEnd w:id="0"/>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交割单位</w:t>
            </w:r>
          </w:p>
        </w:tc>
        <w:tc>
          <w:tcPr>
            <w:tcW w:w="6322" w:type="dxa"/>
            <w:tcBorders>
              <w:top w:val="single" w:sz="4" w:space="0" w:color="auto"/>
              <w:left w:val="single" w:sz="4" w:space="0" w:color="auto"/>
              <w:bottom w:val="single" w:sz="4" w:space="0" w:color="auto"/>
              <w:right w:val="single" w:sz="4" w:space="0" w:color="auto"/>
            </w:tcBorders>
            <w:vAlign w:val="center"/>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300</w:t>
            </w:r>
            <w:r w:rsidRPr="00C92AE2">
              <w:rPr>
                <w:rFonts w:ascii="Times New Roman" w:eastAsia="方正仿宋简体" w:hAnsi="Times New Roman" w:cs="Times New Roman"/>
                <w:color w:val="000000" w:themeColor="text1"/>
                <w:kern w:val="2"/>
              </w:rPr>
              <w:t>吨</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交易代码</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AO</w:t>
            </w:r>
          </w:p>
        </w:tc>
      </w:tr>
      <w:tr w:rsidR="006E1898" w:rsidRPr="00C92AE2" w:rsidTr="00E36118">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上市交易所</w:t>
            </w:r>
          </w:p>
        </w:tc>
        <w:tc>
          <w:tcPr>
            <w:tcW w:w="6322" w:type="dxa"/>
            <w:tcBorders>
              <w:top w:val="single" w:sz="4" w:space="0" w:color="auto"/>
              <w:left w:val="single" w:sz="4" w:space="0" w:color="auto"/>
              <w:bottom w:val="single" w:sz="4" w:space="0" w:color="auto"/>
              <w:right w:val="single" w:sz="4" w:space="0" w:color="auto"/>
            </w:tcBorders>
            <w:vAlign w:val="center"/>
            <w:hideMark/>
          </w:tcPr>
          <w:p w:rsidR="006E1898" w:rsidRPr="00C92AE2" w:rsidRDefault="006E1898" w:rsidP="00E36118">
            <w:pPr>
              <w:pStyle w:val="a7"/>
              <w:spacing w:before="0" w:beforeAutospacing="0" w:after="0" w:afterAutospacing="0"/>
              <w:jc w:val="both"/>
              <w:rPr>
                <w:rFonts w:ascii="Times New Roman" w:eastAsia="方正仿宋简体" w:hAnsi="Times New Roman" w:cs="Times New Roman"/>
                <w:color w:val="000000" w:themeColor="text1"/>
                <w:kern w:val="2"/>
              </w:rPr>
            </w:pPr>
            <w:r w:rsidRPr="00C92AE2">
              <w:rPr>
                <w:rFonts w:ascii="Times New Roman" w:eastAsia="方正仿宋简体" w:hAnsi="Times New Roman" w:cs="Times New Roman"/>
                <w:color w:val="000000" w:themeColor="text1"/>
                <w:kern w:val="2"/>
              </w:rPr>
              <w:t>上海期货交易所</w:t>
            </w:r>
          </w:p>
        </w:tc>
      </w:tr>
    </w:tbl>
    <w:p w:rsidR="006E1898" w:rsidRDefault="006E1898" w:rsidP="00E36118">
      <w:pPr>
        <w:jc w:val="center"/>
        <w:rPr>
          <w:rFonts w:ascii="Times New Roman" w:eastAsia="方正大标宋简体" w:hAnsi="Times New Roman"/>
          <w:color w:val="000000" w:themeColor="text1"/>
          <w:sz w:val="42"/>
          <w:szCs w:val="42"/>
        </w:rPr>
      </w:pPr>
      <w:r w:rsidRPr="00C92AE2">
        <w:rPr>
          <w:rFonts w:ascii="Times New Roman" w:eastAsia="楷体_GB2312" w:hAnsi="Times New Roman"/>
          <w:color w:val="000000" w:themeColor="text1"/>
          <w:sz w:val="28"/>
        </w:rPr>
        <w:br w:type="page"/>
      </w:r>
      <w:r w:rsidRPr="00E36118">
        <w:rPr>
          <w:rFonts w:ascii="Times New Roman" w:eastAsia="方正大标宋简体" w:hAnsi="Times New Roman"/>
          <w:color w:val="000000" w:themeColor="text1"/>
          <w:sz w:val="42"/>
          <w:szCs w:val="42"/>
        </w:rPr>
        <w:lastRenderedPageBreak/>
        <w:t>上海期货交易所氧化铝期货合约附件</w:t>
      </w:r>
      <w:bookmarkStart w:id="1" w:name="_GoBack"/>
      <w:bookmarkEnd w:id="1"/>
    </w:p>
    <w:p w:rsidR="00E36118" w:rsidRPr="00E36118" w:rsidRDefault="00E36118" w:rsidP="00E36118">
      <w:pPr>
        <w:jc w:val="center"/>
        <w:rPr>
          <w:rFonts w:ascii="Times New Roman" w:eastAsia="方正大标宋简体" w:hAnsi="Times New Roman"/>
          <w:color w:val="000000" w:themeColor="text1"/>
          <w:sz w:val="42"/>
          <w:szCs w:val="42"/>
        </w:rPr>
      </w:pPr>
    </w:p>
    <w:p w:rsidR="006E1898" w:rsidRPr="00E36118" w:rsidRDefault="006E1898" w:rsidP="00E36118">
      <w:pPr>
        <w:spacing w:line="590" w:lineRule="exact"/>
        <w:ind w:firstLineChars="200" w:firstLine="600"/>
        <w:rPr>
          <w:rFonts w:ascii="方正黑体简体" w:eastAsia="方正黑体简体" w:hAnsi="Times New Roman"/>
          <w:color w:val="000000" w:themeColor="text1"/>
          <w:sz w:val="30"/>
          <w:szCs w:val="30"/>
        </w:rPr>
      </w:pPr>
      <w:r w:rsidRPr="00E36118">
        <w:rPr>
          <w:rFonts w:ascii="方正黑体简体" w:eastAsia="方正黑体简体" w:hAnsi="Times New Roman" w:hint="eastAsia"/>
          <w:color w:val="000000" w:themeColor="text1"/>
          <w:sz w:val="30"/>
          <w:szCs w:val="30"/>
        </w:rPr>
        <w:t>一、交割单位</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氧化铝期货合约的交易单位为每手</w:t>
      </w:r>
      <w:r w:rsidRPr="00E36118">
        <w:rPr>
          <w:rFonts w:ascii="Times New Roman" w:eastAsia="方正仿宋简体" w:hAnsi="Times New Roman"/>
          <w:color w:val="000000" w:themeColor="text1"/>
          <w:sz w:val="30"/>
          <w:szCs w:val="30"/>
        </w:rPr>
        <w:t>20</w:t>
      </w:r>
      <w:r w:rsidRPr="00E36118">
        <w:rPr>
          <w:rFonts w:ascii="Times New Roman" w:eastAsia="方正仿宋简体" w:hAnsi="Times New Roman"/>
          <w:color w:val="000000" w:themeColor="text1"/>
          <w:sz w:val="30"/>
          <w:szCs w:val="30"/>
        </w:rPr>
        <w:t>吨，交割单位为每一标准仓单</w:t>
      </w:r>
      <w:r w:rsidRPr="00E36118">
        <w:rPr>
          <w:rFonts w:ascii="Times New Roman" w:eastAsia="方正仿宋简体" w:hAnsi="Times New Roman"/>
          <w:color w:val="000000" w:themeColor="text1"/>
          <w:sz w:val="30"/>
          <w:szCs w:val="30"/>
        </w:rPr>
        <w:t>300</w:t>
      </w:r>
      <w:r w:rsidRPr="00E36118">
        <w:rPr>
          <w:rFonts w:ascii="Times New Roman" w:eastAsia="方正仿宋简体" w:hAnsi="Times New Roman"/>
          <w:color w:val="000000" w:themeColor="text1"/>
          <w:sz w:val="30"/>
          <w:szCs w:val="30"/>
        </w:rPr>
        <w:t>吨，交割应当以每一标准仓单的整倍数交割。</w:t>
      </w:r>
    </w:p>
    <w:p w:rsidR="006E1898" w:rsidRPr="00E36118" w:rsidRDefault="006E1898" w:rsidP="00E36118">
      <w:pPr>
        <w:spacing w:line="590" w:lineRule="exact"/>
        <w:ind w:firstLineChars="200" w:firstLine="600"/>
        <w:rPr>
          <w:rFonts w:ascii="方正黑体简体" w:eastAsia="方正黑体简体" w:hAnsi="Times New Roman"/>
          <w:color w:val="000000" w:themeColor="text1"/>
          <w:sz w:val="30"/>
          <w:szCs w:val="30"/>
        </w:rPr>
      </w:pPr>
      <w:r w:rsidRPr="00E36118">
        <w:rPr>
          <w:rFonts w:ascii="方正黑体简体" w:eastAsia="方正黑体简体" w:hAnsi="Times New Roman"/>
          <w:color w:val="000000" w:themeColor="text1"/>
          <w:sz w:val="30"/>
          <w:szCs w:val="30"/>
        </w:rPr>
        <w:t>二、质量规定</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1</w:t>
      </w:r>
      <w:r w:rsidRPr="00E36118">
        <w:rPr>
          <w:rFonts w:ascii="Times New Roman" w:eastAsia="方正仿宋简体" w:hAnsi="Times New Roman"/>
          <w:color w:val="000000" w:themeColor="text1"/>
          <w:sz w:val="30"/>
          <w:szCs w:val="30"/>
        </w:rPr>
        <w:t>．用于实物交割的氧化铝，主要化学成分和主要物理性能应当符合国标</w:t>
      </w:r>
      <w:r w:rsidRPr="00E36118">
        <w:rPr>
          <w:rFonts w:ascii="Times New Roman" w:eastAsia="方正仿宋简体" w:hAnsi="Times New Roman"/>
          <w:color w:val="000000" w:themeColor="text1"/>
          <w:sz w:val="30"/>
          <w:szCs w:val="30"/>
        </w:rPr>
        <w:t>GB/T 24487-2022 AO-1</w:t>
      </w:r>
      <w:r w:rsidRPr="00E36118">
        <w:rPr>
          <w:rFonts w:ascii="Times New Roman" w:eastAsia="方正仿宋简体" w:hAnsi="Times New Roman"/>
          <w:color w:val="000000" w:themeColor="text1"/>
          <w:sz w:val="30"/>
          <w:szCs w:val="30"/>
        </w:rPr>
        <w:t>或者</w:t>
      </w:r>
      <w:r w:rsidRPr="00E36118">
        <w:rPr>
          <w:rFonts w:ascii="Times New Roman" w:eastAsia="方正仿宋简体" w:hAnsi="Times New Roman"/>
          <w:color w:val="000000" w:themeColor="text1"/>
          <w:sz w:val="30"/>
          <w:szCs w:val="30"/>
        </w:rPr>
        <w:t>AO-2</w:t>
      </w:r>
      <w:r w:rsidRPr="00E36118">
        <w:rPr>
          <w:rFonts w:ascii="Times New Roman" w:eastAsia="方正仿宋简体" w:hAnsi="Times New Roman"/>
          <w:color w:val="000000" w:themeColor="text1"/>
          <w:sz w:val="30"/>
          <w:szCs w:val="30"/>
        </w:rPr>
        <w:t>牌号的规定。</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2</w:t>
      </w:r>
      <w:r w:rsidRPr="00E36118">
        <w:rPr>
          <w:rFonts w:ascii="Times New Roman" w:eastAsia="方正仿宋简体" w:hAnsi="Times New Roman"/>
          <w:color w:val="000000" w:themeColor="text1"/>
          <w:sz w:val="30"/>
          <w:szCs w:val="30"/>
        </w:rPr>
        <w:t>．每一标准仓单的氧化铝，应当是交易所批准的注册品牌或者交易所认可的生产企业生产的商品，且应当附有相应的质量</w:t>
      </w:r>
      <w:r w:rsidR="00B9271D" w:rsidRPr="00E36118">
        <w:rPr>
          <w:rFonts w:ascii="Times New Roman" w:eastAsia="方正仿宋简体" w:hAnsi="Times New Roman"/>
          <w:color w:val="000000" w:themeColor="text1"/>
          <w:sz w:val="30"/>
          <w:szCs w:val="30"/>
        </w:rPr>
        <w:t>单证</w:t>
      </w:r>
      <w:r w:rsidRPr="00E36118">
        <w:rPr>
          <w:rFonts w:ascii="Times New Roman" w:eastAsia="方正仿宋简体" w:hAnsi="Times New Roman"/>
          <w:color w:val="000000" w:themeColor="text1"/>
          <w:sz w:val="30"/>
          <w:szCs w:val="30"/>
        </w:rPr>
        <w:t>。</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3</w:t>
      </w:r>
      <w:r w:rsidRPr="00E36118">
        <w:rPr>
          <w:rFonts w:ascii="Times New Roman" w:eastAsia="方正仿宋简体" w:hAnsi="Times New Roman"/>
          <w:color w:val="000000" w:themeColor="text1"/>
          <w:sz w:val="30"/>
          <w:szCs w:val="30"/>
        </w:rPr>
        <w:t>．每一标准仓单的国产氧化铝，应当是同一企业生产、同一注册商标、同一牌号、同一包装规格的商品组成，</w:t>
      </w:r>
      <w:r w:rsidRPr="00E36118">
        <w:rPr>
          <w:rFonts w:ascii="Times New Roman" w:eastAsia="方正仿宋简体" w:hAnsi="Times New Roman"/>
          <w:color w:val="000000" w:themeColor="text1"/>
          <w:kern w:val="0"/>
          <w:sz w:val="30"/>
          <w:szCs w:val="30"/>
        </w:rPr>
        <w:t>并且组成每一标准仓单的氧化铝生产日期应当不超过连续</w:t>
      </w:r>
      <w:r w:rsidRPr="00E36118">
        <w:rPr>
          <w:rFonts w:ascii="Times New Roman" w:eastAsia="方正仿宋简体" w:hAnsi="Times New Roman"/>
          <w:color w:val="000000" w:themeColor="text1"/>
          <w:kern w:val="0"/>
          <w:sz w:val="30"/>
          <w:szCs w:val="30"/>
        </w:rPr>
        <w:t>15</w:t>
      </w:r>
      <w:r w:rsidRPr="00E36118">
        <w:rPr>
          <w:rFonts w:ascii="Times New Roman" w:eastAsia="方正仿宋简体" w:hAnsi="Times New Roman"/>
          <w:color w:val="000000" w:themeColor="text1"/>
          <w:kern w:val="0"/>
          <w:sz w:val="30"/>
          <w:szCs w:val="30"/>
        </w:rPr>
        <w:t>日，且以最早日期作为该标准仓单的生产日期。</w:t>
      </w:r>
      <w:r w:rsidRPr="00E36118">
        <w:rPr>
          <w:rFonts w:ascii="Times New Roman" w:eastAsia="方正仿宋简体" w:hAnsi="Times New Roman"/>
          <w:color w:val="000000" w:themeColor="text1"/>
          <w:sz w:val="30"/>
          <w:szCs w:val="30"/>
        </w:rPr>
        <w:t>每一标准仓单的进口氧化铝，应当是同一企业生产、同一牌号、同一生产日期、同一包装规格的商品组成。</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4</w:t>
      </w:r>
      <w:r w:rsidRPr="00E36118">
        <w:rPr>
          <w:rFonts w:ascii="Times New Roman" w:eastAsia="方正仿宋简体" w:hAnsi="Times New Roman"/>
          <w:color w:val="000000" w:themeColor="text1"/>
          <w:sz w:val="30"/>
          <w:szCs w:val="30"/>
        </w:rPr>
        <w:t>．氧化铝交割以净含量进行计量。每一标准仓单的实物溢短不超过</w:t>
      </w:r>
      <w:r w:rsidRPr="00E36118">
        <w:rPr>
          <w:rFonts w:ascii="Times New Roman" w:eastAsia="方正仿宋简体" w:hAnsi="Times New Roman"/>
          <w:color w:val="000000" w:themeColor="text1"/>
          <w:sz w:val="30"/>
          <w:szCs w:val="30"/>
        </w:rPr>
        <w:t>±1%</w:t>
      </w:r>
      <w:r w:rsidRPr="00E36118">
        <w:rPr>
          <w:rFonts w:ascii="Times New Roman" w:eastAsia="方正仿宋简体" w:hAnsi="Times New Roman"/>
          <w:color w:val="000000" w:themeColor="text1"/>
          <w:sz w:val="30"/>
          <w:szCs w:val="30"/>
        </w:rPr>
        <w:t>，磅差不超过</w:t>
      </w:r>
      <w:r w:rsidRPr="00E36118">
        <w:rPr>
          <w:rFonts w:ascii="Times New Roman" w:eastAsia="方正仿宋简体" w:hAnsi="Times New Roman"/>
          <w:color w:val="000000" w:themeColor="text1"/>
          <w:sz w:val="30"/>
          <w:szCs w:val="30"/>
        </w:rPr>
        <w:t>±0.3%</w:t>
      </w:r>
      <w:r w:rsidRPr="00E36118">
        <w:rPr>
          <w:rFonts w:ascii="Times New Roman" w:eastAsia="方正仿宋简体" w:hAnsi="Times New Roman"/>
          <w:color w:val="000000" w:themeColor="text1"/>
          <w:sz w:val="30"/>
          <w:szCs w:val="30"/>
        </w:rPr>
        <w:t>。</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5</w:t>
      </w:r>
      <w:r w:rsidR="00E36118" w:rsidRPr="00E36118">
        <w:rPr>
          <w:rFonts w:ascii="Times New Roman" w:eastAsia="方正仿宋简体" w:hAnsi="Times New Roman"/>
          <w:color w:val="000000" w:themeColor="text1"/>
          <w:sz w:val="30"/>
          <w:szCs w:val="30"/>
        </w:rPr>
        <w:t>．</w:t>
      </w:r>
      <w:r w:rsidRPr="00E36118">
        <w:rPr>
          <w:rFonts w:ascii="Times New Roman" w:eastAsia="方正仿宋简体" w:hAnsi="Times New Roman"/>
          <w:color w:val="000000" w:themeColor="text1"/>
          <w:sz w:val="30"/>
          <w:szCs w:val="30"/>
        </w:rPr>
        <w:t>每一标准仓单应当载明重量和件数，包装应当符合交易所相关规定。</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6</w:t>
      </w:r>
      <w:r w:rsidRPr="00E36118">
        <w:rPr>
          <w:rFonts w:ascii="Times New Roman" w:eastAsia="方正仿宋简体" w:hAnsi="Times New Roman"/>
          <w:color w:val="000000" w:themeColor="text1"/>
          <w:sz w:val="30"/>
          <w:szCs w:val="30"/>
        </w:rPr>
        <w:t>．标准仓单应当由</w:t>
      </w:r>
      <w:r w:rsidR="00AA3B7A" w:rsidRPr="00E36118">
        <w:rPr>
          <w:rFonts w:ascii="Times New Roman" w:eastAsia="方正仿宋简体" w:hAnsi="Times New Roman"/>
          <w:color w:val="000000" w:themeColor="text1"/>
          <w:sz w:val="30"/>
          <w:szCs w:val="30"/>
        </w:rPr>
        <w:t>交易所</w:t>
      </w:r>
      <w:r w:rsidRPr="00E36118">
        <w:rPr>
          <w:rFonts w:ascii="Times New Roman" w:eastAsia="方正仿宋简体" w:hAnsi="Times New Roman"/>
          <w:color w:val="000000" w:themeColor="text1"/>
          <w:sz w:val="30"/>
          <w:szCs w:val="30"/>
        </w:rPr>
        <w:t>指定交割仓库按规定验收后出具，或者由指定氧化铝厂库按规定出具。</w:t>
      </w:r>
    </w:p>
    <w:p w:rsidR="006E1898" w:rsidRPr="00E36118" w:rsidRDefault="006E1898" w:rsidP="00E36118">
      <w:pPr>
        <w:spacing w:line="590" w:lineRule="exact"/>
        <w:ind w:firstLineChars="200" w:firstLine="600"/>
        <w:rPr>
          <w:rFonts w:ascii="方正黑体简体" w:eastAsia="方正黑体简体" w:hAnsi="Times New Roman"/>
          <w:color w:val="000000" w:themeColor="text1"/>
          <w:sz w:val="30"/>
          <w:szCs w:val="30"/>
        </w:rPr>
      </w:pPr>
      <w:r w:rsidRPr="00E36118">
        <w:rPr>
          <w:rFonts w:ascii="方正黑体简体" w:eastAsia="方正黑体简体" w:hAnsi="Times New Roman"/>
          <w:color w:val="000000" w:themeColor="text1"/>
          <w:sz w:val="30"/>
          <w:szCs w:val="30"/>
        </w:rPr>
        <w:lastRenderedPageBreak/>
        <w:t>三、交易所认可的生产企业和注册品牌</w:t>
      </w:r>
    </w:p>
    <w:p w:rsidR="006E1898" w:rsidRPr="00E36118" w:rsidRDefault="006E1898" w:rsidP="00E36118">
      <w:pPr>
        <w:spacing w:line="590" w:lineRule="exact"/>
        <w:ind w:firstLineChars="200" w:firstLine="600"/>
        <w:rPr>
          <w:rFonts w:ascii="Times New Roman" w:eastAsia="方正仿宋简体" w:hAnsi="Times New Roman"/>
          <w:color w:val="000000" w:themeColor="text1"/>
          <w:sz w:val="30"/>
          <w:szCs w:val="30"/>
        </w:rPr>
      </w:pPr>
      <w:r w:rsidRPr="00E36118">
        <w:rPr>
          <w:rFonts w:ascii="Times New Roman" w:eastAsia="方正仿宋简体" w:hAnsi="Times New Roman"/>
          <w:color w:val="000000" w:themeColor="text1"/>
          <w:sz w:val="30"/>
          <w:szCs w:val="30"/>
        </w:rPr>
        <w:t>用于实物交割的氧化铝，应当是交易所</w:t>
      </w:r>
      <w:r w:rsidR="00AA3B7A" w:rsidRPr="00E36118">
        <w:rPr>
          <w:rFonts w:ascii="Times New Roman" w:eastAsia="方正仿宋简体" w:hAnsi="Times New Roman"/>
          <w:color w:val="000000" w:themeColor="text1"/>
          <w:sz w:val="30"/>
          <w:szCs w:val="30"/>
        </w:rPr>
        <w:t>批准的</w:t>
      </w:r>
      <w:r w:rsidRPr="00E36118">
        <w:rPr>
          <w:rFonts w:ascii="Times New Roman" w:eastAsia="方正仿宋简体" w:hAnsi="Times New Roman"/>
          <w:color w:val="000000" w:themeColor="text1"/>
          <w:sz w:val="30"/>
          <w:szCs w:val="30"/>
        </w:rPr>
        <w:t>注册品牌或者交易所认可</w:t>
      </w:r>
      <w:r w:rsidR="00AA3B7A" w:rsidRPr="00E36118">
        <w:rPr>
          <w:rFonts w:ascii="Times New Roman" w:eastAsia="方正仿宋简体" w:hAnsi="Times New Roman"/>
          <w:color w:val="000000" w:themeColor="text1"/>
          <w:sz w:val="30"/>
          <w:szCs w:val="30"/>
        </w:rPr>
        <w:t>的生产</w:t>
      </w:r>
      <w:r w:rsidRPr="00E36118">
        <w:rPr>
          <w:rFonts w:ascii="Times New Roman" w:eastAsia="方正仿宋简体" w:hAnsi="Times New Roman"/>
          <w:color w:val="000000" w:themeColor="text1"/>
          <w:sz w:val="30"/>
          <w:szCs w:val="30"/>
        </w:rPr>
        <w:t>企业生产的</w:t>
      </w:r>
      <w:r w:rsidR="002B1474" w:rsidRPr="00E36118">
        <w:rPr>
          <w:rFonts w:ascii="Times New Roman" w:eastAsia="方正仿宋简体" w:hAnsi="Times New Roman"/>
          <w:color w:val="000000" w:themeColor="text1"/>
          <w:sz w:val="30"/>
          <w:szCs w:val="30"/>
        </w:rPr>
        <w:t>商品</w:t>
      </w:r>
      <w:r w:rsidRPr="00E36118">
        <w:rPr>
          <w:rFonts w:ascii="Times New Roman" w:eastAsia="方正仿宋简体" w:hAnsi="Times New Roman"/>
          <w:color w:val="000000" w:themeColor="text1"/>
          <w:sz w:val="30"/>
          <w:szCs w:val="30"/>
        </w:rPr>
        <w:t>。具体的注册品牌和认可的生产企业，由交易所另行规定并公告。</w:t>
      </w:r>
    </w:p>
    <w:p w:rsidR="006E1898" w:rsidRPr="00E36118" w:rsidRDefault="006E1898" w:rsidP="00E36118">
      <w:pPr>
        <w:spacing w:line="590" w:lineRule="exact"/>
        <w:ind w:firstLineChars="200" w:firstLine="600"/>
        <w:rPr>
          <w:rFonts w:ascii="方正黑体简体" w:eastAsia="方正黑体简体" w:hAnsi="Times New Roman"/>
          <w:color w:val="000000" w:themeColor="text1"/>
          <w:sz w:val="30"/>
          <w:szCs w:val="30"/>
        </w:rPr>
      </w:pPr>
      <w:r w:rsidRPr="00E36118">
        <w:rPr>
          <w:rFonts w:ascii="方正黑体简体" w:eastAsia="方正黑体简体" w:hAnsi="Times New Roman"/>
          <w:color w:val="000000" w:themeColor="text1"/>
          <w:sz w:val="30"/>
          <w:szCs w:val="30"/>
        </w:rPr>
        <w:t>四、指定交割仓库和指定氧化铝厂库</w:t>
      </w:r>
    </w:p>
    <w:p w:rsidR="006B5159" w:rsidRPr="00E36118" w:rsidRDefault="006E1898" w:rsidP="00E36118">
      <w:pPr>
        <w:spacing w:line="590" w:lineRule="exact"/>
        <w:ind w:firstLineChars="200" w:firstLine="600"/>
        <w:rPr>
          <w:rFonts w:ascii="Times New Roman" w:eastAsia="方正仿宋简体" w:hAnsi="Times New Roman"/>
          <w:color w:val="000000" w:themeColor="text1"/>
        </w:rPr>
      </w:pPr>
      <w:r w:rsidRPr="00E36118">
        <w:rPr>
          <w:rFonts w:ascii="Times New Roman" w:eastAsia="方正仿宋简体" w:hAnsi="Times New Roman"/>
          <w:color w:val="000000" w:themeColor="text1"/>
          <w:sz w:val="30"/>
          <w:szCs w:val="30"/>
        </w:rPr>
        <w:t>指定交割仓库和指定氧化铝厂库由交易所指定并另行公告，异地指定交割仓库和指定氧化</w:t>
      </w:r>
      <w:proofErr w:type="gramStart"/>
      <w:r w:rsidRPr="00E36118">
        <w:rPr>
          <w:rFonts w:ascii="Times New Roman" w:eastAsia="方正仿宋简体" w:hAnsi="Times New Roman"/>
          <w:color w:val="000000" w:themeColor="text1"/>
          <w:sz w:val="30"/>
          <w:szCs w:val="30"/>
        </w:rPr>
        <w:t>铝厂库升贴水</w:t>
      </w:r>
      <w:proofErr w:type="gramEnd"/>
      <w:r w:rsidRPr="00E36118">
        <w:rPr>
          <w:rFonts w:ascii="Times New Roman" w:eastAsia="方正仿宋简体" w:hAnsi="Times New Roman"/>
          <w:color w:val="000000" w:themeColor="text1"/>
          <w:sz w:val="30"/>
          <w:szCs w:val="30"/>
        </w:rPr>
        <w:t>标准由交易所规定并公告。</w:t>
      </w:r>
    </w:p>
    <w:sectPr w:rsidR="006B5159" w:rsidRPr="00E36118" w:rsidSect="00E36118">
      <w:footerReference w:type="default" r:id="rId7"/>
      <w:pgSz w:w="11906" w:h="16838"/>
      <w:pgMar w:top="1440" w:right="1797" w:bottom="1440" w:left="179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AE" w:rsidRDefault="00C479AE" w:rsidP="006B5159">
      <w:r>
        <w:separator/>
      </w:r>
    </w:p>
  </w:endnote>
  <w:endnote w:type="continuationSeparator" w:id="0">
    <w:p w:rsidR="00C479AE" w:rsidRDefault="00C479AE" w:rsidP="006B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DaBiaoSong-B06S">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98834"/>
      <w:docPartObj>
        <w:docPartGallery w:val="Page Numbers (Bottom of Page)"/>
        <w:docPartUnique/>
      </w:docPartObj>
    </w:sdtPr>
    <w:sdtEndPr>
      <w:rPr>
        <w:rFonts w:ascii="Times New Roman" w:hAnsi="Times New Roman"/>
        <w:sz w:val="24"/>
        <w:szCs w:val="24"/>
      </w:rPr>
    </w:sdtEndPr>
    <w:sdtContent>
      <w:p w:rsidR="006B5159" w:rsidRPr="00E36118" w:rsidRDefault="00614F4D">
        <w:pPr>
          <w:pStyle w:val="a4"/>
          <w:jc w:val="center"/>
          <w:rPr>
            <w:rFonts w:ascii="Times New Roman" w:hAnsi="Times New Roman"/>
            <w:sz w:val="24"/>
            <w:szCs w:val="24"/>
          </w:rPr>
        </w:pPr>
        <w:r w:rsidRPr="00E36118">
          <w:rPr>
            <w:rFonts w:ascii="Times New Roman" w:hAnsi="Times New Roman"/>
            <w:sz w:val="24"/>
            <w:szCs w:val="24"/>
          </w:rPr>
          <w:fldChar w:fldCharType="begin"/>
        </w:r>
        <w:r w:rsidR="006B5159" w:rsidRPr="00E36118">
          <w:rPr>
            <w:rFonts w:ascii="Times New Roman" w:hAnsi="Times New Roman"/>
            <w:sz w:val="24"/>
            <w:szCs w:val="24"/>
          </w:rPr>
          <w:instrText>PAGE   \* MERGEFORMAT</w:instrText>
        </w:r>
        <w:r w:rsidRPr="00E36118">
          <w:rPr>
            <w:rFonts w:ascii="Times New Roman" w:hAnsi="Times New Roman"/>
            <w:sz w:val="24"/>
            <w:szCs w:val="24"/>
          </w:rPr>
          <w:fldChar w:fldCharType="separate"/>
        </w:r>
        <w:r w:rsidR="000D19B9" w:rsidRPr="000D19B9">
          <w:rPr>
            <w:rFonts w:ascii="Times New Roman" w:hAnsi="Times New Roman"/>
            <w:noProof/>
            <w:sz w:val="24"/>
            <w:szCs w:val="24"/>
            <w:lang w:val="zh-CN"/>
          </w:rPr>
          <w:t>-</w:t>
        </w:r>
        <w:r w:rsidR="000D19B9">
          <w:rPr>
            <w:rFonts w:ascii="Times New Roman" w:hAnsi="Times New Roman"/>
            <w:noProof/>
            <w:sz w:val="24"/>
            <w:szCs w:val="24"/>
          </w:rPr>
          <w:t xml:space="preserve"> 3 -</w:t>
        </w:r>
        <w:r w:rsidRPr="00E36118">
          <w:rPr>
            <w:rFonts w:ascii="Times New Roman" w:hAnsi="Times New Roman"/>
            <w:sz w:val="24"/>
            <w:szCs w:val="24"/>
          </w:rPr>
          <w:fldChar w:fldCharType="end"/>
        </w:r>
      </w:p>
    </w:sdtContent>
  </w:sdt>
  <w:p w:rsidR="006B5159" w:rsidRDefault="006B51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AE" w:rsidRDefault="00C479AE" w:rsidP="006B5159">
      <w:r>
        <w:separator/>
      </w:r>
    </w:p>
  </w:footnote>
  <w:footnote w:type="continuationSeparator" w:id="0">
    <w:p w:rsidR="00C479AE" w:rsidRDefault="00C479AE" w:rsidP="006B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00303"/>
    <w:multiLevelType w:val="hybridMultilevel"/>
    <w:tmpl w:val="DAFC8D64"/>
    <w:lvl w:ilvl="0" w:tplc="A538E290">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771241B"/>
    <w:multiLevelType w:val="hybridMultilevel"/>
    <w:tmpl w:val="92A2EA08"/>
    <w:lvl w:ilvl="0" w:tplc="27BA73A8">
      <w:start w:val="1"/>
      <w:numFmt w:val="decimal"/>
      <w:lvlText w:val="（%1）"/>
      <w:lvlJc w:val="left"/>
      <w:pPr>
        <w:ind w:left="0" w:firstLine="60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D9B"/>
    <w:rsid w:val="000030B8"/>
    <w:rsid w:val="00026D1B"/>
    <w:rsid w:val="0005028F"/>
    <w:rsid w:val="000704BC"/>
    <w:rsid w:val="000B6D9B"/>
    <w:rsid w:val="000D19B9"/>
    <w:rsid w:val="002A2A0B"/>
    <w:rsid w:val="002B1474"/>
    <w:rsid w:val="003E0C3E"/>
    <w:rsid w:val="004A10E1"/>
    <w:rsid w:val="004D048F"/>
    <w:rsid w:val="00574A8F"/>
    <w:rsid w:val="005C26F0"/>
    <w:rsid w:val="00614F4D"/>
    <w:rsid w:val="006B5159"/>
    <w:rsid w:val="006E1898"/>
    <w:rsid w:val="00952334"/>
    <w:rsid w:val="00976E36"/>
    <w:rsid w:val="009E77E8"/>
    <w:rsid w:val="00A27C07"/>
    <w:rsid w:val="00A3399E"/>
    <w:rsid w:val="00A51E81"/>
    <w:rsid w:val="00A740DD"/>
    <w:rsid w:val="00A87C50"/>
    <w:rsid w:val="00AA3B7A"/>
    <w:rsid w:val="00AD682E"/>
    <w:rsid w:val="00B0780A"/>
    <w:rsid w:val="00B32B89"/>
    <w:rsid w:val="00B85350"/>
    <w:rsid w:val="00B9271D"/>
    <w:rsid w:val="00C479AE"/>
    <w:rsid w:val="00C92AE2"/>
    <w:rsid w:val="00DA6775"/>
    <w:rsid w:val="00E36118"/>
    <w:rsid w:val="00F21B1C"/>
    <w:rsid w:val="00F26E45"/>
    <w:rsid w:val="00F91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59"/>
    <w:pPr>
      <w:widowControl w:val="0"/>
      <w:jc w:val="both"/>
    </w:pPr>
    <w:rPr>
      <w:rFonts w:ascii="Calibri" w:eastAsia="宋体" w:hAnsi="Calibri" w:cs="Times New Roman"/>
    </w:rPr>
  </w:style>
  <w:style w:type="paragraph" w:styleId="1">
    <w:name w:val="heading 1"/>
    <w:basedOn w:val="a"/>
    <w:next w:val="a"/>
    <w:link w:val="1Char"/>
    <w:uiPriority w:val="9"/>
    <w:qFormat/>
    <w:rsid w:val="006B5159"/>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159"/>
    <w:rPr>
      <w:sz w:val="18"/>
      <w:szCs w:val="18"/>
    </w:rPr>
  </w:style>
  <w:style w:type="paragraph" w:styleId="a4">
    <w:name w:val="footer"/>
    <w:basedOn w:val="a"/>
    <w:link w:val="Char0"/>
    <w:uiPriority w:val="99"/>
    <w:unhideWhenUsed/>
    <w:rsid w:val="006B5159"/>
    <w:pPr>
      <w:tabs>
        <w:tab w:val="center" w:pos="4153"/>
        <w:tab w:val="right" w:pos="8306"/>
      </w:tabs>
      <w:snapToGrid w:val="0"/>
      <w:jc w:val="left"/>
    </w:pPr>
    <w:rPr>
      <w:sz w:val="18"/>
      <w:szCs w:val="18"/>
    </w:rPr>
  </w:style>
  <w:style w:type="character" w:customStyle="1" w:styleId="Char0">
    <w:name w:val="页脚 Char"/>
    <w:basedOn w:val="a0"/>
    <w:link w:val="a4"/>
    <w:uiPriority w:val="99"/>
    <w:rsid w:val="006B5159"/>
    <w:rPr>
      <w:sz w:val="18"/>
      <w:szCs w:val="18"/>
    </w:rPr>
  </w:style>
  <w:style w:type="character" w:customStyle="1" w:styleId="1Char">
    <w:name w:val="标题 1 Char"/>
    <w:basedOn w:val="a0"/>
    <w:link w:val="1"/>
    <w:uiPriority w:val="9"/>
    <w:rsid w:val="006B5159"/>
    <w:rPr>
      <w:rFonts w:ascii="Times New Roman" w:eastAsia="宋体" w:hAnsi="Times New Roman" w:cs="Times New Roman"/>
      <w:b/>
      <w:bCs/>
      <w:kern w:val="44"/>
      <w:sz w:val="44"/>
      <w:szCs w:val="44"/>
    </w:rPr>
  </w:style>
  <w:style w:type="paragraph" w:styleId="a5">
    <w:name w:val="List Paragraph"/>
    <w:basedOn w:val="a"/>
    <w:uiPriority w:val="34"/>
    <w:qFormat/>
    <w:rsid w:val="006B5159"/>
    <w:pPr>
      <w:ind w:firstLineChars="200" w:firstLine="420"/>
    </w:pPr>
  </w:style>
  <w:style w:type="paragraph" w:styleId="a6">
    <w:name w:val="Balloon Text"/>
    <w:basedOn w:val="a"/>
    <w:link w:val="Char1"/>
    <w:uiPriority w:val="99"/>
    <w:semiHidden/>
    <w:unhideWhenUsed/>
    <w:rsid w:val="006B5159"/>
    <w:rPr>
      <w:sz w:val="18"/>
      <w:szCs w:val="18"/>
    </w:rPr>
  </w:style>
  <w:style w:type="character" w:customStyle="1" w:styleId="Char1">
    <w:name w:val="批注框文本 Char"/>
    <w:basedOn w:val="a0"/>
    <w:link w:val="a6"/>
    <w:uiPriority w:val="99"/>
    <w:semiHidden/>
    <w:rsid w:val="006B5159"/>
    <w:rPr>
      <w:rFonts w:ascii="Calibri" w:eastAsia="宋体" w:hAnsi="Calibri" w:cs="Times New Roman"/>
      <w:sz w:val="18"/>
      <w:szCs w:val="18"/>
    </w:rPr>
  </w:style>
  <w:style w:type="paragraph" w:styleId="a7">
    <w:name w:val="Normal (Web)"/>
    <w:basedOn w:val="a"/>
    <w:uiPriority w:val="99"/>
    <w:rsid w:val="006B5159"/>
    <w:pPr>
      <w:widowControl/>
      <w:spacing w:before="100" w:beforeAutospacing="1" w:after="100" w:afterAutospacing="1"/>
      <w:jc w:val="left"/>
    </w:pPr>
    <w:rPr>
      <w:rFonts w:ascii="宋体" w:hAnsi="宋体" w:cs="宋体"/>
      <w:kern w:val="0"/>
      <w:sz w:val="24"/>
      <w:szCs w:val="24"/>
    </w:rPr>
  </w:style>
  <w:style w:type="character" w:customStyle="1" w:styleId="Char2">
    <w:name w:val="批注文字 Char"/>
    <w:basedOn w:val="a0"/>
    <w:link w:val="a8"/>
    <w:uiPriority w:val="99"/>
    <w:semiHidden/>
    <w:rsid w:val="006B5159"/>
    <w:rPr>
      <w:rFonts w:ascii="Times New Roman" w:eastAsia="宋体" w:hAnsi="Times New Roman" w:cs="Times New Roman"/>
      <w:szCs w:val="21"/>
    </w:rPr>
  </w:style>
  <w:style w:type="paragraph" w:styleId="a8">
    <w:name w:val="annotation text"/>
    <w:basedOn w:val="a"/>
    <w:link w:val="Char2"/>
    <w:uiPriority w:val="99"/>
    <w:semiHidden/>
    <w:unhideWhenUsed/>
    <w:rsid w:val="006B5159"/>
    <w:pPr>
      <w:jc w:val="left"/>
    </w:pPr>
    <w:rPr>
      <w:rFonts w:ascii="Times New Roman" w:hAnsi="Times New Roman"/>
      <w:szCs w:val="21"/>
    </w:rPr>
  </w:style>
  <w:style w:type="character" w:customStyle="1" w:styleId="10">
    <w:name w:val="批注文字 字符1"/>
    <w:basedOn w:val="a0"/>
    <w:uiPriority w:val="99"/>
    <w:semiHidden/>
    <w:rsid w:val="006B5159"/>
    <w:rPr>
      <w:rFonts w:ascii="Calibri" w:eastAsia="宋体" w:hAnsi="Calibri" w:cs="Times New Roman"/>
    </w:rPr>
  </w:style>
  <w:style w:type="paragraph" w:customStyle="1" w:styleId="CM21">
    <w:name w:val="CM21"/>
    <w:basedOn w:val="a"/>
    <w:next w:val="a"/>
    <w:rsid w:val="006B5159"/>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6B5159"/>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character" w:customStyle="1" w:styleId="Char3">
    <w:name w:val="批注主题 Char"/>
    <w:basedOn w:val="Char2"/>
    <w:link w:val="a9"/>
    <w:uiPriority w:val="99"/>
    <w:semiHidden/>
    <w:rsid w:val="006B5159"/>
    <w:rPr>
      <w:rFonts w:ascii="Calibri" w:eastAsia="宋体" w:hAnsi="Calibri" w:cs="Times New Roman"/>
      <w:b/>
      <w:bCs/>
      <w:szCs w:val="21"/>
    </w:rPr>
  </w:style>
  <w:style w:type="paragraph" w:styleId="a9">
    <w:name w:val="annotation subject"/>
    <w:basedOn w:val="a8"/>
    <w:next w:val="a8"/>
    <w:link w:val="Char3"/>
    <w:uiPriority w:val="99"/>
    <w:semiHidden/>
    <w:unhideWhenUsed/>
    <w:rsid w:val="006B5159"/>
    <w:rPr>
      <w:rFonts w:ascii="Calibri" w:hAnsi="Calibri"/>
      <w:b/>
      <w:bCs/>
    </w:rPr>
  </w:style>
  <w:style w:type="character" w:customStyle="1" w:styleId="11">
    <w:name w:val="批注主题 字符1"/>
    <w:basedOn w:val="10"/>
    <w:uiPriority w:val="99"/>
    <w:semiHidden/>
    <w:rsid w:val="006B5159"/>
    <w:rPr>
      <w:rFonts w:ascii="Calibri" w:eastAsia="宋体" w:hAnsi="Calibri" w:cs="Times New Roman"/>
      <w:b/>
      <w:bCs/>
    </w:rPr>
  </w:style>
  <w:style w:type="table" w:styleId="aa">
    <w:name w:val="Table Grid"/>
    <w:basedOn w:val="a1"/>
    <w:uiPriority w:val="39"/>
    <w:rsid w:val="006B51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页码1"/>
    <w:rsid w:val="006B5159"/>
  </w:style>
  <w:style w:type="paragraph" w:customStyle="1" w:styleId="Ab">
    <w:name w:val="正文 A"/>
    <w:rsid w:val="006B5159"/>
    <w:pPr>
      <w:widowControl w:val="0"/>
      <w:jc w:val="both"/>
    </w:pPr>
    <w:rPr>
      <w:rFonts w:ascii="Calibri" w:eastAsia="Calibri" w:hAnsi="Calibri" w:cs="Calibri"/>
      <w:color w:val="000000"/>
      <w:szCs w:val="21"/>
      <w:u w:color="000000"/>
    </w:rPr>
  </w:style>
  <w:style w:type="character" w:styleId="ac">
    <w:name w:val="annotation reference"/>
    <w:basedOn w:val="a0"/>
    <w:uiPriority w:val="99"/>
    <w:semiHidden/>
    <w:unhideWhenUsed/>
    <w:rsid w:val="006B5159"/>
    <w:rPr>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SHFE</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2023-06-05T07:50:00Z</dcterms:created>
  <dcterms:modified xsi:type="dcterms:W3CDTF">2023-06-05T07:50:00Z</dcterms:modified>
</cp:coreProperties>
</file>